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2B" w:rsidRPr="0023105D" w:rsidRDefault="007A2C2B" w:rsidP="007A2C2B">
      <w:pPr>
        <w:jc w:val="center"/>
        <w:rPr>
          <w:b/>
          <w:sz w:val="24"/>
          <w:szCs w:val="24"/>
        </w:rPr>
      </w:pPr>
      <w:r w:rsidRPr="0023105D">
        <w:rPr>
          <w:b/>
          <w:sz w:val="24"/>
          <w:szCs w:val="24"/>
        </w:rPr>
        <w:t>Příloha č. 1</w:t>
      </w:r>
    </w:p>
    <w:p w:rsidR="007A2C2B" w:rsidRPr="000D7EB7" w:rsidRDefault="007A2C2B" w:rsidP="007A2C2B">
      <w:pPr>
        <w:jc w:val="center"/>
        <w:rPr>
          <w:b/>
          <w:sz w:val="28"/>
          <w:szCs w:val="28"/>
        </w:rPr>
      </w:pPr>
      <w:r w:rsidRPr="000D7EB7">
        <w:rPr>
          <w:b/>
          <w:sz w:val="28"/>
          <w:szCs w:val="28"/>
        </w:rPr>
        <w:t>Všeobecné obchodní podmínky</w:t>
      </w:r>
    </w:p>
    <w:p w:rsidR="007A2C2B" w:rsidRPr="0023105D" w:rsidRDefault="007A2C2B" w:rsidP="007A2C2B">
      <w:pPr>
        <w:jc w:val="center"/>
        <w:rPr>
          <w:b/>
          <w:sz w:val="24"/>
          <w:szCs w:val="24"/>
        </w:rPr>
      </w:pPr>
      <w:r w:rsidRPr="0023105D">
        <w:rPr>
          <w:b/>
          <w:sz w:val="24"/>
          <w:szCs w:val="24"/>
        </w:rPr>
        <w:t>pro podnikatele v rámci podnikatelské činnosti</w:t>
      </w:r>
    </w:p>
    <w:p w:rsidR="007A2C2B" w:rsidRDefault="007A2C2B" w:rsidP="007A2C2B">
      <w:pPr>
        <w:spacing w:line="240" w:lineRule="atLeast"/>
        <w:jc w:val="both"/>
        <w:rPr>
          <w:b/>
        </w:rPr>
      </w:pPr>
    </w:p>
    <w:p w:rsidR="007A2C2B" w:rsidRDefault="007A2C2B" w:rsidP="007A2C2B">
      <w:pPr>
        <w:spacing w:before="120"/>
        <w:ind w:left="340" w:hanging="340"/>
        <w:jc w:val="both"/>
        <w:rPr>
          <w:color w:val="000000"/>
        </w:rPr>
      </w:pPr>
      <w:r>
        <w:rPr>
          <w:color w:val="000000"/>
        </w:rPr>
        <w:tab/>
        <w:t xml:space="preserve">Tyto Všeobecné obchodní podmínky (dále jen VOP) upravují vztahy mezi společností Alžbětiny Lázně, a.s. jako poskytovatelem služeb (dále jen společnost) a odběratelem služeb – podnikatelem v rámci předmětu jeho podnikání (dále jen zákazník), které vyplývají z mezi nimi uzavřené smlouvy o poskytnutí služeb. </w:t>
      </w:r>
    </w:p>
    <w:p w:rsidR="007A2C2B" w:rsidRDefault="007A2C2B" w:rsidP="007A2C2B">
      <w:pPr>
        <w:spacing w:before="120"/>
        <w:ind w:left="340"/>
        <w:jc w:val="both"/>
        <w:rPr>
          <w:b/>
          <w:color w:val="000000"/>
        </w:rPr>
      </w:pPr>
      <w:r>
        <w:rPr>
          <w:color w:val="000000"/>
        </w:rPr>
        <w:t>Pokud z takovéto smlouvy resp. dohody nevyplývá nic jiného, platí pro písemně neupravený vztah mezi stranami v souladu s ustanovením § 1751 zákona č. 89/2012 Sb., občanského zákoníku tyto VOP. Pokud pro nějaký smluvní vztah mezi stranami úprava v písemném ujednání mezi stranami nebo v těchto VOP chybí, budou použity pro úpravu daného vztahu v první řadě obchodní zvyklosti, pokud ani v nich nebude příslušná úprava, bude postupováno dle  zákona č. 89/2012 Sb., občanský zákoník.</w:t>
      </w:r>
    </w:p>
    <w:p w:rsidR="007A2C2B" w:rsidRDefault="007A2C2B" w:rsidP="007A2C2B">
      <w:pPr>
        <w:spacing w:before="120"/>
        <w:ind w:left="340" w:hanging="34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Zákazník uznává následující VOP jako závazné pro všechna plnění, která mají být provedena v rámci smlouvy se společností. </w:t>
      </w:r>
    </w:p>
    <w:p w:rsidR="007A2C2B" w:rsidRDefault="007A2C2B" w:rsidP="007A2C2B">
      <w:pPr>
        <w:jc w:val="both"/>
        <w:rPr>
          <w:b/>
          <w:color w:val="000000"/>
        </w:rPr>
      </w:pPr>
    </w:p>
    <w:p w:rsidR="007A2C2B" w:rsidRDefault="007A2C2B" w:rsidP="007A2C2B">
      <w:pPr>
        <w:pStyle w:val="Zkladntext3"/>
        <w:spacing w:before="60" w:line="240" w:lineRule="auto"/>
        <w:ind w:left="426" w:hanging="426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Uzavření smlouvy a rozsah poskytnutí služeb</w:t>
      </w:r>
    </w:p>
    <w:p w:rsidR="007A2C2B" w:rsidRDefault="007A2C2B" w:rsidP="007A2C2B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Pro uzavření smlouvy a její rozsah je rozhodující oboustranné písemné prohlášení společnosti a zákazníka.  Je-li uzavřen vztah, aniž by existovalo takovéto oboustranné prohlášení, je rozhodující písemné potvrzení objednávky společností.</w:t>
      </w:r>
      <w:r>
        <w:rPr>
          <w:color w:val="000000"/>
          <w:sz w:val="22"/>
        </w:rPr>
        <w:t xml:space="preserve"> </w:t>
      </w:r>
    </w:p>
    <w:p w:rsidR="007A2C2B" w:rsidRDefault="007A2C2B" w:rsidP="007A2C2B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Jakákoli návazná či vedlejší ujednání  nebo dodatky ke smlouvě musí být písemně potvrzeny.</w:t>
      </w:r>
    </w:p>
    <w:p w:rsidR="007A2C2B" w:rsidRDefault="007A2C2B" w:rsidP="007A2C2B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Smlouva je mezi stranami rovněž uzavřena, pokud zákazník přijme nabídku na uzavření smlouvy tak, že se podle ní zachová, zejména poskyte-li společnosti plnění.</w:t>
      </w:r>
    </w:p>
    <w:p w:rsidR="007A2C2B" w:rsidRDefault="007A2C2B" w:rsidP="007A2C2B">
      <w:pPr>
        <w:ind w:left="340" w:hanging="340"/>
        <w:jc w:val="both"/>
        <w:rPr>
          <w:b/>
          <w:color w:val="000000"/>
        </w:rPr>
      </w:pPr>
    </w:p>
    <w:p w:rsidR="007A2C2B" w:rsidRDefault="007A2C2B" w:rsidP="007A2C2B">
      <w:pPr>
        <w:numPr>
          <w:ilvl w:val="0"/>
          <w:numId w:val="2"/>
        </w:num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Objednávky</w:t>
      </w:r>
    </w:p>
    <w:p w:rsidR="007A2C2B" w:rsidRDefault="007A2C2B" w:rsidP="007A2C2B">
      <w:pPr>
        <w:numPr>
          <w:ilvl w:val="1"/>
          <w:numId w:val="2"/>
        </w:numPr>
        <w:spacing w:before="60"/>
        <w:jc w:val="both"/>
        <w:rPr>
          <w:color w:val="000000"/>
        </w:rPr>
      </w:pPr>
      <w:r>
        <w:rPr>
          <w:color w:val="000000"/>
        </w:rPr>
        <w:t>Každou jednotlivou objednávku služeb musí zákazník zaslat společnosti písemně, a to poštou, faxem či e-mailem nebo on-line na webových stránkách společnosti.</w:t>
      </w:r>
    </w:p>
    <w:p w:rsidR="007A2C2B" w:rsidRDefault="007A2C2B" w:rsidP="007A2C2B">
      <w:pPr>
        <w:numPr>
          <w:ilvl w:val="1"/>
          <w:numId w:val="2"/>
        </w:numPr>
        <w:spacing w:before="60"/>
        <w:jc w:val="both"/>
        <w:rPr>
          <w:color w:val="000000"/>
        </w:rPr>
      </w:pPr>
      <w:r>
        <w:rPr>
          <w:color w:val="000000"/>
        </w:rPr>
        <w:t>Objednávka je platná, pokud je dostatečně určitá, obsahuje zřetelně formulované požadavky na konkrétní služby, jméno klienta, kterému mají být služby poskytnuty a termín pobytu, požadovaný terním poskytnutí služeb, dále obsahuje podstatné firemní údaje o zákazníkovi, včetně jeho jména a sídla, podpis oprávněné osoby zastupovat zákazníka, případně firemní razítko.</w:t>
      </w:r>
    </w:p>
    <w:p w:rsidR="007A2C2B" w:rsidRDefault="007A2C2B" w:rsidP="007A2C2B">
      <w:pPr>
        <w:numPr>
          <w:ilvl w:val="1"/>
          <w:numId w:val="2"/>
        </w:numPr>
        <w:spacing w:before="60"/>
        <w:jc w:val="both"/>
        <w:rPr>
          <w:color w:val="000000"/>
          <w:sz w:val="22"/>
        </w:rPr>
      </w:pPr>
      <w:r>
        <w:rPr>
          <w:color w:val="000000"/>
        </w:rPr>
        <w:t>V případě změny jména klienta či termínu pobytu a tím i objednaných služeb je zákazník povinen společnosti zaslat objednávku novou a společnosti nevyplývá povinnost tuto novou objednávku potvrdit. Takováto změna musí být na objednávce vyznačena, tj. z objednávky musí být zřejmý vztah k původní objednávce. V případě nepřijetí nové objednávky ze strany společnosti, vychází společnost z předpokladu, že ze strany zákazníka došlo ke zrušení či odvolání původní objednávky a v takovém případě je společnost oprávněna účtovat příslušné stornopolatky dle článku 6. těchto VOP.</w:t>
      </w:r>
    </w:p>
    <w:p w:rsidR="007A2C2B" w:rsidRDefault="007A2C2B" w:rsidP="007A2C2B">
      <w:pPr>
        <w:numPr>
          <w:ilvl w:val="1"/>
          <w:numId w:val="2"/>
        </w:numPr>
        <w:spacing w:before="60"/>
        <w:jc w:val="both"/>
        <w:rPr>
          <w:color w:val="000000"/>
          <w:sz w:val="22"/>
        </w:rPr>
      </w:pPr>
      <w:r>
        <w:rPr>
          <w:color w:val="000000"/>
        </w:rPr>
        <w:t>Potvrzení objednávky je platné, pokud toto potvrzení vystaví obchodní oddělení společnosti včetně firemního razítka a podpisu oprávněné osoby.</w:t>
      </w:r>
    </w:p>
    <w:p w:rsidR="007A2C2B" w:rsidRDefault="007A2C2B" w:rsidP="007A2C2B">
      <w:pPr>
        <w:ind w:left="527"/>
        <w:jc w:val="both"/>
        <w:rPr>
          <w:color w:val="000000"/>
        </w:rPr>
      </w:pPr>
    </w:p>
    <w:p w:rsidR="007A2C2B" w:rsidRDefault="007A2C2B" w:rsidP="007A2C2B">
      <w:pPr>
        <w:numPr>
          <w:ilvl w:val="0"/>
          <w:numId w:val="2"/>
        </w:num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Smluvní podmínky</w:t>
      </w:r>
    </w:p>
    <w:p w:rsidR="007A2C2B" w:rsidRDefault="007A2C2B" w:rsidP="007A2C2B">
      <w:pPr>
        <w:numPr>
          <w:ilvl w:val="1"/>
          <w:numId w:val="3"/>
        </w:numPr>
        <w:spacing w:before="60"/>
        <w:jc w:val="both"/>
        <w:rPr>
          <w:color w:val="000000"/>
        </w:rPr>
      </w:pPr>
      <w:r>
        <w:rPr>
          <w:color w:val="000000"/>
        </w:rPr>
        <w:t>Zákazník není oprávněn umožnit jakékoliv třetí osobě, která nebude ve smluvním vztahu se zákazníkem a která nebude na základě objednávky označena jako klient zákazníka, využívání služeb společnosti, tj. zejména není možné, aby jménem klienta čerpala služby třetí osoba.</w:t>
      </w:r>
    </w:p>
    <w:p w:rsidR="007A2C2B" w:rsidRDefault="007A2C2B" w:rsidP="007A2C2B">
      <w:pPr>
        <w:numPr>
          <w:ilvl w:val="1"/>
          <w:numId w:val="3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Zákazník poskytne společnosti na její žádost  dostupné </w:t>
      </w:r>
      <w:smartTag w:uri="urn:schemas-microsoft-com:office:smarttags" w:element="PersonName">
        <w:r>
          <w:rPr>
            <w:color w:val="000000"/>
          </w:rPr>
          <w:t>info</w:t>
        </w:r>
      </w:smartTag>
      <w:r>
        <w:rPr>
          <w:color w:val="000000"/>
        </w:rPr>
        <w:t>rmace o klientovi, jemuž mají být u společnosti poskytnuty služby, a to samozřejmě při respektování zákona o ochraně osobních údajů. Zákazník zejména poskytne společnosti jméno klienta, jeho bydliště, věk klienta, jeho pohlaví, případně další doplňující informace, které si společnost vyžádá.</w:t>
      </w:r>
    </w:p>
    <w:p w:rsidR="007A2C2B" w:rsidRDefault="007A2C2B" w:rsidP="007A2C2B">
      <w:pPr>
        <w:numPr>
          <w:ilvl w:val="1"/>
          <w:numId w:val="3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Zákazník bere na vědomí, že u procedur (služeb), které mohou být poskytnuty pouze v souladu s lékařským doporučením, může společnost odmítnout poskytnout službu zákazníkem určené osobě, pokud její zdravotní </w:t>
      </w:r>
      <w:r>
        <w:rPr>
          <w:color w:val="000000"/>
        </w:rPr>
        <w:lastRenderedPageBreak/>
        <w:t>stav nebude odpovídat poskytnutí služby. V takovém případě je zákazník oprávněn osobu určenou k čerpání služby změnit.</w:t>
      </w:r>
    </w:p>
    <w:p w:rsidR="007A2C2B" w:rsidRDefault="007A2C2B" w:rsidP="007A2C2B">
      <w:pPr>
        <w:numPr>
          <w:ilvl w:val="1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color w:val="000000"/>
        </w:rPr>
      </w:pPr>
      <w:r>
        <w:rPr>
          <w:color w:val="000000"/>
        </w:rPr>
        <w:t>Zákazník je povinen zajistit, že osoby jím určené k čerpání služby budou v rámci čerpání služby dodržovat podmínky stanovené společností, přičemž v případě porušení povinností klienta nebo zákazníka jako odběratele služby může společnost poskytování služby bez náhrady ukončit v jejím průběhu či může bez náhrady odmítnout službu poskytnout před jejím zahájením.</w:t>
      </w:r>
    </w:p>
    <w:p w:rsidR="007A2C2B" w:rsidRPr="000D7EB7" w:rsidRDefault="007A2C2B" w:rsidP="007A2C2B">
      <w:pPr>
        <w:numPr>
          <w:ilvl w:val="1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color w:val="000000"/>
        </w:rPr>
      </w:pPr>
      <w:r>
        <w:rPr>
          <w:color w:val="000000"/>
        </w:rPr>
        <w:t>Nedostáví-li se osoba určená zákazníkem k čerpání služby ve stanoveném termínu, považuje se služba za poskytnutou a zákazník je povinen tuto uhradit.</w:t>
      </w:r>
    </w:p>
    <w:p w:rsidR="007A2C2B" w:rsidRDefault="007A2C2B" w:rsidP="007A2C2B">
      <w:pPr>
        <w:numPr>
          <w:ilvl w:val="0"/>
          <w:numId w:val="4"/>
        </w:num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Cena služeb</w:t>
      </w:r>
    </w:p>
    <w:p w:rsidR="007A2C2B" w:rsidRDefault="007A2C2B" w:rsidP="007A2C2B">
      <w:pPr>
        <w:numPr>
          <w:ilvl w:val="1"/>
          <w:numId w:val="4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Za poskytnutí služeb přísluší společnosti sjednaná cena, přičemž pokud ceny nejsou uvedeny ve smlouvě nebo potvrzeny v příslušné objednávce, přísluší společnosti cena za služby dle jejího ceníku platného v den poskytnutí služeb. </w:t>
      </w:r>
    </w:p>
    <w:p w:rsidR="007A2C2B" w:rsidRDefault="007A2C2B" w:rsidP="007A2C2B">
      <w:pPr>
        <w:numPr>
          <w:ilvl w:val="1"/>
          <w:numId w:val="4"/>
        </w:numPr>
        <w:spacing w:before="60"/>
        <w:jc w:val="both"/>
        <w:rPr>
          <w:color w:val="000000"/>
        </w:rPr>
      </w:pPr>
      <w:r>
        <w:rPr>
          <w:color w:val="000000"/>
        </w:rPr>
        <w:t>Pokud není ve smlouvě uvedeno jinak, změní-li se v době platnosti smlouvy faktory nákladů, které ovlivňují ceny služeb, mohou být ceny služeb přizpůsobeny změněným vztahům.</w:t>
      </w:r>
    </w:p>
    <w:p w:rsidR="007A2C2B" w:rsidRDefault="007A2C2B" w:rsidP="007A2C2B">
      <w:pPr>
        <w:numPr>
          <w:ilvl w:val="1"/>
          <w:numId w:val="4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Novou sazbu cen služeb a okamžik její účinnosti sdělí společnost písemně zákazníkovi, a to alespoň dva týdny předem. </w:t>
      </w:r>
    </w:p>
    <w:p w:rsidR="007A2C2B" w:rsidRDefault="007A2C2B" w:rsidP="007A2C2B">
      <w:pPr>
        <w:numPr>
          <w:ilvl w:val="1"/>
          <w:numId w:val="4"/>
        </w:numPr>
        <w:spacing w:before="60"/>
        <w:jc w:val="both"/>
        <w:rPr>
          <w:color w:val="000000"/>
        </w:rPr>
      </w:pPr>
      <w:r>
        <w:rPr>
          <w:color w:val="000000"/>
        </w:rPr>
        <w:t>V případě změn ceníku se společnost zavazuje oznámit zákazníkovi nové ceny alespoň jeden měsíc předem.</w:t>
      </w:r>
    </w:p>
    <w:p w:rsidR="007A2C2B" w:rsidRDefault="007A2C2B" w:rsidP="007A2C2B">
      <w:pPr>
        <w:ind w:left="340" w:hanging="340"/>
        <w:jc w:val="both"/>
        <w:rPr>
          <w:b/>
          <w:color w:val="000000"/>
        </w:rPr>
      </w:pPr>
    </w:p>
    <w:p w:rsidR="007A2C2B" w:rsidRDefault="007A2C2B" w:rsidP="007A2C2B">
      <w:pPr>
        <w:spacing w:before="60"/>
        <w:ind w:left="340" w:hanging="340"/>
        <w:jc w:val="both"/>
        <w:rPr>
          <w:b/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Platební podmínky</w:t>
      </w:r>
    </w:p>
    <w:p w:rsidR="007A2C2B" w:rsidRDefault="007A2C2B" w:rsidP="007A2C2B">
      <w:pPr>
        <w:spacing w:before="60"/>
        <w:ind w:left="346" w:hanging="346"/>
        <w:jc w:val="both"/>
        <w:rPr>
          <w:color w:val="000000"/>
        </w:rPr>
      </w:pPr>
      <w:r>
        <w:rPr>
          <w:color w:val="000000"/>
        </w:rPr>
        <w:t>5.1 Pokud  nebylo dohodnuto oběma stranami v písemné formě jinak, zaplatí zákazník společnosti vždy nejpozději do čtrnácti dnů od data vystavení faktury, a to bezhotovostním převodem na účet společnosti uvedený na faktuře s tím, že za den splnění je považován den připsání na účet společnosti.</w:t>
      </w:r>
    </w:p>
    <w:p w:rsidR="007A2C2B" w:rsidRDefault="007A2C2B" w:rsidP="007A2C2B">
      <w:pPr>
        <w:spacing w:before="60"/>
        <w:ind w:left="346" w:hanging="346"/>
        <w:jc w:val="both"/>
        <w:rPr>
          <w:color w:val="000000"/>
        </w:rPr>
      </w:pPr>
      <w:r>
        <w:rPr>
          <w:color w:val="000000"/>
        </w:rPr>
        <w:t>5.2 Pokud není ve smlouvě stanoveno jinak, je zákazník povinen zaplatit  na účet společnosti zálohu ve výši 50% z předpokládáné ceny u všech objednaných a potvrzených služeb (ubytování, stravování apod.), a to ve lhůtě nejpozději 30 dnů před prvním poskytnutím služeb. Jsou-li služby objednané ve lhůtě kratší než 30 dní, zaplatí zákazník společnosti zálohu do 3 dnů od potvrzení objednávky. Zákazník zašle kopii platebního dokladu o uhrazení zálohy faxem nebo na adresu sídla společnosti, či na e-mailovou adresu společnosti: info@spa5.cz.</w:t>
      </w:r>
    </w:p>
    <w:p w:rsidR="007A2C2B" w:rsidRDefault="007A2C2B" w:rsidP="007A2C2B">
      <w:pPr>
        <w:spacing w:before="60"/>
        <w:ind w:left="346" w:hanging="6"/>
        <w:jc w:val="both"/>
        <w:rPr>
          <w:color w:val="000000"/>
        </w:rPr>
      </w:pPr>
      <w:r>
        <w:rPr>
          <w:color w:val="000000"/>
        </w:rPr>
        <w:t xml:space="preserve">V případě nezaplacení zálohy je společnost oprávněna neposkytnout klientovi objednané služby a vyúčtovat zákazníkovi adekvátní stornopoplatky. </w:t>
      </w:r>
    </w:p>
    <w:p w:rsidR="007A2C2B" w:rsidRDefault="007A2C2B" w:rsidP="007A2C2B">
      <w:pPr>
        <w:spacing w:before="60"/>
        <w:ind w:left="340"/>
        <w:jc w:val="both"/>
        <w:rPr>
          <w:color w:val="000000"/>
        </w:rPr>
      </w:pPr>
      <w:r>
        <w:rPr>
          <w:color w:val="000000"/>
        </w:rPr>
        <w:t>Pokud dojde ke zrušení objednávky společnost vrátí ve lhůtě 20 dní od obdržení zrušení objednávky zákazníkovi zaplacenou zálohu sníženou o odpovídající stornopoplatky, s čímž zákazník souhlasí.</w:t>
      </w:r>
    </w:p>
    <w:p w:rsidR="007A2C2B" w:rsidRDefault="007A2C2B" w:rsidP="007A2C2B">
      <w:pPr>
        <w:pStyle w:val="Zkladntextodsazen3"/>
        <w:spacing w:before="60" w:line="240" w:lineRule="auto"/>
        <w:rPr>
          <w:color w:val="000000"/>
        </w:rPr>
      </w:pPr>
      <w:r>
        <w:rPr>
          <w:color w:val="000000"/>
        </w:rPr>
        <w:t xml:space="preserve">5.3 </w:t>
      </w:r>
      <w:r>
        <w:rPr>
          <w:color w:val="000000"/>
        </w:rPr>
        <w:tab/>
        <w:t xml:space="preserve">Při celkové fakturaci bude účtován poslední písemně potvrzený počet osob a rozsah služeb. </w:t>
      </w:r>
    </w:p>
    <w:p w:rsidR="007A2C2B" w:rsidRDefault="007A2C2B" w:rsidP="007A2C2B">
      <w:pPr>
        <w:pStyle w:val="Zkladntextodsazen3"/>
        <w:spacing w:before="60" w:line="240" w:lineRule="auto"/>
        <w:rPr>
          <w:color w:val="000000"/>
        </w:rPr>
      </w:pPr>
      <w:r>
        <w:rPr>
          <w:color w:val="000000"/>
        </w:rPr>
        <w:t xml:space="preserve">5.4 Veškeré platby budou provedeny ve prospěch společnosti bez jakýchkoliv srážek.  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5.5 Zákazník není oprávněn platby snižovat nebo je na cokoliv vázat, započítávat může jen své pohledávky vůči společnosti, které byly společností uznány nebo byly potvrzeny již dále nenapadnutelným pravomocným rozhodnutím soudu.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5.6 Zákazník se zavazuje za každý den prodlení s úhradou zaplatit úroky z prodlení ve výši 0,05 % z dlužné částky.</w:t>
      </w:r>
    </w:p>
    <w:p w:rsidR="007A2C2B" w:rsidRDefault="007A2C2B" w:rsidP="007A2C2B">
      <w:pPr>
        <w:pStyle w:val="Zkladntextodsazen3"/>
        <w:spacing w:before="60" w:line="240" w:lineRule="auto"/>
        <w:rPr>
          <w:color w:val="000000"/>
        </w:rPr>
      </w:pPr>
      <w:r>
        <w:rPr>
          <w:color w:val="000000"/>
        </w:rPr>
        <w:t>5.7.Pokud po vystavení faktury dojde k podstatnému zhoršení majetkových poměrů zákazníka a je ohrožen nárok společnosti na úhradu finančního závazku, je společnost dle svého uvážení oprávněna učinit svůj nárok splatným nezávisle na údaji uvedeném na faktuře či termínu ve smlouvě. V takovémto případě může společnost rovněž s okamžitou účinností odstoupit od smlouvy.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5.8 Společnost je oprávněna započítat veškeré pohledávky, které jí vznikly vůči zákazníkovi, bez ohledu na to z jakého právního důvodu, proti veškerým pohledávkám zákazníka. Toto platí i v případě, pokud na jedné straně byla dohodnuta platba v hotovosti a na druhé platba směnkou nebo jiným úkonem. Pokud jsou pohledávky rozdílně splatné, stávají se pohledávky společnosti splatné nejpozději se splatností jeho závazků.</w:t>
      </w:r>
    </w:p>
    <w:p w:rsidR="007A2C2B" w:rsidRDefault="007A2C2B" w:rsidP="007A2C2B">
      <w:pPr>
        <w:ind w:left="340" w:hanging="340"/>
        <w:jc w:val="both"/>
        <w:rPr>
          <w:color w:val="000000"/>
        </w:rPr>
      </w:pPr>
    </w:p>
    <w:p w:rsidR="007A2C2B" w:rsidRDefault="007A2C2B" w:rsidP="007A2C2B">
      <w:pPr>
        <w:spacing w:before="60"/>
        <w:ind w:left="340" w:hanging="340"/>
        <w:jc w:val="both"/>
        <w:rPr>
          <w:b/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>Stornopoplatky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>6.1 V případě stornování či snížení původního objemu je zákazník povinen zaplatit společnosti následující stornopoplatky :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- ve výši 10 % z nerealizovaných procedur (objednaných služeb), je-li objednávka písemně  zrušena od 20 do 30 dnů před nástupem na čerpání objednaných procedury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- ve výši 30 % z nerealizovaných procedur (objednaných služeb), je-li objednávka písemně zrušena od 9 do 19 dnů před nástupem na čerpání objednaných procedur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- ve výši 50 % z nerealizovaných procedur (objednaných služeb), je-li objednávka písemně zrušena od 2 do 9 dnů před nástupem na čerpání objednaných procedur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- ve výši 100 % z nerealizovaných procedur (objednaných služeb), je-li objednávka písemně zrušena 1 den před nástupen a v den nástupu na čerpání objednaných procedur.</w:t>
      </w:r>
    </w:p>
    <w:p w:rsidR="007A2C2B" w:rsidRDefault="007A2C2B" w:rsidP="007A2C2B">
      <w:pPr>
        <w:pStyle w:val="Normln1"/>
        <w:spacing w:before="60"/>
        <w:ind w:left="346" w:hanging="34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6.2 Stornopoplatek nebude účtován v případě mimořádných událostí (úmrtí, nemoc, apod.).</w:t>
      </w:r>
    </w:p>
    <w:p w:rsidR="007A2C2B" w:rsidRDefault="007A2C2B" w:rsidP="007A2C2B">
      <w:pPr>
        <w:pStyle w:val="Normln1"/>
        <w:spacing w:before="60"/>
        <w:ind w:left="346" w:hanging="346"/>
        <w:jc w:val="both"/>
      </w:pPr>
      <w:r>
        <w:rPr>
          <w:rFonts w:ascii="Times New Roman" w:hAnsi="Times New Roman"/>
          <w:color w:val="000000"/>
          <w:sz w:val="20"/>
        </w:rPr>
        <w:t xml:space="preserve">6.3 </w:t>
      </w:r>
      <w:r>
        <w:rPr>
          <w:rFonts w:ascii="Times New Roman" w:hAnsi="Times New Roman"/>
          <w:color w:val="000000"/>
          <w:sz w:val="20"/>
        </w:rPr>
        <w:tab/>
        <w:t>Na úhradu stornopoplatků společnost vystaví zákazníkovi fakturu se splatností 14 dnů od data jejího vystavení. Sankce za pozdní úhradu takovéto faktury jsou stejné jako v bodě 5 těchto VOP.</w:t>
      </w:r>
    </w:p>
    <w:p w:rsidR="007A2C2B" w:rsidRDefault="007A2C2B" w:rsidP="007A2C2B">
      <w:pPr>
        <w:numPr>
          <w:ilvl w:val="0"/>
          <w:numId w:val="5"/>
        </w:numPr>
        <w:spacing w:before="60"/>
        <w:jc w:val="both"/>
        <w:rPr>
          <w:b/>
          <w:color w:val="000000"/>
        </w:rPr>
      </w:pPr>
      <w:r>
        <w:rPr>
          <w:b/>
          <w:color w:val="000000"/>
        </w:rPr>
        <w:t xml:space="preserve">Ukončení smlouvy – výpověď a odstoupení </w:t>
      </w:r>
    </w:p>
    <w:p w:rsidR="007A2C2B" w:rsidRDefault="007A2C2B" w:rsidP="007A2C2B">
      <w:pPr>
        <w:numPr>
          <w:ilvl w:val="1"/>
          <w:numId w:val="5"/>
        </w:numPr>
        <w:spacing w:before="60"/>
        <w:jc w:val="both"/>
        <w:rPr>
          <w:color w:val="000000"/>
        </w:rPr>
      </w:pPr>
      <w:r>
        <w:rPr>
          <w:color w:val="000000"/>
        </w:rPr>
        <w:t>Smlouvy na dobu určitou mohou být ukončeny před sjednaným termínem ukončení výhradně ze strany společnosti odstoupením od smlouvy dle článku 7.3, příp. s jejím výslovným písemným souhlasem.</w:t>
      </w:r>
    </w:p>
    <w:p w:rsidR="007A2C2B" w:rsidRDefault="007A2C2B" w:rsidP="007A2C2B">
      <w:pPr>
        <w:numPr>
          <w:ilvl w:val="1"/>
          <w:numId w:val="5"/>
        </w:numPr>
        <w:spacing w:before="60"/>
        <w:jc w:val="both"/>
        <w:rPr>
          <w:color w:val="000000"/>
        </w:rPr>
      </w:pPr>
      <w:r>
        <w:rPr>
          <w:color w:val="000000"/>
        </w:rPr>
        <w:t>Smlouvy na dobu neurčitou mohou být ze strany zákazníka i společnosti vypovězeny, a to s výpovědní dobou 2 měsíce.</w:t>
      </w:r>
    </w:p>
    <w:p w:rsidR="007A2C2B" w:rsidRDefault="007A2C2B" w:rsidP="007A2C2B">
      <w:pPr>
        <w:numPr>
          <w:ilvl w:val="1"/>
          <w:numId w:val="5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 Společnost je oprávněna od smlouvy odstoupit ve všech případech stanovených ve smlouvě a v těchto VOP, zejména pak pokud: </w:t>
      </w:r>
    </w:p>
    <w:p w:rsidR="007A2C2B" w:rsidRDefault="007A2C2B" w:rsidP="007A2C2B">
      <w:pPr>
        <w:numPr>
          <w:ilvl w:val="0"/>
          <w:numId w:val="6"/>
        </w:numPr>
        <w:spacing w:before="60"/>
        <w:jc w:val="both"/>
        <w:rPr>
          <w:color w:val="000000"/>
        </w:rPr>
      </w:pPr>
      <w:r>
        <w:rPr>
          <w:color w:val="000000"/>
        </w:rPr>
        <w:t>zákazník bude v prodlení s jakoukoliv platbou dle smlouvy či těchto VOP déle než patnáct dní</w:t>
      </w:r>
    </w:p>
    <w:p w:rsidR="007A2C2B" w:rsidRDefault="007A2C2B" w:rsidP="007A2C2B">
      <w:pPr>
        <w:numPr>
          <w:ilvl w:val="0"/>
          <w:numId w:val="6"/>
        </w:numPr>
        <w:spacing w:before="60"/>
        <w:jc w:val="both"/>
        <w:rPr>
          <w:color w:val="000000"/>
        </w:rPr>
      </w:pPr>
      <w:r>
        <w:rPr>
          <w:color w:val="000000"/>
        </w:rPr>
        <w:t>zákazník poruší jakoukoliv povinnost dle smlouvy nebo těchto VOP</w:t>
      </w:r>
    </w:p>
    <w:p w:rsidR="007A2C2B" w:rsidRDefault="007A2C2B" w:rsidP="007A2C2B">
      <w:pPr>
        <w:numPr>
          <w:ilvl w:val="0"/>
          <w:numId w:val="6"/>
        </w:numPr>
        <w:spacing w:before="60"/>
        <w:jc w:val="both"/>
        <w:rPr>
          <w:color w:val="000000"/>
        </w:rPr>
      </w:pPr>
      <w:r>
        <w:rPr>
          <w:color w:val="000000"/>
        </w:rPr>
        <w:t xml:space="preserve">zákazník se ocitne v platební neschop-nosti, vstoupí do likvidace nebo bude proti němu zahájeno insolvenční řízení a bude rozhodnuto o jeho úpadku </w:t>
      </w:r>
    </w:p>
    <w:p w:rsidR="007A2C2B" w:rsidRDefault="007A2C2B" w:rsidP="007A2C2B">
      <w:pPr>
        <w:numPr>
          <w:ilvl w:val="0"/>
          <w:numId w:val="6"/>
        </w:numPr>
        <w:spacing w:before="60"/>
        <w:jc w:val="both"/>
        <w:rPr>
          <w:color w:val="000000"/>
        </w:rPr>
      </w:pPr>
      <w:r>
        <w:rPr>
          <w:color w:val="000000"/>
        </w:rPr>
        <w:t>dojde k vlastnickým změnám, změnám v obsazení statutárních orgánů zákazníka, či k jiným změnám ovlivňujících vztah mezi společností a zákazníkem</w:t>
      </w:r>
    </w:p>
    <w:p w:rsidR="007A2C2B" w:rsidRDefault="007A2C2B" w:rsidP="007A2C2B">
      <w:pPr>
        <w:numPr>
          <w:ilvl w:val="0"/>
          <w:numId w:val="6"/>
        </w:numPr>
        <w:spacing w:before="60"/>
        <w:jc w:val="both"/>
        <w:rPr>
          <w:color w:val="000000"/>
        </w:rPr>
      </w:pPr>
      <w:r>
        <w:rPr>
          <w:color w:val="000000"/>
        </w:rPr>
        <w:t>zákazník ne</w:t>
      </w:r>
      <w:smartTag w:uri="urn:schemas-microsoft-com:office:smarttags" w:element="PersonName">
        <w:r>
          <w:rPr>
            <w:color w:val="000000"/>
          </w:rPr>
          <w:t>info</w:t>
        </w:r>
      </w:smartTag>
      <w:r>
        <w:rPr>
          <w:color w:val="000000"/>
        </w:rPr>
        <w:t>rmuje do 30ti dnů společnost o změnách uvedených v čl. 7.3., odst. d)</w:t>
      </w:r>
    </w:p>
    <w:p w:rsidR="007A2C2B" w:rsidRDefault="007A2C2B" w:rsidP="007A2C2B">
      <w:pPr>
        <w:contextualSpacing/>
        <w:jc w:val="both"/>
        <w:rPr>
          <w:color w:val="000000"/>
        </w:rPr>
      </w:pPr>
    </w:p>
    <w:p w:rsidR="007A2C2B" w:rsidRDefault="007A2C2B" w:rsidP="007A2C2B">
      <w:pPr>
        <w:numPr>
          <w:ilvl w:val="0"/>
          <w:numId w:val="5"/>
        </w:num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Reklamace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8.1 Platné jsou pouze písemné reklamace včas doručené společnosti.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8.2 Pokud není sjednáno jinak, může zákazník své právo reklamovat vady poskytnutých služeb uplatnit pouze v době poskytování služeb či v době bezprostředně po poskytnutí služeb, a to nejdéle do jednoho týdne od poskytnutí.</w:t>
      </w:r>
    </w:p>
    <w:p w:rsidR="007A2C2B" w:rsidRDefault="007A2C2B" w:rsidP="007A2C2B">
      <w:pPr>
        <w:spacing w:before="60"/>
        <w:ind w:left="340" w:hanging="340"/>
        <w:jc w:val="both"/>
        <w:rPr>
          <w:color w:val="000000"/>
        </w:rPr>
      </w:pPr>
      <w:r>
        <w:rPr>
          <w:color w:val="000000"/>
        </w:rPr>
        <w:t>8.3.V ostatním se reklamace služeb řídí reklamačním řádem společnosti, a to reklamačními podmínkami pro podnikatele, přičemž zákazník svým podpisem stvrzuje, že byl s tímto reklamačním řádem seznámen.</w:t>
      </w:r>
    </w:p>
    <w:p w:rsidR="007A2C2B" w:rsidRDefault="007A2C2B" w:rsidP="007A2C2B">
      <w:pPr>
        <w:ind w:left="397" w:hanging="397"/>
        <w:jc w:val="both"/>
        <w:rPr>
          <w:b/>
          <w:color w:val="000000"/>
        </w:rPr>
      </w:pPr>
    </w:p>
    <w:p w:rsidR="007A2C2B" w:rsidRDefault="007A2C2B" w:rsidP="007A2C2B">
      <w:pPr>
        <w:spacing w:before="60"/>
        <w:ind w:left="397" w:hanging="397"/>
        <w:jc w:val="both"/>
        <w:rPr>
          <w:b/>
          <w:color w:val="000000"/>
        </w:rPr>
      </w:pPr>
      <w:r>
        <w:rPr>
          <w:b/>
          <w:color w:val="000000"/>
        </w:rPr>
        <w:t xml:space="preserve">9. </w:t>
      </w:r>
      <w:r>
        <w:rPr>
          <w:b/>
          <w:color w:val="000000"/>
        </w:rPr>
        <w:tab/>
        <w:t>Povinnost mlčenlivosti</w:t>
      </w:r>
    </w:p>
    <w:p w:rsidR="007A2C2B" w:rsidRDefault="007A2C2B" w:rsidP="007A2C2B">
      <w:pPr>
        <w:spacing w:before="60"/>
        <w:ind w:left="397" w:hanging="397"/>
        <w:jc w:val="both"/>
        <w:rPr>
          <w:color w:val="000000"/>
        </w:rPr>
      </w:pPr>
      <w:r>
        <w:rPr>
          <w:color w:val="000000"/>
        </w:rPr>
        <w:tab/>
        <w:t>Zákazník je ještě 5 let po skončení smluvního vztahu povinen dodržovat bezpodmínečnou mlčenlivost o všech obchodních záležitostech a činnostech, zejména o obchodních a bankovních spojeních, bilancích, obratech, kalkulacích, důležité korespondenci, seznamech klientů, cenových listinách, výrobních, pracovních, prodejních a reklamních metodách společnosti, o kterých se za trvání smluvního vztahu dozví.</w:t>
      </w:r>
    </w:p>
    <w:p w:rsidR="007A2C2B" w:rsidRDefault="007A2C2B" w:rsidP="007A2C2B">
      <w:pPr>
        <w:ind w:left="397" w:hanging="397"/>
        <w:jc w:val="both"/>
        <w:rPr>
          <w:b/>
          <w:color w:val="000000"/>
        </w:rPr>
      </w:pPr>
    </w:p>
    <w:p w:rsidR="007A2C2B" w:rsidRDefault="007A2C2B" w:rsidP="007A2C2B">
      <w:pPr>
        <w:spacing w:before="60"/>
        <w:ind w:left="340" w:hanging="340"/>
        <w:jc w:val="both"/>
        <w:rPr>
          <w:b/>
          <w:bCs/>
          <w:color w:val="000000"/>
        </w:rPr>
      </w:pPr>
      <w:r>
        <w:rPr>
          <w:b/>
          <w:color w:val="000000"/>
        </w:rPr>
        <w:t>10.</w:t>
      </w:r>
      <w:r>
        <w:rPr>
          <w:b/>
          <w:color w:val="000000"/>
        </w:rPr>
        <w:tab/>
      </w:r>
      <w:r>
        <w:rPr>
          <w:b/>
          <w:bCs/>
          <w:color w:val="000000"/>
        </w:rPr>
        <w:t>Tabulka slev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Nebude-li písemně dohodou stanoveno jinak, bude výše slevy stanovena zákazníkovi dle objemu jeho realizovaných objednávek u společnosti v předchozím kalendářním roce :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Objem v CZK               Sleva na procedury: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0 – 9 999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5 %</w:t>
      </w:r>
      <w:r>
        <w:rPr>
          <w:rFonts w:ascii="Times New Roman" w:hAnsi="Times New Roman"/>
          <w:color w:val="000000"/>
          <w:sz w:val="20"/>
        </w:rPr>
        <w:tab/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10  000 -   99 999                           10 % 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>100 000 - 199 999                           12 %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200 000 -  499 999                          15 %</w:t>
      </w:r>
    </w:p>
    <w:p w:rsidR="007A2C2B" w:rsidRDefault="007A2C2B" w:rsidP="007A2C2B">
      <w:pPr>
        <w:pStyle w:val="Normln1"/>
        <w:spacing w:before="60"/>
        <w:ind w:left="346" w:hanging="6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nad 500 000                                     20 %</w:t>
      </w:r>
    </w:p>
    <w:p w:rsidR="007A2C2B" w:rsidRPr="006D58C2" w:rsidRDefault="007A2C2B" w:rsidP="007A2C2B">
      <w:pPr>
        <w:pStyle w:val="Normln1"/>
        <w:rPr>
          <w:color w:val="000000"/>
          <w:sz w:val="20"/>
        </w:rPr>
      </w:pPr>
    </w:p>
    <w:p w:rsidR="007A2C2B" w:rsidRDefault="007A2C2B" w:rsidP="007A2C2B">
      <w:pPr>
        <w:spacing w:before="60"/>
        <w:ind w:left="340" w:hanging="340"/>
        <w:jc w:val="both"/>
        <w:rPr>
          <w:b/>
          <w:color w:val="000000"/>
        </w:rPr>
      </w:pPr>
      <w:r>
        <w:rPr>
          <w:b/>
          <w:color w:val="000000"/>
        </w:rPr>
        <w:t>11.</w:t>
      </w:r>
      <w:r>
        <w:rPr>
          <w:b/>
          <w:color w:val="000000"/>
        </w:rPr>
        <w:tab/>
        <w:t>Použité právo a sídlo soudu</w:t>
      </w:r>
    </w:p>
    <w:p w:rsidR="007A2C2B" w:rsidRDefault="007A2C2B" w:rsidP="007A2C2B">
      <w:pPr>
        <w:spacing w:before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11.1 Tyto VOP a vztahy z nich vyplývající se řídí českým právem. Zcela nebo částečné opominutí výkonu práv z VOP nevylučuje jejich budoucí výkon. Pokud některé ustanovení VOP ztratí svou platnost, zůstávají ostatní ustanovení nedotčena v platnosti a pro tímto vzniklou mezeru se použije smyslu a účelu nejvíce odpovídající ustanovení platných českých právních předpisů. </w:t>
      </w:r>
    </w:p>
    <w:p w:rsidR="007A2C2B" w:rsidRPr="0023105D" w:rsidRDefault="007A2C2B" w:rsidP="007A2C2B">
      <w:pPr>
        <w:spacing w:before="120" w:line="240" w:lineRule="atLeast"/>
        <w:ind w:left="426" w:hanging="426"/>
        <w:jc w:val="both"/>
      </w:pPr>
      <w:r w:rsidRPr="0023105D">
        <w:t>11.2</w:t>
      </w:r>
      <w:r>
        <w:t xml:space="preserve"> </w:t>
      </w:r>
      <w:r w:rsidRPr="0023105D">
        <w:t>Soudem příslušným pro</w:t>
      </w:r>
      <w:r>
        <w:t xml:space="preserve"> rozhodování sporů ze smlouvy mezi společností a zákazníkem a těchto VOP</w:t>
      </w:r>
      <w:r w:rsidRPr="000740B4">
        <w:t xml:space="preserve"> je</w:t>
      </w:r>
      <w:r>
        <w:t xml:space="preserve"> Okresní soud v Karlových Varech, případně Krajský soud v Plzni</w:t>
      </w:r>
      <w:r w:rsidRPr="0023105D">
        <w:t>.</w:t>
      </w:r>
    </w:p>
    <w:p w:rsidR="007A2C2B" w:rsidRDefault="007A2C2B" w:rsidP="007A2C2B">
      <w:pPr>
        <w:spacing w:before="60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12.</w:t>
      </w:r>
      <w:r>
        <w:rPr>
          <w:b/>
          <w:color w:val="000000"/>
        </w:rPr>
        <w:tab/>
        <w:t>Vedlejší ujednání</w:t>
      </w:r>
    </w:p>
    <w:p w:rsidR="007A2C2B" w:rsidRDefault="007A2C2B" w:rsidP="007A2C2B">
      <w:pPr>
        <w:numPr>
          <w:ilvl w:val="1"/>
          <w:numId w:val="7"/>
        </w:numPr>
        <w:spacing w:before="60"/>
        <w:jc w:val="both"/>
        <w:rPr>
          <w:color w:val="000000"/>
        </w:rPr>
      </w:pPr>
      <w:r>
        <w:rPr>
          <w:color w:val="000000"/>
        </w:rPr>
        <w:t>Vedlejší ujednání, změny nebo doplnění smlouvy vyžadují ke své účinnosti písemnou formu. Stejné platí i pro vzdání se požadavku formy.</w:t>
      </w:r>
    </w:p>
    <w:p w:rsidR="007A2C2B" w:rsidRDefault="007A2C2B" w:rsidP="007A2C2B">
      <w:pPr>
        <w:jc w:val="both"/>
        <w:rPr>
          <w:b/>
          <w:color w:val="000000"/>
        </w:rPr>
      </w:pPr>
    </w:p>
    <w:p w:rsidR="007A2C2B" w:rsidRDefault="007A2C2B" w:rsidP="007A2C2B">
      <w:p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13. Závěrečná ustanovení</w:t>
      </w:r>
    </w:p>
    <w:p w:rsidR="007A2C2B" w:rsidRDefault="007A2C2B" w:rsidP="007A2C2B">
      <w:pPr>
        <w:spacing w:before="60"/>
        <w:ind w:left="426" w:hanging="426"/>
        <w:jc w:val="both"/>
        <w:rPr>
          <w:b/>
          <w:color w:val="000000"/>
        </w:rPr>
      </w:pPr>
      <w:r w:rsidRPr="0095582D">
        <w:rPr>
          <w:color w:val="000000"/>
        </w:rPr>
        <w:t>13.1</w:t>
      </w:r>
      <w:r>
        <w:rPr>
          <w:color w:val="000000"/>
        </w:rPr>
        <w:tab/>
        <w:t>Společnost je oprávněna tyto VOP v přiměřeném rozsahu dle změn právních předpisů, vývoje soudní judikatury a dle praktických potřeb změnit, když zákazník přijetím těchto VOP s provedením změn ze strany společnosti souhlasí. Společnost je povinna o změně VOP písemně informovat alespoň dva týdny před účinností změn, když výběr formy závisí na společnosti. V případě, že zákazník nebude se změnou VOP souhlasit, je povinen tuto skutečnost oznámit společnosti nejpozději ve lhůtě 7 dnů ode dne oznámení společnosti. Pokud zákazník nebude se změnou VOP souhlasit, pak zůstávají v platnosti podmínky sjednané do změny VOP, pokud se některá smluvní strana nerozhodne z důvodu změn VOP smlouvu vypovědět, a to ve lhůtě jednoho měsíce od oznámení nesouhlasu zákazníkem.</w:t>
      </w:r>
    </w:p>
    <w:p w:rsidR="007A2C2B" w:rsidRPr="0023105D" w:rsidRDefault="007A2C2B" w:rsidP="007A2C2B">
      <w:pPr>
        <w:spacing w:before="6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13.2 Tyto VOP nabývají planosti a účinnosti </w:t>
      </w:r>
      <w:r w:rsidRPr="000740B4">
        <w:rPr>
          <w:color w:val="000000"/>
        </w:rPr>
        <w:t xml:space="preserve">dnem </w:t>
      </w:r>
      <w:r w:rsidRPr="0023105D">
        <w:rPr>
          <w:color w:val="000000"/>
        </w:rPr>
        <w:t>01.05.2016.</w:t>
      </w:r>
    </w:p>
    <w:p w:rsidR="007A2C2B" w:rsidRPr="0095582D" w:rsidRDefault="007A2C2B" w:rsidP="007A2C2B">
      <w:pPr>
        <w:spacing w:before="60"/>
        <w:ind w:left="426" w:hanging="426"/>
        <w:jc w:val="both"/>
        <w:rPr>
          <w:color w:val="000000"/>
        </w:rPr>
      </w:pPr>
      <w:r w:rsidRPr="0023105D">
        <w:rPr>
          <w:color w:val="000000"/>
        </w:rPr>
        <w:t>13.3 Počínaje dnem účinnosti</w:t>
      </w:r>
      <w:r>
        <w:rPr>
          <w:color w:val="000000"/>
        </w:rPr>
        <w:t xml:space="preserve"> těchto VOP zanikají předchozí Všeobecné obchodní podmínky společnosti, týkající se poskytování služeb společností zákazníkům, kteří jsou podnikatelé.</w:t>
      </w:r>
    </w:p>
    <w:p w:rsidR="007A2C2B" w:rsidRDefault="007A2C2B" w:rsidP="007A2C2B">
      <w:pPr>
        <w:spacing w:before="60"/>
        <w:jc w:val="both"/>
        <w:rPr>
          <w:color w:val="000000"/>
          <w:sz w:val="22"/>
        </w:rPr>
      </w:pPr>
    </w:p>
    <w:p w:rsidR="007A2C2B" w:rsidRDefault="007A2C2B" w:rsidP="007A2C2B">
      <w:pPr>
        <w:spacing w:before="60"/>
        <w:jc w:val="both"/>
        <w:rPr>
          <w:color w:val="000000"/>
          <w:sz w:val="22"/>
        </w:rPr>
      </w:pPr>
      <w:r>
        <w:rPr>
          <w:color w:val="000000"/>
          <w:sz w:val="22"/>
        </w:rPr>
        <w:t>My</w:t>
      </w:r>
      <w:r w:rsidRPr="008C5363">
        <w:rPr>
          <w:color w:val="000000"/>
          <w:sz w:val="22"/>
        </w:rPr>
        <w:t>, ............................................................................................................. tímto výslovně prohlašujeme, že jsme obdrželi jedno</w:t>
      </w:r>
      <w:r>
        <w:rPr>
          <w:color w:val="000000"/>
          <w:sz w:val="22"/>
        </w:rPr>
        <w:t xml:space="preserve"> vyhotovení výše uvedených VOP  jako nedílnou součást naší smlouvy nebo dohody se společností Alžbětiny Lázně, a.s., jako poskytovatelem služeb. Dále prohlašujeme, že jsme se s VOP v plném rozsahu seznámili, společností nám byla vysvětlena všechna ustanovení VOP. VOP jsme zcela poruzuměli , bez výhrad je akceptujeme a výslovně tyto VOP přijímáme. Současně  souhlasíme s tím, že společnost Alžbětiny Lázně, a.s. je oprávněna tyto VOP v příměřeném rozsahu dle změn právních předpisů, vývoje soudní judikatury a dle praktickcýh potřeb změnit. Společnost nás seznámila se všemi organizačními a vnitřními předpisy společnosti, kterými jsme jako zákazník povinni se řídit. Ve smyslu ustanovení § 630 odstavec 1 zákona č. 89/2012 Sb., občanský zákoník, prohlašujeme, že veškeré nároky a práva (včetně nároku na náhradu škody a smluvní pokutu) společnosti Alžbětiny Lázně, a.s. ze smluvního vztahu s námi se promlčují teprve 15 let po vzniku těchto nároků a práv, kdy tato promlčecí lhůta byla mezi námi a společností dohodnuta Podpisem tohoto prohlášení se vzdáváme jakýchkoliv práv z vadného plnění, vyjma těch uvedených v těchto VOP a ve smlouvě.</w:t>
      </w:r>
    </w:p>
    <w:p w:rsidR="007A2C2B" w:rsidRDefault="007A2C2B" w:rsidP="007A2C2B">
      <w:pPr>
        <w:spacing w:before="60"/>
        <w:jc w:val="both"/>
        <w:rPr>
          <w:color w:val="000000"/>
          <w:sz w:val="22"/>
        </w:rPr>
      </w:pPr>
    </w:p>
    <w:p w:rsidR="007A2C2B" w:rsidRDefault="007A2C2B" w:rsidP="007A2C2B">
      <w:pPr>
        <w:spacing w:before="60"/>
        <w:jc w:val="both"/>
        <w:rPr>
          <w:color w:val="000000"/>
        </w:rPr>
      </w:pPr>
    </w:p>
    <w:p w:rsidR="007A2C2B" w:rsidRDefault="007A2C2B" w:rsidP="007A2C2B">
      <w:pPr>
        <w:spacing w:before="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Datum </w:t>
      </w:r>
    </w:p>
    <w:p w:rsidR="007A2C2B" w:rsidRDefault="007A2C2B" w:rsidP="007A2C2B">
      <w:pPr>
        <w:jc w:val="both"/>
        <w:rPr>
          <w:color w:val="000000"/>
          <w:sz w:val="22"/>
        </w:rPr>
      </w:pPr>
    </w:p>
    <w:p w:rsidR="007A2C2B" w:rsidRDefault="007A2C2B" w:rsidP="007A2C2B">
      <w:pPr>
        <w:jc w:val="both"/>
        <w:rPr>
          <w:color w:val="000000"/>
          <w:sz w:val="22"/>
        </w:rPr>
      </w:pPr>
    </w:p>
    <w:p w:rsidR="007A2C2B" w:rsidRDefault="007A2C2B" w:rsidP="007A2C2B">
      <w:pPr>
        <w:jc w:val="both"/>
        <w:rPr>
          <w:color w:val="000000"/>
          <w:sz w:val="22"/>
        </w:rPr>
      </w:pPr>
    </w:p>
    <w:p w:rsidR="007A2C2B" w:rsidRDefault="007A2C2B" w:rsidP="007A2C2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Razítko                               Podpisy oprávněných zástupců zákazníka</w:t>
      </w:r>
      <w:bookmarkStart w:id="0" w:name="_GoBack"/>
      <w:bookmarkEnd w:id="0"/>
    </w:p>
    <w:sectPr w:rsidR="007A2C2B" w:rsidSect="00472363">
      <w:headerReference w:type="default" r:id="rId8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AD" w:rsidRDefault="00AE66AD" w:rsidP="00C24137">
      <w:r>
        <w:separator/>
      </w:r>
    </w:p>
  </w:endnote>
  <w:endnote w:type="continuationSeparator" w:id="0">
    <w:p w:rsidR="00AE66AD" w:rsidRDefault="00AE66AD" w:rsidP="00C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AD" w:rsidRDefault="00AE66AD" w:rsidP="00C24137">
      <w:r>
        <w:separator/>
      </w:r>
    </w:p>
  </w:footnote>
  <w:footnote w:type="continuationSeparator" w:id="0">
    <w:p w:rsidR="00AE66AD" w:rsidRDefault="00AE66AD" w:rsidP="00C2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37" w:rsidRDefault="00472363">
    <w:pPr>
      <w:pStyle w:val="Zhlav"/>
    </w:pPr>
    <w:r>
      <w:drawing>
        <wp:anchor distT="0" distB="0" distL="114300" distR="114300" simplePos="0" relativeHeight="251658240" behindDoc="1" locked="0" layoutInCell="1" allowOverlap="1" wp14:anchorId="65914667" wp14:editId="1146C2E0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 SPA5 201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B84"/>
    <w:multiLevelType w:val="multilevel"/>
    <w:tmpl w:val="9D0097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9226312"/>
    <w:multiLevelType w:val="multilevel"/>
    <w:tmpl w:val="E208FB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FB2140C"/>
    <w:multiLevelType w:val="multilevel"/>
    <w:tmpl w:val="7108AB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FA87A22"/>
    <w:multiLevelType w:val="multilevel"/>
    <w:tmpl w:val="7616A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7362635"/>
    <w:multiLevelType w:val="singleLevel"/>
    <w:tmpl w:val="E642036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abstractNum w:abstractNumId="5">
    <w:nsid w:val="7B443242"/>
    <w:multiLevelType w:val="multilevel"/>
    <w:tmpl w:val="75F018C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DAE4722"/>
    <w:multiLevelType w:val="multilevel"/>
    <w:tmpl w:val="4F6E8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2B"/>
    <w:rsid w:val="0007169E"/>
    <w:rsid w:val="00152F4C"/>
    <w:rsid w:val="001E2176"/>
    <w:rsid w:val="002861C3"/>
    <w:rsid w:val="00312613"/>
    <w:rsid w:val="00355CFE"/>
    <w:rsid w:val="00472363"/>
    <w:rsid w:val="00546457"/>
    <w:rsid w:val="007A2C2B"/>
    <w:rsid w:val="008C68C4"/>
    <w:rsid w:val="009567EB"/>
    <w:rsid w:val="00AE66AD"/>
    <w:rsid w:val="00B46347"/>
    <w:rsid w:val="00BF0EE3"/>
    <w:rsid w:val="00C24137"/>
    <w:rsid w:val="00C94EE9"/>
    <w:rsid w:val="00C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C2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2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nhideWhenUsed/>
    <w:rsid w:val="00C24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7A2C2B"/>
    <w:pPr>
      <w:widowControl w:val="0"/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7A2C2B"/>
  </w:style>
  <w:style w:type="paragraph" w:styleId="Zkladntext3">
    <w:name w:val="Body Text 3"/>
    <w:basedOn w:val="Normln"/>
    <w:link w:val="Zkladntext3Char"/>
    <w:rsid w:val="007A2C2B"/>
    <w:pPr>
      <w:spacing w:before="120" w:line="240" w:lineRule="atLeast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7A2C2B"/>
    <w:rPr>
      <w:rFonts w:ascii="Times New Roman" w:eastAsia="Times New Roman" w:hAnsi="Times New Roman" w:cs="Times New Roman"/>
      <w:b/>
      <w:noProof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7A2C2B"/>
    <w:pPr>
      <w:spacing w:before="120" w:line="240" w:lineRule="atLeast"/>
      <w:ind w:left="340" w:hanging="3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7A2C2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C2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2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nhideWhenUsed/>
    <w:rsid w:val="00C24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7A2C2B"/>
    <w:pPr>
      <w:widowControl w:val="0"/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7A2C2B"/>
  </w:style>
  <w:style w:type="paragraph" w:styleId="Zkladntext3">
    <w:name w:val="Body Text 3"/>
    <w:basedOn w:val="Normln"/>
    <w:link w:val="Zkladntext3Char"/>
    <w:rsid w:val="007A2C2B"/>
    <w:pPr>
      <w:spacing w:before="120" w:line="240" w:lineRule="atLeast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7A2C2B"/>
    <w:rPr>
      <w:rFonts w:ascii="Times New Roman" w:eastAsia="Times New Roman" w:hAnsi="Times New Roman" w:cs="Times New Roman"/>
      <w:b/>
      <w:noProof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7A2C2B"/>
    <w:pPr>
      <w:spacing w:before="120" w:line="240" w:lineRule="atLeast"/>
      <w:ind w:left="340" w:hanging="3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7A2C2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ogo+%20hlavi&#269;.pap&#237;r\Hlavi&#269;kov&#253;%20pap&#237;r%20SPA5%20-%20pr&#225;zdn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SPA5 - prázdný.dotx</Template>
  <TotalTime>3</TotalTime>
  <Pages>4</Pages>
  <Words>2037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2016-04-27T12:38:00Z</cp:lastPrinted>
  <dcterms:created xsi:type="dcterms:W3CDTF">2016-04-27T12:37:00Z</dcterms:created>
  <dcterms:modified xsi:type="dcterms:W3CDTF">2016-04-27T12:40:00Z</dcterms:modified>
</cp:coreProperties>
</file>