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5C5C0835" w:rsidR="00780343" w:rsidRPr="003B1E01" w:rsidRDefault="005F2BF7" w:rsidP="003357C8">
      <w:pPr>
        <w:ind w:firstLine="708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3D0C1E">
        <w:rPr>
          <w:rFonts w:ascii="UnitPro-Light" w:hAnsi="UnitPro-Light" w:cs="UnitPro-Light"/>
          <w:b/>
          <w:sz w:val="20"/>
          <w:szCs w:val="20"/>
        </w:rPr>
        <w:t>1</w:t>
      </w:r>
    </w:p>
    <w:p w14:paraId="2BF03212" w14:textId="1226EB11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3D0C1E">
        <w:rPr>
          <w:rFonts w:ascii="UnitPro-Light" w:hAnsi="UnitPro-Light" w:cs="UnitPro-Light"/>
          <w:b/>
          <w:sz w:val="20"/>
          <w:szCs w:val="20"/>
        </w:rPr>
        <w:t>20-0344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gramStart"/>
      <w:r w:rsidR="003D0C1E">
        <w:rPr>
          <w:rFonts w:ascii="UnitPro-Light" w:hAnsi="UnitPro-Light" w:cs="UnitPro-Light"/>
          <w:b/>
          <w:sz w:val="20"/>
          <w:szCs w:val="20"/>
        </w:rPr>
        <w:t>1.1.2021</w:t>
      </w:r>
      <w:proofErr w:type="gramEnd"/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3D0C1E" w:rsidRPr="003D0C1E">
        <w:rPr>
          <w:rFonts w:ascii="UnitPro-Light" w:hAnsi="UnitPro-Light" w:cs="UnitPro-Light"/>
          <w:b/>
          <w:sz w:val="20"/>
          <w:szCs w:val="20"/>
        </w:rPr>
        <w:t>Zajištění služeb PO a BOZP na 2021 - 2024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15B082A7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D0C1E">
        <w:rPr>
          <w:rFonts w:ascii="UnitPro-Light" w:hAnsi="UnitPro-Light" w:cs="UnitPro-Light"/>
          <w:sz w:val="20"/>
          <w:szCs w:val="20"/>
        </w:rPr>
        <w:t>zastoupený:</w:t>
      </w:r>
      <w:r w:rsidR="00035F94" w:rsidRPr="003D0C1E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3D0C1E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3D0C1E">
        <w:rPr>
          <w:rFonts w:ascii="UnitPro-Light" w:hAnsi="UnitPro-Light" w:cs="UnitPro-Light"/>
          <w:sz w:val="20"/>
          <w:szCs w:val="20"/>
        </w:rPr>
        <w:t>Martinem Červeným</w:t>
      </w:r>
      <w:r w:rsidRPr="003D0C1E">
        <w:rPr>
          <w:rFonts w:ascii="UnitPro-Light" w:hAnsi="UnitPro-Light" w:cs="UnitPro-Light"/>
          <w:sz w:val="20"/>
          <w:szCs w:val="20"/>
        </w:rPr>
        <w:t>,</w:t>
      </w:r>
      <w:r w:rsidR="006714D3" w:rsidRPr="003D0C1E">
        <w:rPr>
          <w:rFonts w:ascii="UnitPro-Light" w:hAnsi="UnitPro-Light" w:cs="UnitPro-Light"/>
          <w:sz w:val="20"/>
          <w:szCs w:val="20"/>
        </w:rPr>
        <w:t xml:space="preserve"> zástupcem</w:t>
      </w:r>
      <w:r w:rsidRPr="003D0C1E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3D0C1E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634D01D6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0528E0">
        <w:rPr>
          <w:rFonts w:ascii="UnitPro-Light" w:hAnsi="UnitPro-Light" w:cs="UnitPro-Light"/>
          <w:sz w:val="20"/>
          <w:szCs w:val="20"/>
        </w:rPr>
        <w:t>xxxxxxxx</w:t>
      </w:r>
      <w:proofErr w:type="spellEnd"/>
    </w:p>
    <w:p w14:paraId="54BA1AF7" w14:textId="53D3A4C8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0528E0">
        <w:rPr>
          <w:rFonts w:ascii="UnitPro-Light" w:hAnsi="UnitPro-Light" w:cs="UnitPro-Light"/>
          <w:sz w:val="20"/>
          <w:szCs w:val="20"/>
        </w:rPr>
        <w:t>xxxxxxxxxxxx</w:t>
      </w:r>
      <w:proofErr w:type="spell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1FFCDB8E" w14:textId="77777777" w:rsidR="00201FDF" w:rsidRDefault="00201FDF" w:rsidP="00231B5B">
      <w:pPr>
        <w:spacing w:after="0"/>
        <w:rPr>
          <w:rFonts w:ascii="UnitPro-Light" w:hAnsi="UnitPro-Light" w:cs="UnitPro-Light"/>
          <w:b/>
          <w:bCs/>
          <w:sz w:val="20"/>
        </w:rPr>
      </w:pPr>
      <w:r w:rsidRPr="00201FDF">
        <w:rPr>
          <w:rFonts w:ascii="UnitPro-Light" w:hAnsi="UnitPro-Light" w:cs="UnitPro-Light"/>
          <w:b/>
          <w:bCs/>
          <w:sz w:val="20"/>
        </w:rPr>
        <w:t xml:space="preserve">BOZP-PO PŘIBYL s.r.o., zastoupený Jaroslavem Přibylem, jednatelem </w:t>
      </w:r>
    </w:p>
    <w:p w14:paraId="42B3A43A" w14:textId="6B0E55C2" w:rsidR="00231B5B" w:rsidRPr="00A64FC2" w:rsidRDefault="00231B5B" w:rsidP="00231B5B">
      <w:pPr>
        <w:spacing w:after="0"/>
        <w:rPr>
          <w:rFonts w:ascii="UnitPro-Light" w:hAnsi="UnitPro-Light" w:cs="UnitPro-Light"/>
          <w:sz w:val="20"/>
        </w:rPr>
      </w:pPr>
      <w:r w:rsidRPr="00A64FC2">
        <w:rPr>
          <w:rFonts w:ascii="UnitPro-Light" w:hAnsi="UnitPro-Light" w:cs="UnitPro-Light"/>
          <w:sz w:val="20"/>
        </w:rPr>
        <w:t xml:space="preserve">sídlo: </w:t>
      </w:r>
      <w:r w:rsidR="003D0C1E" w:rsidRPr="00A64FC2">
        <w:rPr>
          <w:rFonts w:ascii="UnitPro-Light" w:hAnsi="UnitPro-Light" w:cs="UnitPro-Light"/>
          <w:bCs/>
          <w:sz w:val="20"/>
        </w:rPr>
        <w:t>Hvozdnice 1, 252 05 Hvozdnice</w:t>
      </w:r>
    </w:p>
    <w:p w14:paraId="00B017A5" w14:textId="0470915C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</w:t>
      </w:r>
      <w:r w:rsidR="003D0C1E">
        <w:rPr>
          <w:rFonts w:ascii="UnitPro-Light" w:hAnsi="UnitPro-Light" w:cs="UnitPro-Light"/>
          <w:sz w:val="20"/>
          <w:szCs w:val="20"/>
        </w:rPr>
        <w:t>C</w:t>
      </w:r>
      <w:r w:rsidRPr="003B1E01">
        <w:rPr>
          <w:rFonts w:ascii="UnitPro-Light" w:hAnsi="UnitPro-Light" w:cs="UnitPro-Light"/>
          <w:sz w:val="20"/>
          <w:szCs w:val="20"/>
        </w:rPr>
        <w:t xml:space="preserve">, vložka </w:t>
      </w:r>
      <w:r w:rsidR="003D0C1E">
        <w:rPr>
          <w:rFonts w:ascii="UnitPro-Light" w:hAnsi="UnitPro-Light" w:cs="UnitPro-Light"/>
          <w:sz w:val="20"/>
          <w:szCs w:val="20"/>
        </w:rPr>
        <w:t>339018</w:t>
      </w:r>
    </w:p>
    <w:p w14:paraId="7E87CEDC" w14:textId="1A1DBDAD" w:rsidR="00231B5B" w:rsidRPr="003B1E01" w:rsidRDefault="00231B5B" w:rsidP="003D0C1E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3D0C1E" w:rsidRPr="003D0C1E">
        <w:rPr>
          <w:rFonts w:ascii="UnitPro-Light" w:hAnsi="UnitPro-Light" w:cs="UnitPro-Light"/>
          <w:sz w:val="20"/>
          <w:szCs w:val="20"/>
        </w:rPr>
        <w:t>09615563</w:t>
      </w:r>
    </w:p>
    <w:p w14:paraId="3647107F" w14:textId="4E877D24" w:rsidR="00246CA3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0528E0">
        <w:rPr>
          <w:rFonts w:ascii="UnitPro-Light" w:hAnsi="UnitPro-Light" w:cs="UnitPro-Light"/>
          <w:sz w:val="20"/>
          <w:szCs w:val="20"/>
        </w:rPr>
        <w:t>xxxxxxxxx</w:t>
      </w:r>
      <w:proofErr w:type="spellEnd"/>
    </w:p>
    <w:p w14:paraId="34F65B36" w14:textId="63DA8C1B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0528E0">
        <w:t>xxxxxxxxxx</w:t>
      </w:r>
      <w:proofErr w:type="spellEnd"/>
    </w:p>
    <w:p w14:paraId="6A1607F2" w14:textId="6C7A35A5" w:rsidR="00231B5B" w:rsidRPr="003B1E01" w:rsidRDefault="00246CA3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246CA3">
        <w:rPr>
          <w:rFonts w:ascii="UnitPro-Light" w:hAnsi="UnitPro-Light" w:cs="UnitPro-Light"/>
          <w:sz w:val="20"/>
          <w:szCs w:val="20"/>
        </w:rPr>
        <w:t xml:space="preserve">zhotovitel </w:t>
      </w:r>
      <w:r w:rsidR="003D0B0A" w:rsidRPr="00246CA3">
        <w:rPr>
          <w:rFonts w:ascii="UnitPro-Light" w:hAnsi="UnitPro-Light" w:cs="UnitPro-Light"/>
          <w:sz w:val="20"/>
          <w:szCs w:val="20"/>
        </w:rPr>
        <w:t>není</w:t>
      </w:r>
      <w:r w:rsidR="00231B5B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="00231B5B"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4D891473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A64FC2">
        <w:rPr>
          <w:rFonts w:ascii="UnitPro-Light" w:hAnsi="UnitPro-Light" w:cs="UnitPro-Light"/>
          <w:b/>
          <w:sz w:val="20"/>
          <w:szCs w:val="20"/>
        </w:rPr>
        <w:t>poskytovatel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43C9D6DB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A64FC2">
        <w:rPr>
          <w:rFonts w:ascii="UnitPro-Light" w:hAnsi="UnitPro-Light" w:cs="UnitPro-Light"/>
          <w:sz w:val="20"/>
          <w:szCs w:val="20"/>
        </w:rPr>
        <w:t>poskytovatel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740F91EB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246CA3">
        <w:rPr>
          <w:rFonts w:ascii="UnitPro-Light" w:hAnsi="UnitPro-Light" w:cs="UnitPro-Light"/>
          <w:b/>
          <w:sz w:val="20"/>
          <w:szCs w:val="20"/>
        </w:rPr>
        <w:t xml:space="preserve">Dodatek č. 1 ke </w:t>
      </w:r>
      <w:r w:rsidR="006759AB" w:rsidRPr="00246CA3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246CA3">
        <w:rPr>
          <w:rFonts w:ascii="UnitPro-Light" w:hAnsi="UnitPro-Light" w:cs="UnitPro-Light"/>
          <w:b/>
          <w:sz w:val="20"/>
          <w:szCs w:val="20"/>
        </w:rPr>
        <w:t>mlouvě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246CA3">
        <w:rPr>
          <w:rFonts w:ascii="UnitPro-Light" w:hAnsi="UnitPro-Light" w:cs="UnitPro-Light"/>
          <w:sz w:val="20"/>
          <w:szCs w:val="20"/>
        </w:rPr>
        <w:t xml:space="preserve">20-0344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proofErr w:type="gramStart"/>
      <w:r w:rsidR="00246CA3">
        <w:rPr>
          <w:rFonts w:ascii="UnitPro-Light" w:hAnsi="UnitPro-Light" w:cs="UnitPro-Light"/>
          <w:sz w:val="20"/>
          <w:szCs w:val="20"/>
        </w:rPr>
        <w:t>1.1.2021</w:t>
      </w:r>
      <w:proofErr w:type="gramEnd"/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22173EFF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proofErr w:type="gramStart"/>
      <w:r w:rsidR="003D0C1E">
        <w:rPr>
          <w:rFonts w:ascii="UnitPro-Light" w:hAnsi="UnitPro-Light" w:cs="UnitPro-Light"/>
          <w:sz w:val="20"/>
          <w:szCs w:val="20"/>
        </w:rPr>
        <w:t>1.1.2021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246CA3">
        <w:rPr>
          <w:rFonts w:ascii="UnitPro-Light" w:hAnsi="UnitPro-Light" w:cs="UnitPro-Light"/>
          <w:sz w:val="20"/>
          <w:szCs w:val="20"/>
        </w:rPr>
        <w:t xml:space="preserve">smlouvu </w:t>
      </w:r>
      <w:r w:rsidR="00013D23" w:rsidRPr="00246CA3">
        <w:rPr>
          <w:rFonts w:ascii="UnitPro-Light" w:hAnsi="UnitPro-Light" w:cs="UnitPro-Light"/>
          <w:sz w:val="20"/>
          <w:szCs w:val="20"/>
        </w:rPr>
        <w:t xml:space="preserve">o dílo </w:t>
      </w:r>
      <w:r w:rsidRPr="00246CA3">
        <w:rPr>
          <w:rFonts w:ascii="UnitPro-Light" w:hAnsi="UnitPro-Light" w:cs="UnitPro-Light"/>
          <w:sz w:val="20"/>
          <w:szCs w:val="20"/>
        </w:rPr>
        <w:t>ZAK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3D0C1E">
        <w:rPr>
          <w:rFonts w:ascii="UnitPro-Light" w:hAnsi="UnitPro-Light" w:cs="UnitPro-Light"/>
          <w:sz w:val="20"/>
          <w:szCs w:val="20"/>
        </w:rPr>
        <w:t>20-0344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246CA3" w:rsidRPr="00246CA3">
        <w:rPr>
          <w:rFonts w:ascii="UnitPro-Light" w:hAnsi="UnitPro-Light" w:cs="UnitPro-Light"/>
          <w:sz w:val="20"/>
          <w:szCs w:val="20"/>
        </w:rPr>
        <w:t>Zajištění služeb PO a BOZP na 2021 - 2024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47AB8E37" w:rsidR="00156451" w:rsidRPr="003B1E0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246CA3">
        <w:rPr>
          <w:rFonts w:ascii="UnitPro-Light" w:eastAsia="Times New Roman" w:hAnsi="UnitPro-Light" w:cs="UnitPro-Light"/>
          <w:sz w:val="20"/>
          <w:szCs w:val="20"/>
        </w:rPr>
        <w:t xml:space="preserve">vzhledem k administrativní chybě </w:t>
      </w:r>
      <w:r w:rsidR="00DF6243">
        <w:rPr>
          <w:rFonts w:ascii="UnitPro-Light" w:eastAsia="Times New Roman" w:hAnsi="UnitPro-Light" w:cs="UnitPro-Light"/>
          <w:sz w:val="20"/>
          <w:szCs w:val="20"/>
        </w:rPr>
        <w:t>upravují</w:t>
      </w:r>
      <w:r w:rsidR="00246CA3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DF6243">
        <w:rPr>
          <w:rFonts w:ascii="UnitPro-Light" w:eastAsia="Times New Roman" w:hAnsi="UnitPro-Light" w:cs="UnitPro-Light"/>
          <w:sz w:val="20"/>
          <w:szCs w:val="20"/>
        </w:rPr>
        <w:t>název společnosti následujícím zněním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3B9FDFD4" w14:textId="7C476F68" w:rsidR="008409D5" w:rsidRPr="003B1E01" w:rsidRDefault="008409D5" w:rsidP="00835B76">
      <w:p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 w:rsidR="00DF6243" w:rsidRPr="00DF6243">
        <w:rPr>
          <w:rFonts w:ascii="UnitPro-Light" w:hAnsi="UnitPro-Light" w:cs="UnitPro-Light"/>
          <w:sz w:val="20"/>
          <w:szCs w:val="20"/>
        </w:rPr>
        <w:t>BOZP-PO PŘIBYL s.r.o.</w:t>
      </w:r>
      <w:r w:rsidR="00A64FC2">
        <w:rPr>
          <w:rFonts w:ascii="UnitPro-Light" w:hAnsi="UnitPro-Light" w:cs="UnitPro-Light"/>
          <w:sz w:val="20"/>
          <w:szCs w:val="20"/>
        </w:rPr>
        <w:t>, zastoupený Jaroslavem Přibylem, jednatelem</w:t>
      </w:r>
      <w:r w:rsidRPr="003B1E0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3B1E0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7F5A90B1" w14:textId="77777777" w:rsidR="001770A6" w:rsidRPr="003B1E01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502D6FAF" w14:textId="7F9F5DF1" w:rsidR="00DF6243" w:rsidRPr="003B1E01" w:rsidRDefault="00DF6243" w:rsidP="00DF6243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>
        <w:rPr>
          <w:rFonts w:ascii="UnitPro-Light" w:eastAsia="Times New Roman" w:hAnsi="UnitPro-Light" w:cs="UnitPro-Light"/>
          <w:sz w:val="20"/>
          <w:szCs w:val="20"/>
        </w:rPr>
        <w:t>vzhledem k admini</w:t>
      </w:r>
      <w:r w:rsidR="00201FDF">
        <w:rPr>
          <w:rFonts w:ascii="UnitPro-Light" w:eastAsia="Times New Roman" w:hAnsi="UnitPro-Light" w:cs="UnitPro-Light"/>
          <w:sz w:val="20"/>
          <w:szCs w:val="20"/>
        </w:rPr>
        <w:t>strativní chybě upravují číslo</w:t>
      </w:r>
      <w:r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201FDF">
        <w:rPr>
          <w:rFonts w:ascii="UnitPro-Light" w:eastAsia="Times New Roman" w:hAnsi="UnitPro-Light" w:cs="UnitPro-Light"/>
          <w:sz w:val="20"/>
          <w:szCs w:val="20"/>
        </w:rPr>
        <w:t xml:space="preserve">účtu </w:t>
      </w:r>
      <w:r>
        <w:rPr>
          <w:rFonts w:ascii="UnitPro-Light" w:eastAsia="Times New Roman" w:hAnsi="UnitPro-Light" w:cs="UnitPro-Light"/>
          <w:sz w:val="20"/>
          <w:szCs w:val="20"/>
        </w:rPr>
        <w:t>následujícím zněním</w:t>
      </w:r>
      <w:r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7C51BAD5" w14:textId="34DAF295" w:rsidR="00DF6243" w:rsidRDefault="00DF6243" w:rsidP="00DF6243">
      <w:pPr>
        <w:pStyle w:val="Odstavecseseznamem"/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„číslo účtu: </w:t>
      </w:r>
      <w:r w:rsidR="000528E0">
        <w:rPr>
          <w:rFonts w:ascii="UnitPro-Light" w:hAnsi="UnitPro-Light" w:cs="UnitPro-Light"/>
          <w:sz w:val="20"/>
          <w:szCs w:val="20"/>
        </w:rPr>
        <w:t>xxxxxxxxx</w:t>
      </w:r>
      <w:bookmarkStart w:id="0" w:name="_GoBack"/>
      <w:bookmarkEnd w:id="0"/>
      <w:r w:rsidR="00EF404E">
        <w:rPr>
          <w:rFonts w:ascii="UnitPro-Light" w:hAnsi="UnitPro-Light" w:cs="UnitPro-Light"/>
          <w:sz w:val="20"/>
          <w:szCs w:val="20"/>
        </w:rPr>
        <w:t>“.</w:t>
      </w:r>
    </w:p>
    <w:p w14:paraId="41B751E2" w14:textId="77777777" w:rsidR="00CE4F42" w:rsidRPr="003B1E01" w:rsidRDefault="00CE4F42" w:rsidP="00835B76">
      <w:pPr>
        <w:pStyle w:val="Odstavecseseznamem"/>
        <w:spacing w:after="120"/>
        <w:contextualSpacing w:val="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4D98E925" w:rsidR="00013D23" w:rsidRPr="00A64FC2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A64FC2">
        <w:rPr>
          <w:rFonts w:ascii="UnitPro-Light" w:hAnsi="UnitPro-Light" w:cs="UnitPro-Light"/>
          <w:sz w:val="20"/>
          <w:szCs w:val="20"/>
        </w:rPr>
        <w:t>Poskytovatel</w:t>
      </w:r>
      <w:r w:rsidRPr="00A64FC2">
        <w:rPr>
          <w:rFonts w:ascii="UnitPro-Light" w:hAnsi="UnitPro-Light" w:cs="UnitPro-Light"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A64FC2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A64FC2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A64FC2">
        <w:rPr>
          <w:rFonts w:ascii="UnitPro-Light" w:hAnsi="UnitPro-Light" w:cs="UnitPro-Light"/>
          <w:sz w:val="20"/>
          <w:szCs w:val="20"/>
        </w:rPr>
        <w:t> tomto dodatku</w:t>
      </w:r>
      <w:r w:rsidR="007B77BE" w:rsidRPr="00A64FC2">
        <w:rPr>
          <w:rFonts w:ascii="UnitPro-Light" w:hAnsi="UnitPro-Light" w:cs="UnitPro-Light"/>
          <w:sz w:val="20"/>
          <w:szCs w:val="20"/>
        </w:rPr>
        <w:t xml:space="preserve"> </w:t>
      </w:r>
      <w:r w:rsidRPr="00A64FC2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66A9670" w:rsidR="00C94D31" w:rsidRPr="00A64FC2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>Dodatek</w:t>
      </w:r>
      <w:r w:rsidR="00C94D31" w:rsidRPr="00A64FC2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A64FC2">
        <w:rPr>
          <w:rFonts w:ascii="UnitPro-Light" w:hAnsi="UnitPro-Light" w:cs="UnitPro-Light"/>
          <w:sz w:val="20"/>
          <w:szCs w:val="20"/>
        </w:rPr>
        <w:t xml:space="preserve"> 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29EB962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A64FC2">
        <w:rPr>
          <w:rFonts w:ascii="UnitPro-Light" w:hAnsi="UnitPro-Light" w:cs="UnitPro-Light"/>
          <w:sz w:val="20"/>
          <w:szCs w:val="20"/>
        </w:rPr>
        <w:t>poskytovatele</w:t>
      </w:r>
      <w:r w:rsidR="009A73B5" w:rsidRPr="003B1E01">
        <w:rPr>
          <w:rFonts w:ascii="UnitPro-Light" w:hAnsi="UnitPro-Light" w:cs="UnitPro-Light"/>
          <w:sz w:val="20"/>
          <w:szCs w:val="20"/>
        </w:rPr>
        <w:t>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1CDD0194" w:rsidR="00CE4F42" w:rsidRPr="00A64FC2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A64FC2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A64FC2" w:rsidRPr="00A64FC2">
        <w:rPr>
          <w:rFonts w:ascii="UnitPro-Light" w:hAnsi="UnitPro-Light" w:cs="UnitPro-Light"/>
          <w:b/>
          <w:sz w:val="20"/>
          <w:szCs w:val="20"/>
        </w:rPr>
        <w:t>Martin Červený</w:t>
      </w:r>
      <w:r w:rsidR="00A935CF" w:rsidRPr="00A64FC2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A64FC2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A64FC2">
        <w:rPr>
          <w:rFonts w:ascii="UnitPro-Light" w:hAnsi="UnitPro-Light" w:cs="UnitPro-Light"/>
          <w:b/>
          <w:sz w:val="20"/>
          <w:szCs w:val="20"/>
        </w:rPr>
        <w:tab/>
        <w:t>Jaroslav Přibyl</w:t>
      </w:r>
    </w:p>
    <w:p w14:paraId="2081299F" w14:textId="27EDB17F" w:rsidR="007C0676" w:rsidRDefault="00A64FC2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A64FC2">
        <w:rPr>
          <w:rFonts w:ascii="UnitPro-Light" w:hAnsi="UnitPro-Light" w:cs="UnitPro-Light"/>
          <w:sz w:val="20"/>
          <w:szCs w:val="20"/>
        </w:rPr>
        <w:t>ředitel</w:t>
      </w:r>
      <w:r w:rsidRPr="00A64FC2">
        <w:rPr>
          <w:rFonts w:ascii="UnitPro-Light" w:hAnsi="UnitPro-Light" w:cs="UnitPro-Light"/>
          <w:sz w:val="20"/>
          <w:szCs w:val="20"/>
        </w:rPr>
        <w:t>e</w:t>
      </w:r>
    </w:p>
    <w:p w14:paraId="7972DF66" w14:textId="77777777" w:rsidR="007C0676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</w:t>
      </w:r>
      <w:r>
        <w:rPr>
          <w:rFonts w:ascii="UnitPro-Light" w:hAnsi="UnitPro-Light" w:cs="UnitPro-Light"/>
          <w:b/>
          <w:sz w:val="20"/>
          <w:szCs w:val="20"/>
        </w:rPr>
        <w:t>u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plánování a rozvoje hlavního města Prahy</w:t>
      </w:r>
      <w:r>
        <w:rPr>
          <w:rFonts w:ascii="UnitPro-Light" w:hAnsi="UnitPro-Light" w:cs="UnitPro-Light"/>
          <w:b/>
          <w:sz w:val="20"/>
          <w:szCs w:val="20"/>
        </w:rPr>
        <w:t>,</w:t>
      </w:r>
    </w:p>
    <w:p w14:paraId="32514CC4" w14:textId="49A95174" w:rsidR="007C0676" w:rsidRPr="003B1E01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 příspěvkov</w:t>
      </w:r>
      <w:r>
        <w:rPr>
          <w:rFonts w:ascii="UnitPro-Light" w:hAnsi="UnitPro-Light" w:cs="UnitPro-Light"/>
          <w:b/>
          <w:sz w:val="20"/>
          <w:szCs w:val="20"/>
        </w:rPr>
        <w:t>é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organizace</w:t>
      </w:r>
    </w:p>
    <w:p w14:paraId="1868CB94" w14:textId="27500705" w:rsidR="00A935CF" w:rsidRPr="003B1E01" w:rsidRDefault="009A73B5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61CE35B2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221598E0" w:rsidR="00B971C4" w:rsidRPr="00A64FC2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A64FC2">
      <w:rPr>
        <w:rFonts w:ascii="UnitPro-Light" w:hAnsi="UnitPro-Light" w:cs="UnitPro-Light"/>
        <w:sz w:val="20"/>
      </w:rPr>
      <w:t xml:space="preserve">smlouvy objednatele: ZAK </w:t>
    </w:r>
    <w:r w:rsidR="003D0C1E" w:rsidRPr="00A64FC2">
      <w:rPr>
        <w:rFonts w:ascii="UnitPro-Light" w:hAnsi="UnitPro-Light" w:cs="UnitPro-Light"/>
        <w:sz w:val="20"/>
      </w:rPr>
      <w:t>20-0344</w:t>
    </w:r>
  </w:p>
  <w:p w14:paraId="0200A13A" w14:textId="459B2AF9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A64FC2">
      <w:rPr>
        <w:rFonts w:ascii="UnitPro-Light" w:hAnsi="UnitPro-Light" w:cs="UnitPro-Light"/>
        <w:sz w:val="20"/>
      </w:rPr>
      <w:t xml:space="preserve">č. smlouvy </w:t>
    </w:r>
    <w:r w:rsidR="00A64FC2">
      <w:rPr>
        <w:rFonts w:ascii="UnitPro-Light" w:hAnsi="UnitPro-Light" w:cs="UnitPro-Light"/>
        <w:sz w:val="20"/>
      </w:rPr>
      <w:t>poskytovatele</w:t>
    </w:r>
    <w:r w:rsidRPr="00A64FC2">
      <w:rPr>
        <w:rFonts w:ascii="UnitPro-Light" w:hAnsi="UnitPro-Light" w:cs="UnitPro-Light"/>
        <w:sz w:val="20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13AF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528E0"/>
    <w:rsid w:val="00071C22"/>
    <w:rsid w:val="000809BD"/>
    <w:rsid w:val="000A5162"/>
    <w:rsid w:val="00156451"/>
    <w:rsid w:val="001770A6"/>
    <w:rsid w:val="001A4F97"/>
    <w:rsid w:val="001E7B9C"/>
    <w:rsid w:val="00201FDF"/>
    <w:rsid w:val="002077C2"/>
    <w:rsid w:val="00231B5B"/>
    <w:rsid w:val="00246CA3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357C8"/>
    <w:rsid w:val="00340FB1"/>
    <w:rsid w:val="00343035"/>
    <w:rsid w:val="00346B7F"/>
    <w:rsid w:val="0036426B"/>
    <w:rsid w:val="003B1E01"/>
    <w:rsid w:val="003B3937"/>
    <w:rsid w:val="003B4631"/>
    <w:rsid w:val="003D0B0A"/>
    <w:rsid w:val="003D0C1E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3491E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64FC2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DF6243"/>
    <w:rsid w:val="00E01AE6"/>
    <w:rsid w:val="00E30876"/>
    <w:rsid w:val="00E54FB6"/>
    <w:rsid w:val="00E772E3"/>
    <w:rsid w:val="00EA711E"/>
    <w:rsid w:val="00EB2DE9"/>
    <w:rsid w:val="00EF404E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8E084-35DC-4FB9-989C-65E4F693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5</cp:revision>
  <cp:lastPrinted>2021-02-01T08:35:00Z</cp:lastPrinted>
  <dcterms:created xsi:type="dcterms:W3CDTF">2021-01-19T14:07:00Z</dcterms:created>
  <dcterms:modified xsi:type="dcterms:W3CDTF">2021-03-04T13:49:00Z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