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48" w:rsidRDefault="0000479D">
      <w:pPr>
        <w:pStyle w:val="Zkladntext1"/>
        <w:shd w:val="clear" w:color="auto" w:fill="auto"/>
        <w:spacing w:before="260" w:after="740"/>
        <w:jc w:val="center"/>
      </w:pPr>
      <w:r>
        <w:rPr>
          <w:b/>
          <w:bCs/>
        </w:rPr>
        <w:t>Smlouva o přepravě věcí</w:t>
      </w:r>
    </w:p>
    <w:p w:rsidR="00B93048" w:rsidRDefault="0000479D">
      <w:pPr>
        <w:pStyle w:val="Zkladntext1"/>
        <w:shd w:val="clear" w:color="auto" w:fill="auto"/>
      </w:pPr>
      <w:r>
        <w:rPr>
          <w:b/>
          <w:bCs/>
        </w:rPr>
        <w:t>Národní galerie v Praze</w:t>
      </w:r>
    </w:p>
    <w:p w:rsidR="00B93048" w:rsidRDefault="0000479D">
      <w:pPr>
        <w:pStyle w:val="Zkladntext1"/>
        <w:shd w:val="clear" w:color="auto" w:fill="auto"/>
        <w:tabs>
          <w:tab w:val="left" w:pos="1381"/>
        </w:tabs>
        <w:spacing w:after="0"/>
      </w:pPr>
      <w:r>
        <w:t>sídlo:</w:t>
      </w:r>
      <w:r>
        <w:tab/>
      </w:r>
      <w:r w:rsidR="00B667C0">
        <w:tab/>
      </w:r>
      <w:r>
        <w:t>Staroměstské nám. 12, 110 15 Praha 1</w:t>
      </w:r>
    </w:p>
    <w:p w:rsidR="00B93048" w:rsidRDefault="0000479D">
      <w:pPr>
        <w:pStyle w:val="Zkladntext1"/>
        <w:shd w:val="clear" w:color="auto" w:fill="auto"/>
        <w:tabs>
          <w:tab w:val="left" w:pos="1381"/>
        </w:tabs>
        <w:spacing w:after="0"/>
      </w:pPr>
      <w:r>
        <w:t>IČ:</w:t>
      </w:r>
      <w:r>
        <w:tab/>
      </w:r>
      <w:r w:rsidR="00B667C0">
        <w:tab/>
      </w:r>
      <w:r>
        <w:t>00023281</w:t>
      </w:r>
    </w:p>
    <w:p w:rsidR="00B93048" w:rsidRDefault="0000479D">
      <w:pPr>
        <w:pStyle w:val="Zkladntext1"/>
        <w:shd w:val="clear" w:color="auto" w:fill="auto"/>
        <w:tabs>
          <w:tab w:val="left" w:pos="1381"/>
        </w:tabs>
        <w:spacing w:after="0"/>
      </w:pPr>
      <w:r>
        <w:t>DIČ:</w:t>
      </w:r>
      <w:r>
        <w:tab/>
      </w:r>
      <w:r w:rsidR="00B667C0">
        <w:tab/>
      </w:r>
      <w:r>
        <w:t>CZ00023281</w:t>
      </w:r>
    </w:p>
    <w:p w:rsidR="00B93048" w:rsidRDefault="0000479D">
      <w:pPr>
        <w:pStyle w:val="Zkladntext1"/>
        <w:shd w:val="clear" w:color="auto" w:fill="auto"/>
      </w:pPr>
      <w:r>
        <w:t xml:space="preserve">zastoupena: </w:t>
      </w:r>
      <w:r w:rsidR="00B667C0">
        <w:tab/>
      </w:r>
      <w:proofErr w:type="spellStart"/>
      <w:r>
        <w:t>Alicjí</w:t>
      </w:r>
      <w:proofErr w:type="spellEnd"/>
      <w:r>
        <w:t xml:space="preserve"> </w:t>
      </w:r>
      <w:proofErr w:type="spellStart"/>
      <w:r>
        <w:t>Knast</w:t>
      </w:r>
      <w:proofErr w:type="spellEnd"/>
      <w:r>
        <w:t>, generální ředitelkou</w:t>
      </w:r>
    </w:p>
    <w:p w:rsidR="00B93048" w:rsidRDefault="0000479D">
      <w:pPr>
        <w:pStyle w:val="Zkladntext1"/>
        <w:shd w:val="clear" w:color="auto" w:fill="auto"/>
        <w:spacing w:after="0"/>
      </w:pPr>
      <w:r>
        <w:t xml:space="preserve">bankovní spojení: </w:t>
      </w:r>
      <w:r w:rsidR="00B667C0">
        <w:tab/>
      </w:r>
      <w:r>
        <w:t>Česká národní banka</w:t>
      </w:r>
    </w:p>
    <w:p w:rsidR="00B93048" w:rsidRDefault="0000479D">
      <w:pPr>
        <w:pStyle w:val="Zkladntext1"/>
        <w:shd w:val="clear" w:color="auto" w:fill="auto"/>
        <w:tabs>
          <w:tab w:val="left" w:pos="2051"/>
        </w:tabs>
      </w:pPr>
      <w:proofErr w:type="spellStart"/>
      <w:proofErr w:type="gramStart"/>
      <w:r>
        <w:t>č.účtu</w:t>
      </w:r>
      <w:proofErr w:type="spellEnd"/>
      <w:proofErr w:type="gramEnd"/>
      <w:r>
        <w:t>:</w:t>
      </w:r>
      <w:r>
        <w:tab/>
      </w:r>
      <w:r w:rsidR="00B667C0">
        <w:tab/>
      </w:r>
      <w:r>
        <w:t>050008-0008839011/0710</w:t>
      </w:r>
    </w:p>
    <w:p w:rsidR="00B667C0" w:rsidRDefault="0000479D">
      <w:pPr>
        <w:pStyle w:val="Zkladntext1"/>
        <w:shd w:val="clear" w:color="auto" w:fill="auto"/>
      </w:pPr>
      <w:r>
        <w:t xml:space="preserve">(dále jen </w:t>
      </w:r>
      <w:r>
        <w:rPr>
          <w:b/>
          <w:bCs/>
        </w:rPr>
        <w:t>„objednatel“</w:t>
      </w:r>
      <w:r>
        <w:t xml:space="preserve">) </w:t>
      </w:r>
    </w:p>
    <w:p w:rsidR="00B667C0" w:rsidRDefault="00B667C0" w:rsidP="00B667C0">
      <w:pPr>
        <w:pStyle w:val="Zkladntext1"/>
        <w:shd w:val="clear" w:color="auto" w:fill="auto"/>
        <w:spacing w:after="0"/>
      </w:pPr>
    </w:p>
    <w:p w:rsidR="00B93048" w:rsidRDefault="0000479D">
      <w:pPr>
        <w:pStyle w:val="Zkladntext1"/>
        <w:shd w:val="clear" w:color="auto" w:fill="auto"/>
      </w:pPr>
      <w:r>
        <w:t>a</w:t>
      </w:r>
    </w:p>
    <w:p w:rsidR="00B93048" w:rsidRDefault="0000479D">
      <w:pPr>
        <w:pStyle w:val="Zkladntext1"/>
        <w:shd w:val="clear" w:color="auto" w:fill="auto"/>
      </w:pPr>
      <w:r>
        <w:rPr>
          <w:b/>
          <w:bCs/>
        </w:rPr>
        <w:t>KUNSTTRANS PRAHA, spol. s.r.o.</w:t>
      </w:r>
    </w:p>
    <w:p w:rsidR="00B93048" w:rsidRDefault="0000479D">
      <w:pPr>
        <w:pStyle w:val="Zkladntext1"/>
        <w:shd w:val="clear" w:color="auto" w:fill="auto"/>
        <w:tabs>
          <w:tab w:val="left" w:pos="1381"/>
        </w:tabs>
        <w:spacing w:after="0"/>
      </w:pPr>
      <w:r>
        <w:t>sídlo:</w:t>
      </w:r>
      <w:r>
        <w:tab/>
        <w:t>Dukelských hrdinů 47, 170 00, Praha 7</w:t>
      </w:r>
    </w:p>
    <w:p w:rsidR="00B93048" w:rsidRDefault="0000479D">
      <w:pPr>
        <w:pStyle w:val="Zkladntext1"/>
        <w:shd w:val="clear" w:color="auto" w:fill="auto"/>
        <w:tabs>
          <w:tab w:val="left" w:pos="1381"/>
        </w:tabs>
        <w:spacing w:after="0"/>
      </w:pPr>
      <w:r>
        <w:t>IČ:</w:t>
      </w:r>
      <w:r>
        <w:tab/>
        <w:t>40615243</w:t>
      </w:r>
    </w:p>
    <w:p w:rsidR="00B93048" w:rsidRDefault="0000479D">
      <w:pPr>
        <w:pStyle w:val="Zkladntext1"/>
        <w:shd w:val="clear" w:color="auto" w:fill="auto"/>
        <w:tabs>
          <w:tab w:val="left" w:pos="1381"/>
        </w:tabs>
        <w:spacing w:after="0"/>
      </w:pPr>
      <w:r>
        <w:t>DIČ:.</w:t>
      </w:r>
      <w:r>
        <w:tab/>
        <w:t>CZ40615243</w:t>
      </w:r>
    </w:p>
    <w:p w:rsidR="00B93048" w:rsidRDefault="0000479D">
      <w:pPr>
        <w:pStyle w:val="Zkladntext1"/>
        <w:shd w:val="clear" w:color="auto" w:fill="auto"/>
        <w:tabs>
          <w:tab w:val="left" w:pos="1405"/>
        </w:tabs>
        <w:spacing w:after="0"/>
      </w:pPr>
      <w:r>
        <w:t>zastoupena:</w:t>
      </w:r>
      <w:r>
        <w:tab/>
        <w:t>Ing. Liborem Veselým</w:t>
      </w:r>
    </w:p>
    <w:p w:rsidR="00B93048" w:rsidRDefault="0000479D">
      <w:pPr>
        <w:pStyle w:val="Zkladntext1"/>
        <w:shd w:val="clear" w:color="auto" w:fill="auto"/>
      </w:pPr>
      <w:r>
        <w:t>zapsaná v obchodním rejstříku C 4831/MSPH u Městského soudu v Praze</w:t>
      </w:r>
    </w:p>
    <w:p w:rsidR="00B93048" w:rsidRDefault="0000479D">
      <w:pPr>
        <w:pStyle w:val="Zkladntext1"/>
        <w:shd w:val="clear" w:color="auto" w:fill="auto"/>
        <w:tabs>
          <w:tab w:val="left" w:pos="2051"/>
        </w:tabs>
        <w:spacing w:after="0"/>
      </w:pPr>
      <w:r>
        <w:t>bankovní spojení:</w:t>
      </w:r>
      <w:r>
        <w:tab/>
        <w:t>Československá obchodní banka, a.s.</w:t>
      </w:r>
    </w:p>
    <w:p w:rsidR="00B93048" w:rsidRDefault="0000479D">
      <w:pPr>
        <w:pStyle w:val="Zkladntext1"/>
        <w:shd w:val="clear" w:color="auto" w:fill="auto"/>
        <w:tabs>
          <w:tab w:val="left" w:pos="2051"/>
        </w:tabs>
      </w:pPr>
      <w:r>
        <w:t>č. účtu:</w:t>
      </w:r>
      <w:r>
        <w:tab/>
        <w:t>300796813/0300</w:t>
      </w:r>
    </w:p>
    <w:p w:rsidR="00B93048" w:rsidRDefault="0000479D">
      <w:pPr>
        <w:pStyle w:val="Zkladntext1"/>
        <w:shd w:val="clear" w:color="auto" w:fill="auto"/>
        <w:spacing w:after="500"/>
      </w:pPr>
      <w:r>
        <w:t xml:space="preserve">(dále jen </w:t>
      </w:r>
      <w:r>
        <w:rPr>
          <w:b/>
          <w:bCs/>
        </w:rPr>
        <w:t>„poskytovatel“</w:t>
      </w:r>
      <w:r>
        <w:t>)</w:t>
      </w:r>
    </w:p>
    <w:p w:rsidR="00B93048" w:rsidRDefault="0000479D">
      <w:pPr>
        <w:pStyle w:val="Zkladntext1"/>
        <w:shd w:val="clear" w:color="auto" w:fill="auto"/>
        <w:jc w:val="center"/>
      </w:pPr>
      <w:r>
        <w:t>uzavírají níže uvedeného dne, měsíce a roku, v souladu s ustanoveními § 2555 a násl.</w:t>
      </w:r>
      <w:r>
        <w:br/>
        <w:t>zákona č. 89/2012 Sb., občanského zákoníku a zadávací dokumentací k: zakázce s názvem</w:t>
      </w:r>
      <w:r>
        <w:br/>
        <w:t xml:space="preserve">„Transporty uměleckých děl a předmětů výstavy s názvem </w:t>
      </w:r>
      <w:r>
        <w:rPr>
          <w:b/>
          <w:bCs/>
        </w:rPr>
        <w:t>“</w:t>
      </w:r>
      <w:r>
        <w:rPr>
          <w:b/>
          <w:bCs/>
          <w:i/>
          <w:iCs/>
        </w:rPr>
        <w:t>Toyen: snící rebelka</w:t>
      </w:r>
      <w:r>
        <w:rPr>
          <w:b/>
          <w:bCs/>
        </w:rPr>
        <w:t>“,</w:t>
      </w:r>
      <w:r>
        <w:rPr>
          <w:b/>
          <w:bCs/>
        </w:rPr>
        <w:br/>
      </w:r>
      <w:r>
        <w:t>zadávané dle zákona č. 134/2016 Sb., o zadávání veřejných zakázek (dále jen „ZZVZ“).</w:t>
      </w:r>
    </w:p>
    <w:p w:rsidR="00B93048" w:rsidRDefault="0000479D">
      <w:pPr>
        <w:pStyle w:val="Zkladntext1"/>
        <w:shd w:val="clear" w:color="auto" w:fill="auto"/>
        <w:spacing w:after="500"/>
        <w:jc w:val="center"/>
      </w:pPr>
      <w:r>
        <w:rPr>
          <w:b/>
          <w:bCs/>
        </w:rPr>
        <w:t>tuto smlouvu o přepravě a o poskytnutí souvisejících služeb:</w:t>
      </w:r>
    </w:p>
    <w:p w:rsidR="00B93048" w:rsidRDefault="0000479D">
      <w:pPr>
        <w:pStyle w:val="Zkladntext1"/>
        <w:shd w:val="clear" w:color="auto" w:fill="auto"/>
        <w:spacing w:after="0"/>
        <w:jc w:val="center"/>
      </w:pPr>
      <w:r>
        <w:rPr>
          <w:b/>
          <w:bCs/>
        </w:rPr>
        <w:t>I.</w:t>
      </w:r>
    </w:p>
    <w:p w:rsidR="00B93048" w:rsidRDefault="0000479D">
      <w:pPr>
        <w:pStyle w:val="Zkladntext1"/>
        <w:shd w:val="clear" w:color="auto" w:fill="auto"/>
        <w:jc w:val="center"/>
      </w:pPr>
      <w:r>
        <w:rPr>
          <w:b/>
          <w:bCs/>
        </w:rPr>
        <w:t>Úvodní ustanovení</w:t>
      </w:r>
    </w:p>
    <w:p w:rsidR="00B93048" w:rsidRDefault="0000479D">
      <w:pPr>
        <w:pStyle w:val="Zkladntext1"/>
        <w:numPr>
          <w:ilvl w:val="0"/>
          <w:numId w:val="1"/>
        </w:numPr>
        <w:shd w:val="clear" w:color="auto" w:fill="auto"/>
        <w:tabs>
          <w:tab w:val="left" w:pos="402"/>
        </w:tabs>
        <w:spacing w:after="500"/>
        <w:ind w:left="380" w:hanging="380"/>
        <w:jc w:val="both"/>
      </w:pPr>
      <w:r>
        <w:t xml:space="preserve">Objednatel je státní příspěvkovou organizací, založenou zákonem č. 148/1949 Sb., o Národní galerii v Praze, která je dle svého statutu pořadatelem výstavy s názvem </w:t>
      </w:r>
      <w:r>
        <w:rPr>
          <w:b/>
          <w:bCs/>
        </w:rPr>
        <w:t>“</w:t>
      </w:r>
      <w:r>
        <w:rPr>
          <w:b/>
          <w:bCs/>
          <w:i/>
          <w:iCs/>
        </w:rPr>
        <w:t>Toyen: snící rebelka“,</w:t>
      </w:r>
      <w:r>
        <w:t xml:space="preserve"> která by měla proběhnout ve dnech 9. 4. 2021 - 15. 8. 2021 v prostorách objednatele ve Valdštejnské jízdárně, Valdštejnská 1,3, Praha 1 - Malá Strana (dále jen </w:t>
      </w:r>
      <w:r>
        <w:rPr>
          <w:b/>
          <w:bCs/>
        </w:rPr>
        <w:t>„Výstava“</w:t>
      </w:r>
      <w:r>
        <w:t xml:space="preserve">). Výstava je součástí společného výstavního projektu objednatele a </w:t>
      </w:r>
      <w:proofErr w:type="spellStart"/>
      <w:r>
        <w:t>The</w:t>
      </w:r>
      <w:proofErr w:type="spellEnd"/>
      <w:r>
        <w:t xml:space="preserve"> Hamburger </w:t>
      </w:r>
      <w:proofErr w:type="spellStart"/>
      <w:r>
        <w:t>Kunsthalle</w:t>
      </w:r>
      <w:proofErr w:type="spellEnd"/>
      <w:r>
        <w:t xml:space="preserve">, se sídlem: </w:t>
      </w:r>
      <w:proofErr w:type="spellStart"/>
      <w:r>
        <w:t>GlockengieBerwall</w:t>
      </w:r>
      <w:proofErr w:type="spellEnd"/>
      <w:r>
        <w:t xml:space="preserve"> 5, 20095 Hamburg, Německo, kde by výstava Toyen měla proběhnout v termínu od 23. 9. 2021 do 23. 1. 2022 a ÉTABLISSEMENT PUBLIC PARIS MUSEES, se sídlem: 27, </w:t>
      </w:r>
      <w:proofErr w:type="spellStart"/>
      <w:r>
        <w:t>rue</w:t>
      </w:r>
      <w:proofErr w:type="spellEnd"/>
      <w:r>
        <w:t xml:space="preserve"> des </w:t>
      </w:r>
      <w:proofErr w:type="spellStart"/>
      <w:r>
        <w:t>Petites</w:t>
      </w:r>
      <w:proofErr w:type="spellEnd"/>
      <w:r>
        <w:t xml:space="preserve"> </w:t>
      </w:r>
      <w:proofErr w:type="spellStart"/>
      <w:r>
        <w:t>Ecuries</w:t>
      </w:r>
      <w:proofErr w:type="spellEnd"/>
      <w:r>
        <w:t xml:space="preserve"> 75010 Paris, Francie, kde by výstava Toyen měla proběhnout v termínu od 25. 3. 2022 do 24. 7. 2022 (</w:t>
      </w:r>
      <w:proofErr w:type="spellStart"/>
      <w:r>
        <w:t>The</w:t>
      </w:r>
      <w:proofErr w:type="spellEnd"/>
      <w:r>
        <w:t xml:space="preserve"> Hamburger </w:t>
      </w:r>
      <w:proofErr w:type="spellStart"/>
      <w:r>
        <w:t>Kunsthalle</w:t>
      </w:r>
      <w:proofErr w:type="spellEnd"/>
      <w:r>
        <w:t xml:space="preserve"> a ÉTABLISSEMENT PUBLIC PARIS MUSEES dále společně jako </w:t>
      </w:r>
      <w:r>
        <w:rPr>
          <w:b/>
          <w:bCs/>
        </w:rPr>
        <w:t>„Výstavní partneři“</w:t>
      </w:r>
      <w:r>
        <w:t xml:space="preserve">, jednotlivě jako </w:t>
      </w:r>
      <w:r>
        <w:rPr>
          <w:b/>
          <w:bCs/>
        </w:rPr>
        <w:t>„Výstavní partner“</w:t>
      </w:r>
      <w:r>
        <w:t>).</w:t>
      </w:r>
    </w:p>
    <w:p w:rsidR="00B93048" w:rsidRDefault="0000479D">
      <w:pPr>
        <w:pStyle w:val="Zkladntext1"/>
        <w:shd w:val="clear" w:color="auto" w:fill="auto"/>
        <w:jc w:val="center"/>
      </w:pPr>
      <w:r>
        <w:rPr>
          <w:b/>
          <w:bCs/>
        </w:rPr>
        <w:lastRenderedPageBreak/>
        <w:t>II.</w:t>
      </w:r>
      <w:r>
        <w:rPr>
          <w:b/>
          <w:bCs/>
        </w:rPr>
        <w:br/>
        <w:t>Předmět smlouvy, termíny plnění</w:t>
      </w:r>
    </w:p>
    <w:p w:rsidR="00B93048" w:rsidRDefault="0000479D">
      <w:pPr>
        <w:pStyle w:val="Zkladntext1"/>
        <w:numPr>
          <w:ilvl w:val="0"/>
          <w:numId w:val="2"/>
        </w:numPr>
        <w:shd w:val="clear" w:color="auto" w:fill="auto"/>
        <w:tabs>
          <w:tab w:val="left" w:pos="322"/>
        </w:tabs>
        <w:spacing w:after="500"/>
        <w:ind w:left="380" w:hanging="380"/>
        <w:jc w:val="both"/>
      </w:pPr>
      <w:r>
        <w:t>Předmětem této smlouvy je závazek poskytovatele přepravit předměty specifikované v příloze č. 1 této smlouvy a poskytnout služby blíže specifikované v čl. II odst. 3 a příloze č 1. této smlouvy a závazek objednatele zaplatit poskytovateli cenu za transport a poskytnuté služby, to vše za podmínek dále touto smlouvou upravených.</w:t>
      </w:r>
    </w:p>
    <w:p w:rsidR="00B93048" w:rsidRDefault="0000479D">
      <w:pPr>
        <w:pStyle w:val="Zkladntext1"/>
        <w:shd w:val="clear" w:color="auto" w:fill="auto"/>
        <w:ind w:left="380" w:hanging="380"/>
        <w:jc w:val="both"/>
      </w:pPr>
      <w:r>
        <w:t xml:space="preserve">2. Poskytovatel se zavazuje zajistit: </w:t>
      </w:r>
      <w:r>
        <w:rPr>
          <w:b/>
          <w:bCs/>
        </w:rPr>
        <w:t>transporty uměleckých děl a předmětů (dále též jen „exponátů“) Výstavy “</w:t>
      </w:r>
      <w:r>
        <w:rPr>
          <w:b/>
          <w:bCs/>
          <w:i/>
          <w:iCs/>
        </w:rPr>
        <w:t>Toyen: snící rebelka</w:t>
      </w:r>
      <w:r>
        <w:rPr>
          <w:b/>
          <w:bCs/>
        </w:rPr>
        <w:t xml:space="preserve">“. </w:t>
      </w:r>
      <w:r>
        <w:t>Smluvní strany berou na vědomí, že předmětem přepravy dle této smlouvy budou:</w:t>
      </w:r>
    </w:p>
    <w:p w:rsidR="00B93048" w:rsidRDefault="0000479D">
      <w:pPr>
        <w:pStyle w:val="Zkladntext1"/>
        <w:numPr>
          <w:ilvl w:val="0"/>
          <w:numId w:val="3"/>
        </w:numPr>
        <w:shd w:val="clear" w:color="auto" w:fill="auto"/>
        <w:tabs>
          <w:tab w:val="left" w:pos="730"/>
        </w:tabs>
        <w:ind w:left="720" w:hanging="340"/>
        <w:jc w:val="both"/>
      </w:pPr>
      <w:r>
        <w:t xml:space="preserve">exponáty, které budou vystaveny pouze na Výstavě (v Praze) a po jejím ukončení budou vráceny zpět jednotlivým </w:t>
      </w:r>
      <w:proofErr w:type="spellStart"/>
      <w:r>
        <w:t>půjčitelům</w:t>
      </w:r>
      <w:proofErr w:type="spellEnd"/>
      <w:r>
        <w:t xml:space="preserve"> (dále je </w:t>
      </w:r>
      <w:r>
        <w:rPr>
          <w:b/>
          <w:bCs/>
        </w:rPr>
        <w:t>„Nesdílené exponáty“</w:t>
      </w:r>
      <w:r>
        <w:t>); v případě Nesdílených exponátů je poskytovatel povinen zajistit transport exponátů z místa určení do místa konání Výstavy a zpět na místo určení;</w:t>
      </w:r>
    </w:p>
    <w:p w:rsidR="00B93048" w:rsidRDefault="0000479D">
      <w:pPr>
        <w:pStyle w:val="Zkladntext1"/>
        <w:numPr>
          <w:ilvl w:val="0"/>
          <w:numId w:val="3"/>
        </w:numPr>
        <w:shd w:val="clear" w:color="auto" w:fill="auto"/>
        <w:tabs>
          <w:tab w:val="left" w:pos="765"/>
        </w:tabs>
        <w:ind w:left="720" w:hanging="340"/>
        <w:jc w:val="both"/>
      </w:pPr>
      <w:r>
        <w:t xml:space="preserve">exponáty, které budou vystaveny jak na Výstavě, tak i u Výstavního partnera/Výstavních partnerů (dále jen </w:t>
      </w:r>
      <w:r>
        <w:rPr>
          <w:b/>
          <w:bCs/>
        </w:rPr>
        <w:t>„Sdílené exponáty“</w:t>
      </w:r>
      <w:r>
        <w:t>); v případě Sdílených exponátů je poskytovatel povinen zajistit transport z místa určení do místa konání Výstavy, po ukončení Výstavy se poskytovatel zavazuje exponáty odborně zabalit a zajistit nezbytnou koordinaci pro přípravu přepravy exponátů do místa určení (výstavní prostor některého z Výstavních partnerů); přepravu exponátů do místa určení bude zajišťovat přepravce Výstavního partnera;</w:t>
      </w:r>
    </w:p>
    <w:p w:rsidR="00B93048" w:rsidRDefault="0000479D">
      <w:pPr>
        <w:pStyle w:val="Zkladntext1"/>
        <w:numPr>
          <w:ilvl w:val="0"/>
          <w:numId w:val="3"/>
        </w:numPr>
        <w:shd w:val="clear" w:color="auto" w:fill="auto"/>
        <w:tabs>
          <w:tab w:val="left" w:pos="851"/>
        </w:tabs>
        <w:ind w:left="720" w:hanging="340"/>
        <w:jc w:val="both"/>
      </w:pPr>
      <w:r>
        <w:t xml:space="preserve">exponáty ze sbírek objednatele, které budou po celou dobu trvání výstavního projektu zapůjčeny </w:t>
      </w:r>
      <w:proofErr w:type="spellStart"/>
      <w:r>
        <w:t>půjčitelům</w:t>
      </w:r>
      <w:proofErr w:type="spellEnd"/>
      <w:r>
        <w:t xml:space="preserve"> jako náhrady za exponáty vystavené v rámci výstavního projektu (dále jen </w:t>
      </w:r>
      <w:r>
        <w:rPr>
          <w:b/>
          <w:bCs/>
        </w:rPr>
        <w:t>„Reciproční výpůjčka“</w:t>
      </w:r>
      <w:r>
        <w:t xml:space="preserve">); v případě Reciproční výpůjčky je poskytovatel povinen zajistit transport exponátů z místa určení na adresu určenou </w:t>
      </w:r>
      <w:proofErr w:type="spellStart"/>
      <w:r>
        <w:t>půjčitelem</w:t>
      </w:r>
      <w:proofErr w:type="spellEnd"/>
      <w:r>
        <w:t xml:space="preserve"> a zpět.</w:t>
      </w:r>
    </w:p>
    <w:p w:rsidR="00B93048" w:rsidRDefault="0000479D">
      <w:pPr>
        <w:pStyle w:val="Zkladntext1"/>
        <w:shd w:val="clear" w:color="auto" w:fill="auto"/>
        <w:jc w:val="both"/>
      </w:pPr>
      <w:r>
        <w:t>3. Poskytovatel se zavazuje zajistit transporty exponátů včetně následujících služeb:</w:t>
      </w:r>
    </w:p>
    <w:p w:rsidR="00B93048" w:rsidRDefault="0000479D">
      <w:pPr>
        <w:pStyle w:val="Zkladntext1"/>
        <w:numPr>
          <w:ilvl w:val="0"/>
          <w:numId w:val="4"/>
        </w:numPr>
        <w:shd w:val="clear" w:color="auto" w:fill="auto"/>
        <w:tabs>
          <w:tab w:val="left" w:pos="337"/>
        </w:tabs>
        <w:spacing w:after="0"/>
        <w:jc w:val="both"/>
      </w:pPr>
      <w:r>
        <w:t>balení exponátů a koordinace prací souvisejících s kurýrním předáním během instalace</w:t>
      </w:r>
    </w:p>
    <w:p w:rsidR="00B93048" w:rsidRDefault="0000479D">
      <w:pPr>
        <w:pStyle w:val="Zkladntext1"/>
        <w:numPr>
          <w:ilvl w:val="0"/>
          <w:numId w:val="4"/>
        </w:numPr>
        <w:shd w:val="clear" w:color="auto" w:fill="auto"/>
        <w:tabs>
          <w:tab w:val="left" w:pos="337"/>
        </w:tabs>
        <w:spacing w:after="0"/>
        <w:jc w:val="both"/>
      </w:pPr>
      <w:r>
        <w:t>výroby, prolongace a uskladnění obalového materiálu (v klimaticky odpovídajících prostorách) dle specifikace uvedené v příloze č. 1 této smlouvy</w:t>
      </w:r>
    </w:p>
    <w:p w:rsidR="00B93048" w:rsidRDefault="0000479D">
      <w:pPr>
        <w:pStyle w:val="Zkladntext1"/>
        <w:shd w:val="clear" w:color="auto" w:fill="auto"/>
        <w:spacing w:after="0"/>
        <w:jc w:val="both"/>
      </w:pPr>
      <w:r>
        <w:t xml:space="preserve">.b) projednání zásilek v režimu celního odbavení, včetně vyřízení vývozních povolení, vyžaduje-li to </w:t>
      </w:r>
      <w:proofErr w:type="spellStart"/>
      <w:r>
        <w:t>půjčitel</w:t>
      </w:r>
      <w:proofErr w:type="spellEnd"/>
    </w:p>
    <w:p w:rsidR="00B93048" w:rsidRDefault="0000479D">
      <w:pPr>
        <w:pStyle w:val="Zkladntext1"/>
        <w:numPr>
          <w:ilvl w:val="0"/>
          <w:numId w:val="4"/>
        </w:numPr>
        <w:shd w:val="clear" w:color="auto" w:fill="auto"/>
        <w:tabs>
          <w:tab w:val="left" w:pos="322"/>
        </w:tabs>
        <w:spacing w:after="0"/>
        <w:jc w:val="both"/>
      </w:pPr>
      <w:r>
        <w:t>kurýrní servis během instalace a de-instalace, a to především</w:t>
      </w:r>
    </w:p>
    <w:p w:rsidR="00B93048" w:rsidRDefault="0000479D">
      <w:pPr>
        <w:pStyle w:val="Zkladntext1"/>
        <w:shd w:val="clear" w:color="auto" w:fill="auto"/>
        <w:spacing w:after="0"/>
        <w:jc w:val="both"/>
      </w:pPr>
      <w:r>
        <w:t>- organizační zajištění kurýrních cest dle přílohy č. 1</w:t>
      </w:r>
    </w:p>
    <w:p w:rsidR="00B93048" w:rsidRDefault="0000479D">
      <w:pPr>
        <w:pStyle w:val="Zkladntext1"/>
        <w:shd w:val="clear" w:color="auto" w:fill="auto"/>
        <w:spacing w:after="0"/>
        <w:jc w:val="both"/>
      </w:pPr>
      <w:r>
        <w:t>- zajištění ubytování kurýrů na nezbytnou dobu pobytu</w:t>
      </w:r>
    </w:p>
    <w:p w:rsidR="00B93048" w:rsidRDefault="0000479D">
      <w:pPr>
        <w:pStyle w:val="Zkladntext1"/>
        <w:shd w:val="clear" w:color="auto" w:fill="auto"/>
        <w:spacing w:after="0"/>
        <w:jc w:val="both"/>
      </w:pPr>
      <w:r>
        <w:t>- valutové vybavení kurýrů (dle předepsané výše a měny ve smlouvách o výpůjčce, viz příloha č. 1, příslušné sloupce; není-li v příloze č. 1 stanoveno, pak platí valutové vybavení ve výši 75 EUR/den), jiné nebo nadlimitní požadavky až po předchozím odsouhlasení ze strany oprávněné osoby objednatele</w:t>
      </w:r>
    </w:p>
    <w:p w:rsidR="00B93048" w:rsidRDefault="0000479D">
      <w:pPr>
        <w:pStyle w:val="Zkladntext1"/>
        <w:shd w:val="clear" w:color="auto" w:fill="auto"/>
        <w:spacing w:after="0"/>
        <w:jc w:val="both"/>
      </w:pPr>
      <w:r>
        <w:t>- zajištění dopravních cenin</w:t>
      </w:r>
    </w:p>
    <w:p w:rsidR="00B93048" w:rsidRDefault="0000479D">
      <w:pPr>
        <w:pStyle w:val="Zkladntext1"/>
        <w:shd w:val="clear" w:color="auto" w:fill="auto"/>
        <w:spacing w:after="0"/>
        <w:jc w:val="both"/>
      </w:pPr>
      <w:r>
        <w:t>- zajištění dopravy kurýrů z letiště/na letiště, bude-li z jejich strany požadováno; v případě kurýrů převážejících exponát je doprava z letiště na místo konání Výstavy podmínkou</w:t>
      </w:r>
    </w:p>
    <w:p w:rsidR="00B93048" w:rsidRDefault="0000479D">
      <w:pPr>
        <w:pStyle w:val="Zkladntext1"/>
        <w:shd w:val="clear" w:color="auto" w:fill="auto"/>
        <w:jc w:val="both"/>
      </w:pPr>
      <w:r>
        <w:t xml:space="preserve">- zajištění všech nezbytných neočekávaných služeb a okamžitých úhrad v souvislosti s organizací kurýrní cesty v domovině </w:t>
      </w:r>
      <w:proofErr w:type="spellStart"/>
      <w:r>
        <w:t>půjčitele</w:t>
      </w:r>
      <w:proofErr w:type="spellEnd"/>
      <w:r>
        <w:t xml:space="preserve"> (např. úhrada vyžádaných COVID testů před odletem apod.)</w:t>
      </w:r>
    </w:p>
    <w:p w:rsidR="00B93048" w:rsidRDefault="0000479D">
      <w:pPr>
        <w:pStyle w:val="Zkladntext1"/>
        <w:numPr>
          <w:ilvl w:val="0"/>
          <w:numId w:val="5"/>
        </w:numPr>
        <w:shd w:val="clear" w:color="auto" w:fill="auto"/>
        <w:tabs>
          <w:tab w:val="left" w:pos="343"/>
        </w:tabs>
        <w:spacing w:after="0"/>
      </w:pPr>
      <w:r>
        <w:t>organizace transportu v režimu Sdílených exponátů, Nesdílených exponátů, či Recipročních výpůjček a vybalení</w:t>
      </w:r>
    </w:p>
    <w:p w:rsidR="00B93048" w:rsidRDefault="0000479D">
      <w:pPr>
        <w:pStyle w:val="Zkladntext1"/>
        <w:numPr>
          <w:ilvl w:val="0"/>
          <w:numId w:val="5"/>
        </w:numPr>
        <w:shd w:val="clear" w:color="auto" w:fill="auto"/>
        <w:tabs>
          <w:tab w:val="left" w:pos="307"/>
        </w:tabs>
        <w:spacing w:after="0"/>
      </w:pPr>
      <w:r>
        <w:t xml:space="preserve">označení beden u Sdílených exponátů pořadovým číslem bedny i místem konání výstav u Výstavních partnerů a vypracování detailního bednového seznamu identifikujícího pod číslem </w:t>
      </w:r>
      <w:r>
        <w:lastRenderedPageBreak/>
        <w:t>bedny exponát</w:t>
      </w:r>
    </w:p>
    <w:p w:rsidR="00B93048" w:rsidRDefault="0000479D">
      <w:pPr>
        <w:pStyle w:val="Zkladntext1"/>
        <w:numPr>
          <w:ilvl w:val="0"/>
          <w:numId w:val="5"/>
        </w:numPr>
        <w:shd w:val="clear" w:color="auto" w:fill="auto"/>
        <w:tabs>
          <w:tab w:val="left" w:pos="343"/>
        </w:tabs>
        <w:spacing w:after="0"/>
      </w:pPr>
      <w:r>
        <w:t xml:space="preserve">koordinace transportů exponátů se spedicí vymíněnou </w:t>
      </w:r>
      <w:proofErr w:type="spellStart"/>
      <w:r>
        <w:t>půjčitelem</w:t>
      </w:r>
      <w:proofErr w:type="spellEnd"/>
    </w:p>
    <w:p w:rsidR="00B93048" w:rsidRDefault="0000479D">
      <w:pPr>
        <w:pStyle w:val="Zkladntext1"/>
        <w:numPr>
          <w:ilvl w:val="0"/>
          <w:numId w:val="5"/>
        </w:numPr>
        <w:shd w:val="clear" w:color="auto" w:fill="auto"/>
        <w:tabs>
          <w:tab w:val="left" w:pos="343"/>
        </w:tabs>
      </w:pPr>
      <w:r>
        <w:t>balení exponátů a koordinace prací souvisejících s kurýrním předáním během de-instalace</w:t>
      </w:r>
      <w:bookmarkStart w:id="0" w:name="_GoBack"/>
      <w:bookmarkEnd w:id="0"/>
    </w:p>
    <w:p w:rsidR="00B667C0" w:rsidRDefault="00B667C0" w:rsidP="00B667C0">
      <w:pPr>
        <w:pStyle w:val="Zkladntext1"/>
        <w:shd w:val="clear" w:color="auto" w:fill="auto"/>
        <w:tabs>
          <w:tab w:val="left" w:pos="343"/>
        </w:tabs>
        <w:spacing w:after="0"/>
      </w:pPr>
    </w:p>
    <w:p w:rsidR="00B93048" w:rsidRDefault="0000479D">
      <w:pPr>
        <w:pStyle w:val="Zkladntext1"/>
        <w:shd w:val="clear" w:color="auto" w:fill="auto"/>
        <w:spacing w:after="0"/>
        <w:jc w:val="center"/>
      </w:pPr>
      <w:r>
        <w:rPr>
          <w:b/>
          <w:bCs/>
        </w:rPr>
        <w:t>III.</w:t>
      </w:r>
    </w:p>
    <w:p w:rsidR="00B93048" w:rsidRDefault="0000479D">
      <w:pPr>
        <w:pStyle w:val="Zkladntext1"/>
        <w:shd w:val="clear" w:color="auto" w:fill="auto"/>
        <w:jc w:val="center"/>
      </w:pPr>
      <w:r>
        <w:rPr>
          <w:b/>
          <w:bCs/>
        </w:rPr>
        <w:t>Termíny plnění</w:t>
      </w:r>
    </w:p>
    <w:p w:rsidR="00B93048" w:rsidRDefault="0000479D">
      <w:pPr>
        <w:pStyle w:val="Zkladntext1"/>
        <w:shd w:val="clear" w:color="auto" w:fill="auto"/>
      </w:pPr>
      <w:r>
        <w:t>Termín plnění: od února 2021 do prosince 2022.</w:t>
      </w:r>
    </w:p>
    <w:p w:rsidR="00B93048" w:rsidRDefault="0000479D">
      <w:pPr>
        <w:pStyle w:val="Zkladntext1"/>
        <w:shd w:val="clear" w:color="auto" w:fill="auto"/>
        <w:spacing w:after="0"/>
      </w:pPr>
      <w:r>
        <w:t xml:space="preserve">Předpokládaný termín svozu exponátu na Výstavu: </w:t>
      </w:r>
      <w:r w:rsidR="0040314F">
        <w:t>XXXXXXXXXXXXXXXX</w:t>
      </w:r>
    </w:p>
    <w:p w:rsidR="00B93048" w:rsidRDefault="0000479D">
      <w:pPr>
        <w:pStyle w:val="Zkladntext1"/>
        <w:shd w:val="clear" w:color="auto" w:fill="auto"/>
      </w:pPr>
      <w:r>
        <w:t xml:space="preserve">Předpokládaný termín rozvozů exponátů na místa určení: </w:t>
      </w:r>
      <w:r w:rsidR="0040314F">
        <w:t>XXXXXXXXXXXXXX</w:t>
      </w:r>
      <w:r>
        <w:t xml:space="preserve">; u Recipročních výpůjček pak do </w:t>
      </w:r>
      <w:r w:rsidR="0040314F">
        <w:t>XXXXXXXXXXXXXXXX</w:t>
      </w:r>
    </w:p>
    <w:p w:rsidR="00B667C0" w:rsidRDefault="00B667C0" w:rsidP="00B667C0">
      <w:pPr>
        <w:pStyle w:val="Zkladntext1"/>
        <w:shd w:val="clear" w:color="auto" w:fill="auto"/>
        <w:spacing w:after="0"/>
      </w:pPr>
    </w:p>
    <w:p w:rsidR="00B93048" w:rsidRDefault="0000479D">
      <w:pPr>
        <w:pStyle w:val="Zkladntext1"/>
        <w:shd w:val="clear" w:color="auto" w:fill="auto"/>
        <w:spacing w:after="0"/>
        <w:jc w:val="center"/>
      </w:pPr>
      <w:r>
        <w:rPr>
          <w:b/>
          <w:bCs/>
        </w:rPr>
        <w:t>IV.</w:t>
      </w:r>
    </w:p>
    <w:p w:rsidR="00B93048" w:rsidRDefault="0000479D">
      <w:pPr>
        <w:pStyle w:val="Zkladntext1"/>
        <w:shd w:val="clear" w:color="auto" w:fill="auto"/>
        <w:jc w:val="center"/>
      </w:pPr>
      <w:r>
        <w:rPr>
          <w:b/>
          <w:bCs/>
        </w:rPr>
        <w:t>Určení místa převzetí a předání výstavních exponátů</w:t>
      </w:r>
    </w:p>
    <w:p w:rsidR="00B93048" w:rsidRDefault="0000479D">
      <w:pPr>
        <w:pStyle w:val="Zkladntext1"/>
        <w:numPr>
          <w:ilvl w:val="0"/>
          <w:numId w:val="6"/>
        </w:numPr>
        <w:shd w:val="clear" w:color="auto" w:fill="auto"/>
        <w:tabs>
          <w:tab w:val="left" w:pos="328"/>
        </w:tabs>
        <w:ind w:left="380" w:hanging="380"/>
        <w:jc w:val="both"/>
      </w:pPr>
      <w:r>
        <w:t xml:space="preserve">Místem předání exponátů k přepravě jsou adresy </w:t>
      </w:r>
      <w:proofErr w:type="spellStart"/>
      <w:r>
        <w:t>půjčitelů</w:t>
      </w:r>
      <w:proofErr w:type="spellEnd"/>
      <w:r>
        <w:t xml:space="preserve"> či adresy jimi sdělené (v případě sdílených a nesdílených exponátů), adresa objednatele (v případě reciproční výpůjčky), místem konání výstavy je destinace Národní galerie v Praze, Valdštejnská 1,3, 118 00 Praha 1-Malá Strana a místem převzetí exponátů po jejich zpětné přepravě, jsou adresy </w:t>
      </w:r>
      <w:proofErr w:type="spellStart"/>
      <w:r>
        <w:t>půjčitelů</w:t>
      </w:r>
      <w:proofErr w:type="spellEnd"/>
      <w:r>
        <w:t xml:space="preserve"> nebo adresy jimi sdělené, uvedené v seznamu v příloze č. 1, která tvoří nedílnou součást této smlouvy (u nesdílených exponátů), adresa objednatele (v případě reciproční výpůjčky). U sdílených exponátů poskytovatel zajišťuje koordinaci transportu do místa jejich převzetí po zpětné přepravě, kterým jsou místa konání výstav některého z výstavních partnerů.</w:t>
      </w:r>
    </w:p>
    <w:p w:rsidR="00B667C0" w:rsidRDefault="00B667C0" w:rsidP="00B667C0">
      <w:pPr>
        <w:pStyle w:val="Zkladntext1"/>
        <w:shd w:val="clear" w:color="auto" w:fill="auto"/>
        <w:tabs>
          <w:tab w:val="left" w:pos="328"/>
        </w:tabs>
        <w:spacing w:after="0"/>
        <w:ind w:left="380"/>
        <w:jc w:val="both"/>
      </w:pPr>
    </w:p>
    <w:p w:rsidR="00B93048" w:rsidRDefault="0000479D">
      <w:pPr>
        <w:pStyle w:val="Zkladntext1"/>
        <w:shd w:val="clear" w:color="auto" w:fill="auto"/>
        <w:spacing w:after="0"/>
        <w:jc w:val="center"/>
      </w:pPr>
      <w:r>
        <w:rPr>
          <w:b/>
          <w:bCs/>
        </w:rPr>
        <w:t>V.</w:t>
      </w:r>
    </w:p>
    <w:p w:rsidR="00B93048" w:rsidRDefault="0000479D">
      <w:pPr>
        <w:pStyle w:val="Zkladntext1"/>
        <w:shd w:val="clear" w:color="auto" w:fill="auto"/>
        <w:jc w:val="center"/>
      </w:pPr>
      <w:r>
        <w:rPr>
          <w:b/>
          <w:bCs/>
        </w:rPr>
        <w:t>Povinnosti objednatele</w:t>
      </w:r>
    </w:p>
    <w:p w:rsidR="00B93048" w:rsidRDefault="0000479D">
      <w:pPr>
        <w:pStyle w:val="Zkladntext1"/>
        <w:numPr>
          <w:ilvl w:val="0"/>
          <w:numId w:val="7"/>
        </w:numPr>
        <w:shd w:val="clear" w:color="auto" w:fill="auto"/>
        <w:tabs>
          <w:tab w:val="left" w:pos="328"/>
        </w:tabs>
        <w:ind w:left="380" w:hanging="380"/>
        <w:jc w:val="both"/>
      </w:pPr>
      <w:r>
        <w:t xml:space="preserve">Objednatel se zavazuje pro přepravu exponátů dle této smlouvy včas zajistit podepsání výpůjčních smluv s </w:t>
      </w:r>
      <w:proofErr w:type="spellStart"/>
      <w:r>
        <w:t>půjčiteli</w:t>
      </w:r>
      <w:proofErr w:type="spellEnd"/>
      <w:r>
        <w:t xml:space="preserve"> a předat poskytovateli následující doklady: písemnou instrukci, na kterou adresu mají být vráceny po skončení výstavy s uvedením přesných adres, kontaktních osob, telefonních, popř. faxových a e-mailových spojení. V případě zahraničních </w:t>
      </w:r>
      <w:proofErr w:type="spellStart"/>
      <w:r>
        <w:t>půjčitelů</w:t>
      </w:r>
      <w:proofErr w:type="spellEnd"/>
      <w:r>
        <w:t xml:space="preserve"> budou všechny tyto informace uvedeny ve smlouvě, která, v případě potřeby, bude předložena v anglické verzi nebo anglickém překladu (v případě, kdy smlouva bude uzavřena v jiném než anglickém jazyce). Dále je objednatel povinen včas sdělit základní informace o exponátech, pojistné hodnoty, nároky </w:t>
      </w:r>
      <w:proofErr w:type="spellStart"/>
      <w:r>
        <w:t>půjčitelů</w:t>
      </w:r>
      <w:proofErr w:type="spellEnd"/>
      <w:r>
        <w:t xml:space="preserve"> na způsob balení, požadavky na přepravní obaly, typ pojištění a pojišťovnu, kurýrní doprovod, výši diety/valutové vybavení kurýrů.</w:t>
      </w:r>
    </w:p>
    <w:p w:rsidR="00B93048" w:rsidRDefault="0000479D">
      <w:pPr>
        <w:pStyle w:val="Zkladntext1"/>
        <w:numPr>
          <w:ilvl w:val="0"/>
          <w:numId w:val="7"/>
        </w:numPr>
        <w:shd w:val="clear" w:color="auto" w:fill="auto"/>
        <w:tabs>
          <w:tab w:val="left" w:pos="328"/>
        </w:tabs>
        <w:ind w:left="380" w:hanging="380"/>
        <w:jc w:val="both"/>
      </w:pPr>
      <w:r>
        <w:t>Objednatel zajistí ve výstavních prostorách vhodné podmínky pro zabalení exponátů po skončení výstavy.</w:t>
      </w:r>
    </w:p>
    <w:p w:rsidR="00B93048" w:rsidRDefault="0000479D">
      <w:pPr>
        <w:pStyle w:val="Zkladntext1"/>
        <w:numPr>
          <w:ilvl w:val="0"/>
          <w:numId w:val="7"/>
        </w:numPr>
        <w:shd w:val="clear" w:color="auto" w:fill="auto"/>
        <w:tabs>
          <w:tab w:val="left" w:pos="328"/>
        </w:tabs>
        <w:ind w:left="380" w:hanging="380"/>
        <w:jc w:val="both"/>
      </w:pPr>
      <w:r>
        <w:t xml:space="preserve">Objednatel se zavazuje poskytnout poskytovateli veškerou potřebnou součinnost v komunikaci s Výstavními partnery objednatele, jakož i </w:t>
      </w:r>
      <w:proofErr w:type="spellStart"/>
      <w:r>
        <w:t>půjčiteli</w:t>
      </w:r>
      <w:proofErr w:type="spellEnd"/>
      <w:r>
        <w:t xml:space="preserve"> exponátů.</w:t>
      </w:r>
    </w:p>
    <w:p w:rsidR="00B667C0" w:rsidRDefault="00B667C0">
      <w:pPr>
        <w:pStyle w:val="Zkladntext1"/>
        <w:shd w:val="clear" w:color="auto" w:fill="auto"/>
        <w:spacing w:after="0"/>
        <w:jc w:val="center"/>
        <w:rPr>
          <w:b/>
          <w:bCs/>
        </w:rPr>
      </w:pPr>
    </w:p>
    <w:p w:rsidR="00B93048" w:rsidRDefault="0000479D">
      <w:pPr>
        <w:pStyle w:val="Zkladntext1"/>
        <w:shd w:val="clear" w:color="auto" w:fill="auto"/>
        <w:spacing w:after="0"/>
        <w:jc w:val="center"/>
      </w:pPr>
      <w:r>
        <w:rPr>
          <w:b/>
          <w:bCs/>
        </w:rPr>
        <w:t>VI.</w:t>
      </w:r>
    </w:p>
    <w:p w:rsidR="00B93048" w:rsidRDefault="0000479D">
      <w:pPr>
        <w:pStyle w:val="Zkladntext1"/>
        <w:shd w:val="clear" w:color="auto" w:fill="auto"/>
        <w:jc w:val="center"/>
      </w:pPr>
      <w:r>
        <w:rPr>
          <w:b/>
          <w:bCs/>
        </w:rPr>
        <w:t>Práva a povinnosti poskytovatele</w:t>
      </w:r>
    </w:p>
    <w:p w:rsidR="00B93048" w:rsidRDefault="0000479D">
      <w:pPr>
        <w:pStyle w:val="Zkladntext1"/>
        <w:numPr>
          <w:ilvl w:val="0"/>
          <w:numId w:val="8"/>
        </w:numPr>
        <w:shd w:val="clear" w:color="auto" w:fill="auto"/>
        <w:tabs>
          <w:tab w:val="left" w:pos="328"/>
        </w:tabs>
        <w:ind w:left="380" w:hanging="380"/>
      </w:pPr>
      <w:r>
        <w:t xml:space="preserve">Poskytovatel se zavazuje provést předmět plnění dle této smlouvy s využitím realizačního týmu, jehož členové jsou uvedení v příloze č. 3 </w:t>
      </w:r>
      <w:proofErr w:type="gramStart"/>
      <w:r>
        <w:t>této</w:t>
      </w:r>
      <w:proofErr w:type="gramEnd"/>
      <w:r>
        <w:t xml:space="preserve"> smlouvy. Poskytovatel je oprávněn </w:t>
      </w:r>
      <w:r>
        <w:lastRenderedPageBreak/>
        <w:t>změnit členy realizačního týmu pouze ze závažných důvodů a s předchozím písemným souhlasem objednatele.</w:t>
      </w:r>
    </w:p>
    <w:p w:rsidR="00B93048" w:rsidRDefault="0000479D">
      <w:pPr>
        <w:pStyle w:val="Zkladntext1"/>
        <w:numPr>
          <w:ilvl w:val="0"/>
          <w:numId w:val="8"/>
        </w:numPr>
        <w:shd w:val="clear" w:color="auto" w:fill="auto"/>
        <w:tabs>
          <w:tab w:val="left" w:pos="359"/>
        </w:tabs>
        <w:ind w:left="360" w:hanging="360"/>
        <w:jc w:val="both"/>
      </w:pPr>
      <w:r>
        <w:t>Poskytovatel je oprávněn změnit poddodavatele, kterými prokazoval kvalifikaci v zadávacím řízení pouze ze závažných důvodů, přičemž musí být novými poddodavateli splněny původní požadavky na takového poddodavatele. Tato změna poddodavatele může být provedena pouze s předchozím písemným souhlasem objednatele.</w:t>
      </w:r>
    </w:p>
    <w:p w:rsidR="00B93048" w:rsidRDefault="0000479D">
      <w:pPr>
        <w:pStyle w:val="Zkladntext1"/>
        <w:numPr>
          <w:ilvl w:val="0"/>
          <w:numId w:val="8"/>
        </w:numPr>
        <w:shd w:val="clear" w:color="auto" w:fill="auto"/>
        <w:tabs>
          <w:tab w:val="left" w:pos="359"/>
        </w:tabs>
        <w:ind w:left="360" w:hanging="360"/>
        <w:jc w:val="both"/>
      </w:pPr>
      <w:r>
        <w:t>Seznam poddodavatelů, kteří se budou podílet na plnění dle této smlouvy, je uveden v příloze č. 6 této smlouvy. Poskytovatel se současně zavazuje provést předmět plnění dle této smlouvy pouze prostřednictvím poddodavatelů, kteří jsou uvedeni v příloze č. 6 poddodavatelé poskytovatele. Poskytovatel je oprávněn změnit i tyto poddodavatele pouze ze závažných důvodů a s předchozím písemným souhlasem objednatele.</w:t>
      </w:r>
    </w:p>
    <w:p w:rsidR="00B93048" w:rsidRDefault="0000479D">
      <w:pPr>
        <w:pStyle w:val="Zkladntext1"/>
        <w:numPr>
          <w:ilvl w:val="0"/>
          <w:numId w:val="8"/>
        </w:numPr>
        <w:shd w:val="clear" w:color="auto" w:fill="auto"/>
        <w:tabs>
          <w:tab w:val="left" w:pos="359"/>
        </w:tabs>
        <w:ind w:left="360" w:hanging="360"/>
        <w:jc w:val="both"/>
      </w:pPr>
      <w:r>
        <w:t>Poskytovatel se dále zavazuje, že po provedení předmětu plnění dle této smlouvy poskytne poskytovatel součinnost, aby objednatel mohl dostát svým povinnostem dle § 219 ZVZZ.</w:t>
      </w:r>
    </w:p>
    <w:p w:rsidR="00B93048" w:rsidRDefault="0000479D">
      <w:pPr>
        <w:pStyle w:val="Zkladntext1"/>
        <w:numPr>
          <w:ilvl w:val="0"/>
          <w:numId w:val="8"/>
        </w:numPr>
        <w:shd w:val="clear" w:color="auto" w:fill="auto"/>
        <w:tabs>
          <w:tab w:val="left" w:pos="359"/>
        </w:tabs>
        <w:ind w:left="360" w:hanging="360"/>
        <w:jc w:val="both"/>
      </w:pPr>
      <w:r>
        <w:t xml:space="preserve">Poskytovatel se zavazuje využívat při provádění předmětu dle této smlouvy vozy s poznávacími značkami uvedenými v příloze č. 4. Poskytovatel prohlašuje, že vozy v příloze č. 4 uvedené splňují technické parametry dle přílohy č. 4 </w:t>
      </w:r>
      <w:proofErr w:type="gramStart"/>
      <w:r>
        <w:t>této</w:t>
      </w:r>
      <w:proofErr w:type="gramEnd"/>
      <w:r>
        <w:t xml:space="preserve"> smlouvy. Poskytovatel je oprávněn změnit tyto vozy pouze s předchozím písemným souhlasem objednatele, přičemž vůz, kterým bude dosavadní vůz nahrazován musí splňovat technické parametry uvedené v příloze č. 4 </w:t>
      </w:r>
      <w:proofErr w:type="gramStart"/>
      <w:r>
        <w:t>této</w:t>
      </w:r>
      <w:proofErr w:type="gramEnd"/>
      <w:r>
        <w:t xml:space="preserve"> smlouvy.</w:t>
      </w:r>
    </w:p>
    <w:p w:rsidR="00B93048" w:rsidRDefault="0000479D">
      <w:pPr>
        <w:pStyle w:val="Zkladntext1"/>
        <w:numPr>
          <w:ilvl w:val="0"/>
          <w:numId w:val="8"/>
        </w:numPr>
        <w:shd w:val="clear" w:color="auto" w:fill="auto"/>
        <w:tabs>
          <w:tab w:val="left" w:pos="359"/>
        </w:tabs>
        <w:ind w:left="360" w:hanging="360"/>
        <w:jc w:val="both"/>
      </w:pPr>
      <w:r>
        <w:t>Poskytovatel se zavazuje využívat pro uskladnění exponátů před doručením do určeného místa převzetí, bude-li takového uskladnění zapotřebí, výlučně prostory uvedené v příloze č. 5 této smlouvy. Poskytovatel prohlašuje, že prostory dle přílohy č. 5 splňují parametry dle přílohy č. 5 této smlouvy. Poskytovatel je oprávněn změnit tyto prostory pouze s předchozím písemným souhlasem objednatele, přičemž prostory, kterými budou dosavadní prostory nahrazovány, musí splňovat technické parametry uvedené v příloze č. 5 této smlouvy.</w:t>
      </w:r>
    </w:p>
    <w:p w:rsidR="00B93048" w:rsidRDefault="0000479D">
      <w:pPr>
        <w:pStyle w:val="Zkladntext1"/>
        <w:numPr>
          <w:ilvl w:val="0"/>
          <w:numId w:val="8"/>
        </w:numPr>
        <w:shd w:val="clear" w:color="auto" w:fill="auto"/>
        <w:tabs>
          <w:tab w:val="left" w:pos="359"/>
        </w:tabs>
        <w:ind w:left="360" w:hanging="360"/>
        <w:jc w:val="both"/>
      </w:pPr>
      <w:r>
        <w:t>Objednatel je oprávněn zúžit 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B93048" w:rsidRDefault="0000479D">
      <w:pPr>
        <w:pStyle w:val="Zkladntext1"/>
        <w:numPr>
          <w:ilvl w:val="0"/>
          <w:numId w:val="8"/>
        </w:numPr>
        <w:shd w:val="clear" w:color="auto" w:fill="auto"/>
        <w:tabs>
          <w:tab w:val="left" w:pos="359"/>
        </w:tabs>
        <w:ind w:left="360" w:hanging="360"/>
        <w:jc w:val="both"/>
      </w:pPr>
      <w:r>
        <w:t>Bude-li to nezbytné ke včasnému zajištění dopravy exponátů do termínu výstavy, resp. konce výpůjčky, je poskytovatel povinen provádět svozy i během dnů pracovního klidu, aniž by poskytovateli vznikal nárok k navýšení ceny dle čl. VI.</w:t>
      </w:r>
    </w:p>
    <w:p w:rsidR="00B93048" w:rsidRDefault="0000479D">
      <w:pPr>
        <w:pStyle w:val="Zkladntext1"/>
        <w:numPr>
          <w:ilvl w:val="0"/>
          <w:numId w:val="8"/>
        </w:numPr>
        <w:shd w:val="clear" w:color="auto" w:fill="auto"/>
        <w:tabs>
          <w:tab w:val="left" w:pos="359"/>
        </w:tabs>
        <w:ind w:left="360" w:hanging="360"/>
        <w:jc w:val="both"/>
      </w:pPr>
      <w:r>
        <w:t>Poskytovatel je povinen provádět předmět plnění dle této smlouvy v součinnosti s kurátory či jinými pověřenými pracovníky objednavatele určenými objednatelem.</w:t>
      </w:r>
    </w:p>
    <w:p w:rsidR="00B93048" w:rsidRDefault="0000479D">
      <w:pPr>
        <w:pStyle w:val="Zkladntext1"/>
        <w:numPr>
          <w:ilvl w:val="0"/>
          <w:numId w:val="8"/>
        </w:numPr>
        <w:shd w:val="clear" w:color="auto" w:fill="auto"/>
        <w:tabs>
          <w:tab w:val="left" w:pos="399"/>
        </w:tabs>
        <w:ind w:left="360" w:hanging="360"/>
        <w:jc w:val="both"/>
      </w:pPr>
      <w:r>
        <w:t>Poskytovatel je dále povinen při jakékoli manipulaci s exponáty a jejich transportu, dodržovat obecné muzejní standardy zacházení s exponáty.</w:t>
      </w:r>
    </w:p>
    <w:p w:rsidR="00B93048" w:rsidRDefault="0000479D">
      <w:pPr>
        <w:pStyle w:val="Zkladntext1"/>
        <w:numPr>
          <w:ilvl w:val="0"/>
          <w:numId w:val="8"/>
        </w:numPr>
        <w:shd w:val="clear" w:color="auto" w:fill="auto"/>
        <w:tabs>
          <w:tab w:val="left" w:pos="399"/>
        </w:tabs>
        <w:ind w:left="360" w:hanging="360"/>
        <w:jc w:val="both"/>
      </w:pPr>
      <w:r>
        <w:t xml:space="preserve">Poskytovatel prohlašuje, že ke dni podpisu této smlouvy má uzavřenou pojistnou smlouvu, jejímž předmětem je pojištění odpovědnosti za škodu způsobenou poskytovatelem objednateli nebo třetí osobě v souvislosti s výkonem jeho činnosti, ve výši pojistného plnění nejméně 10 milionů korun. Kopie pojistné smlouvy tvoří přílohu č. 2 </w:t>
      </w:r>
      <w:proofErr w:type="gramStart"/>
      <w:r>
        <w:t>této</w:t>
      </w:r>
      <w:proofErr w:type="gramEnd"/>
      <w:r>
        <w:t xml:space="preserve"> smlouvy. Poskytovatel se zavazuje, že po celou dobu trvání této smlouvy bude pojištěn ve smyslu tohoto ustanovení a že nedojde ke snížení pojistného plnění pod částku uvedenou v předchozí větě. Poskytovatel se dále zavazuje na základě výzvy Objednatele prokázat, že je pojištěn v souladu s tímto ustanovením.</w:t>
      </w:r>
    </w:p>
    <w:p w:rsidR="00B93048" w:rsidRDefault="0000479D">
      <w:pPr>
        <w:pStyle w:val="Zkladntext1"/>
        <w:numPr>
          <w:ilvl w:val="0"/>
          <w:numId w:val="8"/>
        </w:numPr>
        <w:shd w:val="clear" w:color="auto" w:fill="auto"/>
        <w:tabs>
          <w:tab w:val="left" w:pos="447"/>
        </w:tabs>
        <w:ind w:left="380" w:hanging="380"/>
        <w:jc w:val="both"/>
      </w:pPr>
      <w:r>
        <w:t xml:space="preserve">Poskytovatel je povinen zajistit soustavnou ostrahu převážených exponátů a učinit veškerá </w:t>
      </w:r>
      <w:r>
        <w:lastRenderedPageBreak/>
        <w:t>bezpečností opatření k tomu, aby v průběhu plnění nedošlo k poškození, ztrátě nebo zcizení exponátů.</w:t>
      </w:r>
    </w:p>
    <w:p w:rsidR="00B667C0" w:rsidRDefault="00B667C0" w:rsidP="00B667C0">
      <w:pPr>
        <w:pStyle w:val="Zkladntext1"/>
        <w:shd w:val="clear" w:color="auto" w:fill="auto"/>
        <w:tabs>
          <w:tab w:val="left" w:pos="447"/>
        </w:tabs>
        <w:spacing w:after="0"/>
        <w:ind w:left="380"/>
        <w:jc w:val="both"/>
      </w:pPr>
    </w:p>
    <w:p w:rsidR="00B93048" w:rsidRDefault="0000479D">
      <w:pPr>
        <w:pStyle w:val="Zkladntext1"/>
        <w:shd w:val="clear" w:color="auto" w:fill="auto"/>
        <w:spacing w:after="0"/>
        <w:jc w:val="center"/>
      </w:pPr>
      <w:r>
        <w:rPr>
          <w:b/>
          <w:bCs/>
        </w:rPr>
        <w:t>VII.</w:t>
      </w:r>
    </w:p>
    <w:p w:rsidR="00B93048" w:rsidRDefault="0000479D">
      <w:pPr>
        <w:pStyle w:val="Zkladntext1"/>
        <w:shd w:val="clear" w:color="auto" w:fill="auto"/>
        <w:jc w:val="center"/>
      </w:pPr>
      <w:r>
        <w:rPr>
          <w:b/>
          <w:bCs/>
        </w:rPr>
        <w:t>Stanovení ceny</w:t>
      </w:r>
    </w:p>
    <w:p w:rsidR="00B93048" w:rsidRDefault="0000479D">
      <w:pPr>
        <w:pStyle w:val="Zkladntext1"/>
        <w:numPr>
          <w:ilvl w:val="0"/>
          <w:numId w:val="9"/>
        </w:numPr>
        <w:shd w:val="clear" w:color="auto" w:fill="auto"/>
        <w:tabs>
          <w:tab w:val="left" w:pos="322"/>
        </w:tabs>
        <w:ind w:left="300" w:hanging="300"/>
        <w:jc w:val="both"/>
      </w:pPr>
      <w:r>
        <w:t>Cena za přepravu exponátů a za služby s tím související podle této smlouvy, včetně zabalení a dalších nutně souvisejících činností a cena kurýrních výloh činí na základě skutečností známých ke dni podání nabídky 2 349 096,50 Kč bez DPH. Výše DPH bude účtována v zákonem stanovené výši v den zdanitelného plnění.</w:t>
      </w:r>
    </w:p>
    <w:p w:rsidR="00B93048" w:rsidRDefault="0000479D">
      <w:pPr>
        <w:pStyle w:val="Zkladntext1"/>
        <w:numPr>
          <w:ilvl w:val="0"/>
          <w:numId w:val="9"/>
        </w:numPr>
        <w:shd w:val="clear" w:color="auto" w:fill="auto"/>
        <w:tabs>
          <w:tab w:val="left" w:pos="322"/>
        </w:tabs>
        <w:ind w:left="300" w:hanging="300"/>
        <w:jc w:val="both"/>
      </w:pPr>
      <w:r>
        <w:t>Veškeré skutečnosti, které mohou mít vliv na výši ceny (snížení nebo zvýšení) a které budou alespoň jedné ze smluvních stran známy, si smluvní strany neprodleně písemně sdělí. Objednatel je oprávněn změnit rozsah služeb, jedná-li se o nepodstatnou změnu nebo změnu, která se nepovažuje za podstatnou změnu ve smyslu ustanovení § 222 zákona č. 134/2016 Sb..</w:t>
      </w:r>
    </w:p>
    <w:p w:rsidR="00B93048" w:rsidRDefault="0000479D">
      <w:pPr>
        <w:pStyle w:val="Zkladntext1"/>
        <w:shd w:val="clear" w:color="auto" w:fill="auto"/>
        <w:ind w:left="300"/>
      </w:pPr>
      <w:r>
        <w:t>Změna ceny je možná pouze na základě dodatku k této smlouvě, který bude podepsán oprávněnými zástupci obou smluvních stran.</w:t>
      </w:r>
    </w:p>
    <w:p w:rsidR="00B667C0" w:rsidRDefault="00B667C0" w:rsidP="00B667C0">
      <w:pPr>
        <w:pStyle w:val="Zkladntext1"/>
        <w:shd w:val="clear" w:color="auto" w:fill="auto"/>
        <w:spacing w:after="0"/>
        <w:ind w:left="301"/>
      </w:pPr>
    </w:p>
    <w:p w:rsidR="00B93048" w:rsidRDefault="0000479D">
      <w:pPr>
        <w:pStyle w:val="Zkladntext1"/>
        <w:shd w:val="clear" w:color="auto" w:fill="auto"/>
        <w:spacing w:after="0"/>
        <w:jc w:val="center"/>
      </w:pPr>
      <w:r>
        <w:rPr>
          <w:b/>
          <w:bCs/>
        </w:rPr>
        <w:t>VIII.</w:t>
      </w:r>
    </w:p>
    <w:p w:rsidR="00B93048" w:rsidRDefault="0000479D">
      <w:pPr>
        <w:pStyle w:val="Zkladntext1"/>
        <w:shd w:val="clear" w:color="auto" w:fill="auto"/>
        <w:spacing w:after="0"/>
        <w:jc w:val="center"/>
      </w:pPr>
      <w:r>
        <w:rPr>
          <w:b/>
          <w:bCs/>
        </w:rPr>
        <w:t>Platební a fakturační podmínky</w:t>
      </w:r>
    </w:p>
    <w:p w:rsidR="00B93048" w:rsidRDefault="0000479D">
      <w:pPr>
        <w:pStyle w:val="Zkladntext1"/>
        <w:numPr>
          <w:ilvl w:val="0"/>
          <w:numId w:val="10"/>
        </w:numPr>
        <w:shd w:val="clear" w:color="auto" w:fill="auto"/>
        <w:tabs>
          <w:tab w:val="left" w:pos="322"/>
        </w:tabs>
        <w:ind w:left="300" w:hanging="300"/>
        <w:jc w:val="both"/>
      </w:pPr>
      <w:r>
        <w:t>Úhrada ceny přepravy a souvisejících služeb bude prováděna na základě dvou faktur (daňových dokladů) vystavených objednateli poskytovatelem po řádném uskutečnění příslušné části plnění dle této smlouvy, přičemž každá z faktur bude dodána ve 2 vyhotoveních se 30 denní splatností takto:</w:t>
      </w:r>
    </w:p>
    <w:p w:rsidR="00B93048" w:rsidRDefault="0000479D">
      <w:pPr>
        <w:pStyle w:val="Zkladntext1"/>
        <w:numPr>
          <w:ilvl w:val="0"/>
          <w:numId w:val="11"/>
        </w:numPr>
        <w:shd w:val="clear" w:color="auto" w:fill="auto"/>
        <w:tabs>
          <w:tab w:val="left" w:pos="740"/>
        </w:tabs>
        <w:ind w:left="740" w:hanging="360"/>
        <w:jc w:val="both"/>
      </w:pPr>
      <w:r>
        <w:t xml:space="preserve">faktura vystavená poskytovatelem v souladu se zákonem o dani z přidané hodnoty na náklady týkající se svozu exponátů do místa konání Výstavy dle čl. IV odst. 1 této smlouvy (včetně transportu recipročních výpůjček k </w:t>
      </w:r>
      <w:proofErr w:type="spellStart"/>
      <w:r>
        <w:t>půjčiteli</w:t>
      </w:r>
      <w:proofErr w:type="spellEnd"/>
      <w:r>
        <w:t>) a s tím souvisejících služeb. Přílohou faktury bude specifikace všech poskytnutých služeb souvisejících se svozem exponátů. Faktura bude poskytovateli vystavena nejdříve po otevření Výstavy;</w:t>
      </w:r>
    </w:p>
    <w:p w:rsidR="00B93048" w:rsidRDefault="0000479D">
      <w:pPr>
        <w:pStyle w:val="Zkladntext1"/>
        <w:numPr>
          <w:ilvl w:val="0"/>
          <w:numId w:val="11"/>
        </w:numPr>
        <w:shd w:val="clear" w:color="auto" w:fill="auto"/>
        <w:tabs>
          <w:tab w:val="left" w:pos="740"/>
        </w:tabs>
        <w:ind w:left="740" w:hanging="360"/>
        <w:jc w:val="both"/>
      </w:pPr>
      <w:r>
        <w:t>faktura vystavená poskytovatelem v souladu se zákonem o dani z přidané hodnoty na náklady týkající se rozvozu exponátů z místa konání Výstavy dle čl. IV odst. 1 této smlouvy (včetně vrácení recipročních výpůjček) a s tím souvisejících služeb. Přílohou faktury bude specifikace všech poskytnutých služeb souvisejících s rozvozem exponátů. Faktura bude poskytovatelem vystavena nejdříve po ukončení Výstavy.</w:t>
      </w:r>
    </w:p>
    <w:p w:rsidR="00B93048" w:rsidRDefault="0000479D">
      <w:pPr>
        <w:pStyle w:val="Zkladntext1"/>
        <w:numPr>
          <w:ilvl w:val="0"/>
          <w:numId w:val="10"/>
        </w:numPr>
        <w:shd w:val="clear" w:color="auto" w:fill="auto"/>
        <w:tabs>
          <w:tab w:val="left" w:pos="322"/>
        </w:tabs>
      </w:pPr>
      <w:r>
        <w:t xml:space="preserve">Faktury budou vystaveny česko-anglicky. Přílohou faktur bude specifikace všech poskytnutých služeb a nákladů. Požadovaný způsob struktury nákladů v </w:t>
      </w:r>
      <w:r>
        <w:rPr>
          <w:b/>
          <w:bCs/>
        </w:rPr>
        <w:t xml:space="preserve">příloze </w:t>
      </w:r>
      <w:r>
        <w:t>faktury je tento (pořadí se může lišit dle služeb pro svozy a rozvozy):</w:t>
      </w:r>
    </w:p>
    <w:p w:rsidR="00B93048" w:rsidRDefault="0000479D">
      <w:pPr>
        <w:pStyle w:val="Zkladntext1"/>
        <w:shd w:val="clear" w:color="auto" w:fill="auto"/>
        <w:spacing w:after="0"/>
      </w:pPr>
      <w:r>
        <w:rPr>
          <w:b/>
          <w:bCs/>
        </w:rPr>
        <w:t>U sdílených exponátů:</w:t>
      </w:r>
    </w:p>
    <w:p w:rsidR="00B93048" w:rsidRDefault="0000479D">
      <w:pPr>
        <w:pStyle w:val="Zkladntext1"/>
        <w:shd w:val="clear" w:color="auto" w:fill="auto"/>
        <w:spacing w:after="0"/>
      </w:pPr>
      <w:r>
        <w:t>PŮJČITEL</w:t>
      </w:r>
    </w:p>
    <w:p w:rsidR="00B93048" w:rsidRDefault="0000479D">
      <w:pPr>
        <w:pStyle w:val="Zkladntext1"/>
        <w:shd w:val="clear" w:color="auto" w:fill="auto"/>
        <w:spacing w:after="0"/>
      </w:pPr>
      <w:proofErr w:type="spellStart"/>
      <w:r>
        <w:t>Inv</w:t>
      </w:r>
      <w:proofErr w:type="spellEnd"/>
      <w:r>
        <w:t xml:space="preserve">. č. XXX (předpokládané vystavení v </w:t>
      </w:r>
      <w:r>
        <w:rPr>
          <w:i/>
          <w:iCs/>
        </w:rPr>
        <w:t>Praze, Hamburku a Paříži</w:t>
      </w:r>
      <w:r>
        <w:t xml:space="preserve"> nebo </w:t>
      </w:r>
      <w:r>
        <w:rPr>
          <w:i/>
          <w:iCs/>
        </w:rPr>
        <w:t xml:space="preserve">v Praze a Hamburku </w:t>
      </w:r>
      <w:r>
        <w:t xml:space="preserve">nebo </w:t>
      </w:r>
      <w:r>
        <w:rPr>
          <w:i/>
          <w:iCs/>
        </w:rPr>
        <w:t>v Praze a Paříži)</w:t>
      </w:r>
    </w:p>
    <w:p w:rsidR="00B93048" w:rsidRDefault="0000479D">
      <w:pPr>
        <w:pStyle w:val="Zkladntext1"/>
        <w:numPr>
          <w:ilvl w:val="0"/>
          <w:numId w:val="12"/>
        </w:numPr>
        <w:shd w:val="clear" w:color="auto" w:fill="auto"/>
        <w:tabs>
          <w:tab w:val="left" w:pos="740"/>
        </w:tabs>
        <w:ind w:left="740" w:hanging="360"/>
      </w:pPr>
      <w:r>
        <w:t xml:space="preserve">Měření exponátu/výroba dvojité </w:t>
      </w:r>
      <w:proofErr w:type="spellStart"/>
      <w:r>
        <w:t>klimastabilní</w:t>
      </w:r>
      <w:proofErr w:type="spellEnd"/>
      <w:r>
        <w:t xml:space="preserve"> nebo </w:t>
      </w:r>
      <w:proofErr w:type="spellStart"/>
      <w:r>
        <w:t>klimastabilní</w:t>
      </w:r>
      <w:proofErr w:type="spellEnd"/>
      <w:r>
        <w:t xml:space="preserve"> bedny (dále jen bedny) </w:t>
      </w:r>
      <w:r>
        <w:rPr>
          <w:b/>
          <w:bCs/>
          <w:i/>
          <w:iCs/>
        </w:rPr>
        <w:t>nebo</w:t>
      </w:r>
      <w:r>
        <w:t xml:space="preserve"> Měření exponátu/zapůjčení bedny na výstavu v Praze, Hamburku a Paříži apod.; při zapůjčení bedny také náklady na pronájem na jeden rok (při vystavení pouze v </w:t>
      </w:r>
      <w:r>
        <w:rPr>
          <w:i/>
          <w:iCs/>
        </w:rPr>
        <w:t>Praze</w:t>
      </w:r>
      <w:r>
        <w:t xml:space="preserve"> a </w:t>
      </w:r>
      <w:r>
        <w:rPr>
          <w:i/>
          <w:iCs/>
        </w:rPr>
        <w:t>Hamburku</w:t>
      </w:r>
      <w:r>
        <w:t>) či dva roky, tj. nejdéle do skončení výstavy v Paříži, nejpozději pak do konce roku 2022;</w:t>
      </w:r>
    </w:p>
    <w:p w:rsidR="00B667C0" w:rsidRDefault="00B667C0" w:rsidP="00B667C0">
      <w:pPr>
        <w:pStyle w:val="Zkladntext1"/>
        <w:shd w:val="clear" w:color="auto" w:fill="auto"/>
        <w:tabs>
          <w:tab w:val="left" w:pos="740"/>
        </w:tabs>
      </w:pPr>
    </w:p>
    <w:p w:rsidR="00B93048" w:rsidRDefault="0000479D">
      <w:pPr>
        <w:pStyle w:val="Zkladntext1"/>
        <w:numPr>
          <w:ilvl w:val="0"/>
          <w:numId w:val="12"/>
        </w:numPr>
        <w:shd w:val="clear" w:color="auto" w:fill="auto"/>
        <w:tabs>
          <w:tab w:val="left" w:pos="772"/>
        </w:tabs>
        <w:ind w:firstLine="380"/>
      </w:pPr>
      <w:r>
        <w:lastRenderedPageBreak/>
        <w:t xml:space="preserve">Navezení bedny k </w:t>
      </w:r>
      <w:proofErr w:type="spellStart"/>
      <w:r>
        <w:t>půjčiteli</w:t>
      </w:r>
      <w:proofErr w:type="spellEnd"/>
      <w:r>
        <w:t xml:space="preserve"> na aklimatizaci, zabalení exponátů, měkký balící materiál;</w:t>
      </w:r>
    </w:p>
    <w:p w:rsidR="00B93048" w:rsidRDefault="0000479D">
      <w:pPr>
        <w:pStyle w:val="Zkladntext1"/>
        <w:numPr>
          <w:ilvl w:val="0"/>
          <w:numId w:val="12"/>
        </w:numPr>
        <w:shd w:val="clear" w:color="auto" w:fill="auto"/>
        <w:tabs>
          <w:tab w:val="left" w:pos="777"/>
        </w:tabs>
        <w:ind w:left="720" w:hanging="340"/>
      </w:pPr>
      <w:r>
        <w:t xml:space="preserve">Naložení zabaleného exponátu, svoz od </w:t>
      </w:r>
      <w:proofErr w:type="spellStart"/>
      <w:r>
        <w:t>půjčitele</w:t>
      </w:r>
      <w:proofErr w:type="spellEnd"/>
      <w:r>
        <w:t xml:space="preserve"> do místa konání výstavy (Praha), vykládka;</w:t>
      </w:r>
    </w:p>
    <w:p w:rsidR="00B93048" w:rsidRDefault="0000479D">
      <w:pPr>
        <w:pStyle w:val="Zkladntext1"/>
        <w:numPr>
          <w:ilvl w:val="0"/>
          <w:numId w:val="12"/>
        </w:numPr>
        <w:shd w:val="clear" w:color="auto" w:fill="auto"/>
        <w:tabs>
          <w:tab w:val="left" w:pos="777"/>
        </w:tabs>
        <w:ind w:firstLine="380"/>
      </w:pPr>
      <w:r>
        <w:t>Vybalení / zabalení exponátů;</w:t>
      </w:r>
    </w:p>
    <w:p w:rsidR="00B93048" w:rsidRDefault="0000479D">
      <w:pPr>
        <w:pStyle w:val="Zkladntext1"/>
        <w:numPr>
          <w:ilvl w:val="0"/>
          <w:numId w:val="12"/>
        </w:numPr>
        <w:shd w:val="clear" w:color="auto" w:fill="auto"/>
        <w:tabs>
          <w:tab w:val="left" w:pos="777"/>
        </w:tabs>
        <w:ind w:firstLine="380"/>
      </w:pPr>
      <w:r>
        <w:t>Kurýrní náklady;</w:t>
      </w:r>
    </w:p>
    <w:p w:rsidR="00B93048" w:rsidRDefault="0000479D">
      <w:pPr>
        <w:pStyle w:val="Zkladntext1"/>
        <w:numPr>
          <w:ilvl w:val="0"/>
          <w:numId w:val="12"/>
        </w:numPr>
        <w:shd w:val="clear" w:color="auto" w:fill="auto"/>
        <w:tabs>
          <w:tab w:val="left" w:pos="777"/>
        </w:tabs>
        <w:ind w:firstLine="380"/>
      </w:pPr>
      <w:r>
        <w:t>Naložení, odvoz a vyložení beden na skladování a naopak;</w:t>
      </w:r>
    </w:p>
    <w:p w:rsidR="00B93048" w:rsidRDefault="0000479D">
      <w:pPr>
        <w:pStyle w:val="Zkladntext1"/>
        <w:shd w:val="clear" w:color="auto" w:fill="auto"/>
        <w:spacing w:after="0"/>
      </w:pPr>
      <w:r>
        <w:rPr>
          <w:b/>
          <w:bCs/>
        </w:rPr>
        <w:t>U nesdílených exponátů:</w:t>
      </w:r>
    </w:p>
    <w:p w:rsidR="00B93048" w:rsidRDefault="0000479D">
      <w:pPr>
        <w:pStyle w:val="Zkladntext1"/>
        <w:shd w:val="clear" w:color="auto" w:fill="auto"/>
        <w:spacing w:after="0"/>
      </w:pPr>
      <w:r>
        <w:t>PŮJČITEL</w:t>
      </w:r>
    </w:p>
    <w:p w:rsidR="00B93048" w:rsidRDefault="0000479D">
      <w:pPr>
        <w:pStyle w:val="Zkladntext1"/>
        <w:shd w:val="clear" w:color="auto" w:fill="auto"/>
        <w:spacing w:after="0"/>
      </w:pPr>
      <w:proofErr w:type="spellStart"/>
      <w:r>
        <w:t>Inv</w:t>
      </w:r>
      <w:proofErr w:type="spellEnd"/>
      <w:r>
        <w:t>. č. XXX</w:t>
      </w:r>
    </w:p>
    <w:p w:rsidR="00B93048" w:rsidRDefault="0000479D">
      <w:pPr>
        <w:pStyle w:val="Zkladntext1"/>
        <w:numPr>
          <w:ilvl w:val="0"/>
          <w:numId w:val="13"/>
        </w:numPr>
        <w:shd w:val="clear" w:color="auto" w:fill="auto"/>
        <w:tabs>
          <w:tab w:val="left" w:pos="753"/>
        </w:tabs>
        <w:spacing w:after="0"/>
        <w:ind w:left="720" w:hanging="340"/>
      </w:pPr>
      <w:r>
        <w:t xml:space="preserve">Měření exponátu/výroba bedny </w:t>
      </w:r>
      <w:r>
        <w:rPr>
          <w:b/>
          <w:bCs/>
          <w:i/>
          <w:iCs/>
        </w:rPr>
        <w:t>nebo</w:t>
      </w:r>
      <w:r>
        <w:t xml:space="preserve"> Měření exponátu/zapůjčení bedny na Výstavu (v Praze);</w:t>
      </w:r>
    </w:p>
    <w:p w:rsidR="00B93048" w:rsidRDefault="0000479D">
      <w:pPr>
        <w:pStyle w:val="Zkladntext1"/>
        <w:shd w:val="clear" w:color="auto" w:fill="auto"/>
        <w:ind w:firstLine="720"/>
      </w:pPr>
      <w:r>
        <w:t xml:space="preserve">Navezení bedny k </w:t>
      </w:r>
      <w:proofErr w:type="spellStart"/>
      <w:r>
        <w:t>půjčiteli</w:t>
      </w:r>
      <w:proofErr w:type="spellEnd"/>
      <w:r>
        <w:t xml:space="preserve"> na aklimatizaci, zabalení exponátů, měkký balící materiál;</w:t>
      </w:r>
    </w:p>
    <w:p w:rsidR="00B93048" w:rsidRDefault="0000479D">
      <w:pPr>
        <w:pStyle w:val="Zkladntext1"/>
        <w:numPr>
          <w:ilvl w:val="0"/>
          <w:numId w:val="13"/>
        </w:numPr>
        <w:shd w:val="clear" w:color="auto" w:fill="auto"/>
        <w:tabs>
          <w:tab w:val="left" w:pos="772"/>
        </w:tabs>
        <w:ind w:left="720" w:hanging="340"/>
      </w:pPr>
      <w:r>
        <w:t xml:space="preserve">Naložení zabaleného exponátu, svoz od </w:t>
      </w:r>
      <w:proofErr w:type="spellStart"/>
      <w:r>
        <w:t>půjčitele</w:t>
      </w:r>
      <w:proofErr w:type="spellEnd"/>
      <w:r>
        <w:t xml:space="preserve"> do místa konání výstavy (Praha), vykládka;</w:t>
      </w:r>
    </w:p>
    <w:p w:rsidR="00B93048" w:rsidRDefault="0000479D">
      <w:pPr>
        <w:pStyle w:val="Zkladntext1"/>
        <w:numPr>
          <w:ilvl w:val="0"/>
          <w:numId w:val="13"/>
        </w:numPr>
        <w:shd w:val="clear" w:color="auto" w:fill="auto"/>
        <w:tabs>
          <w:tab w:val="left" w:pos="777"/>
        </w:tabs>
        <w:ind w:firstLine="380"/>
      </w:pPr>
      <w:r>
        <w:t>Vybalení / zabalení exponátů, kurýrní náklady;</w:t>
      </w:r>
    </w:p>
    <w:p w:rsidR="00B93048" w:rsidRDefault="0000479D">
      <w:pPr>
        <w:pStyle w:val="Zkladntext1"/>
        <w:numPr>
          <w:ilvl w:val="0"/>
          <w:numId w:val="13"/>
        </w:numPr>
        <w:shd w:val="clear" w:color="auto" w:fill="auto"/>
        <w:tabs>
          <w:tab w:val="left" w:pos="777"/>
        </w:tabs>
        <w:ind w:firstLine="380"/>
      </w:pPr>
      <w:r>
        <w:t>Naložení, odvoz a vyložení beden na skladování a naopak;</w:t>
      </w:r>
    </w:p>
    <w:p w:rsidR="00B93048" w:rsidRDefault="0000479D">
      <w:pPr>
        <w:pStyle w:val="Zkladntext1"/>
        <w:numPr>
          <w:ilvl w:val="0"/>
          <w:numId w:val="13"/>
        </w:numPr>
        <w:shd w:val="clear" w:color="auto" w:fill="auto"/>
        <w:tabs>
          <w:tab w:val="left" w:pos="777"/>
        </w:tabs>
        <w:ind w:firstLine="380"/>
      </w:pPr>
      <w:r>
        <w:t xml:space="preserve">Zpětný transport k </w:t>
      </w:r>
      <w:proofErr w:type="spellStart"/>
      <w:r>
        <w:t>půjčiteli</w:t>
      </w:r>
      <w:proofErr w:type="spellEnd"/>
      <w:r>
        <w:t>;</w:t>
      </w:r>
    </w:p>
    <w:p w:rsidR="00B93048" w:rsidRDefault="0000479D">
      <w:pPr>
        <w:pStyle w:val="Zkladntext1"/>
        <w:shd w:val="clear" w:color="auto" w:fill="auto"/>
        <w:spacing w:after="0"/>
      </w:pPr>
      <w:r>
        <w:rPr>
          <w:b/>
          <w:bCs/>
        </w:rPr>
        <w:t>U recipročních výpůjček</w:t>
      </w:r>
    </w:p>
    <w:p w:rsidR="00B93048" w:rsidRDefault="0000479D">
      <w:pPr>
        <w:pStyle w:val="Zkladntext1"/>
        <w:shd w:val="clear" w:color="auto" w:fill="auto"/>
        <w:spacing w:after="0"/>
      </w:pPr>
      <w:r>
        <w:t>PŮJČITEL</w:t>
      </w:r>
    </w:p>
    <w:p w:rsidR="00B93048" w:rsidRDefault="0000479D">
      <w:pPr>
        <w:pStyle w:val="Zkladntext1"/>
        <w:shd w:val="clear" w:color="auto" w:fill="auto"/>
        <w:spacing w:after="0"/>
      </w:pPr>
      <w:proofErr w:type="spellStart"/>
      <w:r>
        <w:t>Inv</w:t>
      </w:r>
      <w:proofErr w:type="spellEnd"/>
      <w:r>
        <w:t>. č. XXX</w:t>
      </w:r>
    </w:p>
    <w:p w:rsidR="00B93048" w:rsidRDefault="0000479D">
      <w:pPr>
        <w:pStyle w:val="Zkladntext1"/>
        <w:numPr>
          <w:ilvl w:val="0"/>
          <w:numId w:val="14"/>
        </w:numPr>
        <w:shd w:val="clear" w:color="auto" w:fill="auto"/>
        <w:tabs>
          <w:tab w:val="left" w:pos="753"/>
        </w:tabs>
        <w:spacing w:after="0"/>
        <w:ind w:left="720" w:hanging="340"/>
      </w:pPr>
      <w:r>
        <w:t xml:space="preserve">Měření exponátu/výroba bedny (dále jen bedny) </w:t>
      </w:r>
      <w:r>
        <w:rPr>
          <w:b/>
          <w:bCs/>
          <w:i/>
          <w:iCs/>
        </w:rPr>
        <w:t>nebo</w:t>
      </w:r>
      <w:r>
        <w:t xml:space="preserve"> Měření exponátu/zapůjčení bedny; při zapůjčení bedny také náklady na pronájem na dva roky, tj. do skončení výstavy v Paříži, nejpozději do konce roku 2022</w:t>
      </w:r>
    </w:p>
    <w:p w:rsidR="00B93048" w:rsidRDefault="0000479D">
      <w:pPr>
        <w:pStyle w:val="Zkladntext1"/>
        <w:shd w:val="clear" w:color="auto" w:fill="auto"/>
        <w:ind w:left="720" w:firstLine="20"/>
      </w:pPr>
      <w:r>
        <w:t xml:space="preserve">Navezení bedny k </w:t>
      </w:r>
      <w:proofErr w:type="spellStart"/>
      <w:r>
        <w:t>půjčiteli</w:t>
      </w:r>
      <w:proofErr w:type="spellEnd"/>
      <w:r>
        <w:t xml:space="preserve"> na aklimatizaci, zabalení exponátů, měkký balící materiál Naložení zabaleného exponátu, svoz od </w:t>
      </w:r>
      <w:proofErr w:type="spellStart"/>
      <w:r>
        <w:t>půjčitele</w:t>
      </w:r>
      <w:proofErr w:type="spellEnd"/>
      <w:r>
        <w:t xml:space="preserve"> (tj. objednatele) do výstavního prostoru určeného příjemcem reciproční výpůjčky, vykládka;</w:t>
      </w:r>
    </w:p>
    <w:p w:rsidR="00B93048" w:rsidRDefault="0000479D">
      <w:pPr>
        <w:pStyle w:val="Zkladntext1"/>
        <w:numPr>
          <w:ilvl w:val="0"/>
          <w:numId w:val="14"/>
        </w:numPr>
        <w:shd w:val="clear" w:color="auto" w:fill="auto"/>
        <w:tabs>
          <w:tab w:val="left" w:pos="772"/>
        </w:tabs>
        <w:ind w:left="720" w:hanging="340"/>
      </w:pPr>
      <w:r>
        <w:t>Vybalení / zabalení exponátů, kurýrní náklady, naložení, odvoz a vyložení beden na skladování a naopak;</w:t>
      </w:r>
    </w:p>
    <w:p w:rsidR="00B93048" w:rsidRDefault="0000479D">
      <w:pPr>
        <w:pStyle w:val="Zkladntext1"/>
        <w:numPr>
          <w:ilvl w:val="0"/>
          <w:numId w:val="14"/>
        </w:numPr>
        <w:shd w:val="clear" w:color="auto" w:fill="auto"/>
        <w:tabs>
          <w:tab w:val="left" w:pos="777"/>
        </w:tabs>
        <w:ind w:firstLine="380"/>
      </w:pPr>
      <w:r>
        <w:t xml:space="preserve">Zpětný transport k </w:t>
      </w:r>
      <w:proofErr w:type="spellStart"/>
      <w:r>
        <w:t>půjčiteli</w:t>
      </w:r>
      <w:proofErr w:type="spellEnd"/>
      <w:r>
        <w:t xml:space="preserve"> (objednateli);</w:t>
      </w:r>
    </w:p>
    <w:p w:rsidR="00B93048" w:rsidRDefault="0000479D">
      <w:pPr>
        <w:pStyle w:val="Zkladntext1"/>
        <w:shd w:val="clear" w:color="auto" w:fill="auto"/>
      </w:pPr>
      <w:r>
        <w:t>Skladování všech beden po dobu výstavy - není požadováno vyčíslení nákladů na skladování bedny u každého exponátu, ale lze fakturovat jednorázovou souhrnnou částku.</w:t>
      </w:r>
    </w:p>
    <w:p w:rsidR="00B93048" w:rsidRDefault="0000479D">
      <w:pPr>
        <w:pStyle w:val="Zkladntext1"/>
        <w:shd w:val="clear" w:color="auto" w:fill="auto"/>
      </w:pPr>
      <w:r>
        <w:t>Přílohou faktury vystavené poskytovatelem podle této smlouvy musí být veškeré faktury a doklady od subdodavatelů a vymíněných spedic od Výstavních partnerů.</w:t>
      </w:r>
    </w:p>
    <w:p w:rsidR="00B93048" w:rsidRDefault="0000479D">
      <w:pPr>
        <w:pStyle w:val="Zkladntext1"/>
        <w:numPr>
          <w:ilvl w:val="0"/>
          <w:numId w:val="10"/>
        </w:numPr>
        <w:shd w:val="clear" w:color="auto" w:fill="auto"/>
        <w:tabs>
          <w:tab w:val="left" w:pos="363"/>
        </w:tabs>
        <w:ind w:left="300" w:hanging="300"/>
      </w:pPr>
      <w:r>
        <w:t xml:space="preserve">Vystavené faktury musí obsahovat veškeré náležitosti daňového dokladu dle § 29 zákona č. 235/2004 Sb., o dani z přidané hodnoty, ve znění pozdějších předpisů. Poskytovatel se zavazuje doručovat objednavateli veškeré faktury též elektronicky na adresu </w:t>
      </w:r>
      <w:hyperlink r:id="rId7" w:history="1">
        <w:r>
          <w:rPr>
            <w:u w:val="single"/>
            <w:lang w:val="en-US" w:eastAsia="en-US" w:bidi="en-US"/>
          </w:rPr>
          <w:t>faktury@ngprague.cz</w:t>
        </w:r>
        <w:r>
          <w:rPr>
            <w:lang w:val="en-US" w:eastAsia="en-US" w:bidi="en-US"/>
          </w:rPr>
          <w:t xml:space="preserve"> </w:t>
        </w:r>
      </w:hyperlink>
      <w:r>
        <w:t>se sjednanou třicetidenní lhůtu splatnosti</w:t>
      </w:r>
    </w:p>
    <w:p w:rsidR="00B93048" w:rsidRDefault="0000479D">
      <w:pPr>
        <w:pStyle w:val="Zkladntext1"/>
        <w:numPr>
          <w:ilvl w:val="0"/>
          <w:numId w:val="10"/>
        </w:numPr>
        <w:shd w:val="clear" w:color="auto" w:fill="auto"/>
        <w:tabs>
          <w:tab w:val="left" w:pos="378"/>
        </w:tabs>
        <w:ind w:left="300" w:hanging="300"/>
      </w:pPr>
      <w:r>
        <w:t xml:space="preserve">Objednatel je oprávněn vrátit zpět neproplacenou fakturu, která obsahuje nesprávné cenové údaje, není doložena specifikací poskytnutých služeb nebo neobsahuje další požadované údaje. O dobu vrácení a zaslání faktury nové se prodlužuje splatnost faktury. </w:t>
      </w:r>
      <w:r>
        <w:lastRenderedPageBreak/>
        <w:t>Úhradou faktury se rozumí den odepsání příslušné částky z účtu objednatele.</w:t>
      </w:r>
    </w:p>
    <w:p w:rsidR="00B93048" w:rsidRDefault="0000479D">
      <w:pPr>
        <w:pStyle w:val="Zkladntext1"/>
        <w:shd w:val="clear" w:color="auto" w:fill="auto"/>
        <w:spacing w:after="0"/>
        <w:jc w:val="center"/>
      </w:pPr>
      <w:r>
        <w:rPr>
          <w:b/>
          <w:bCs/>
        </w:rPr>
        <w:t>IX.</w:t>
      </w:r>
    </w:p>
    <w:p w:rsidR="00B93048" w:rsidRDefault="0000479D">
      <w:pPr>
        <w:pStyle w:val="Zkladntext1"/>
        <w:shd w:val="clear" w:color="auto" w:fill="auto"/>
        <w:jc w:val="center"/>
      </w:pPr>
      <w:r>
        <w:rPr>
          <w:b/>
          <w:bCs/>
        </w:rPr>
        <w:t>Úroky z prodlení a smluvní pokuta</w:t>
      </w:r>
    </w:p>
    <w:p w:rsidR="00B93048" w:rsidRDefault="0000479D">
      <w:pPr>
        <w:pStyle w:val="Zkladntext1"/>
        <w:numPr>
          <w:ilvl w:val="0"/>
          <w:numId w:val="15"/>
        </w:numPr>
        <w:shd w:val="clear" w:color="auto" w:fill="auto"/>
        <w:tabs>
          <w:tab w:val="left" w:pos="360"/>
        </w:tabs>
        <w:ind w:left="360" w:hanging="360"/>
        <w:jc w:val="both"/>
      </w:pPr>
      <w:r>
        <w:t>V případě prodlení se zaplacením faktury se objednatel zavazuje zaplatit poskytovateli úroky z prodlení ve výši 0,05 % z dlužné částky za každý den prodlení. To neplatí v případě, že k prodlení došlo prokazatelně z důvodů na straně peněžního ústavu objednatele nebo poskytovatele. Za den zaplacení se pro účely této smlouvy považuje den odepsání platby z účtu objednatele.</w:t>
      </w:r>
    </w:p>
    <w:p w:rsidR="00B93048" w:rsidRDefault="0000479D">
      <w:pPr>
        <w:pStyle w:val="Zkladntext1"/>
        <w:numPr>
          <w:ilvl w:val="0"/>
          <w:numId w:val="15"/>
        </w:numPr>
        <w:shd w:val="clear" w:color="auto" w:fill="auto"/>
        <w:tabs>
          <w:tab w:val="left" w:pos="360"/>
        </w:tabs>
        <w:ind w:left="360" w:hanging="360"/>
        <w:jc w:val="both"/>
      </w:pPr>
      <w:r>
        <w:t xml:space="preserve">V případě nedodržení kteréhokoliv z dodacích termínů pro jednotlivé přepravované exponáty na místo určení (tj. na místo konání výstavy nebo adresu </w:t>
      </w:r>
      <w:proofErr w:type="spellStart"/>
      <w:r>
        <w:t>půjčitele</w:t>
      </w:r>
      <w:proofErr w:type="spellEnd"/>
      <w:r>
        <w:t xml:space="preserve">, v případě reciproční výpůjčky) a zpět na adresy jednotlivých </w:t>
      </w:r>
      <w:proofErr w:type="spellStart"/>
      <w:r>
        <w:t>půjčitelů</w:t>
      </w:r>
      <w:proofErr w:type="spellEnd"/>
      <w:r>
        <w:t xml:space="preserve"> nebo místa jimi určená a adresu objednatele, v případě reciproční výpůjčky) se poskytovatel zavazuje uhradit objednateli za každý exponát, u něhož nebude dodržen termín dodání smluvní pokutu ve výši 0,1 % z celkové ceny plnění dle čl. VI odst. 1 této smlouvy, a to za každý den prodlení. To neplatí v případě, kdy dojde k prodlení s dodávkou zásilky z důvodů, které poskytovatel prokazatelně nemohl ovlivnit nebo které nezavinil (např. živelní pohroma, stávka celníků, nepřipravenost exponátů k jejich vydání, nevydání vývozního povolení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jména a důvěryhodnosti objednatele při sjednávání mezinárodních uměleckých výpůjček a při dodržování závazků z nich.</w:t>
      </w:r>
    </w:p>
    <w:p w:rsidR="00B93048" w:rsidRDefault="0000479D">
      <w:pPr>
        <w:pStyle w:val="Zkladntext1"/>
        <w:shd w:val="clear" w:color="auto" w:fill="auto"/>
        <w:spacing w:after="0"/>
        <w:jc w:val="center"/>
      </w:pPr>
      <w:r>
        <w:rPr>
          <w:b/>
          <w:bCs/>
        </w:rPr>
        <w:t>X.</w:t>
      </w:r>
    </w:p>
    <w:p w:rsidR="00B93048" w:rsidRDefault="0000479D">
      <w:pPr>
        <w:pStyle w:val="Zkladntext1"/>
        <w:shd w:val="clear" w:color="auto" w:fill="auto"/>
        <w:jc w:val="center"/>
      </w:pPr>
      <w:r>
        <w:rPr>
          <w:b/>
          <w:bCs/>
        </w:rPr>
        <w:t>Závěrečná ustanovení</w:t>
      </w:r>
    </w:p>
    <w:p w:rsidR="00B93048" w:rsidRDefault="0000479D">
      <w:pPr>
        <w:pStyle w:val="Zkladntext1"/>
        <w:numPr>
          <w:ilvl w:val="0"/>
          <w:numId w:val="16"/>
        </w:numPr>
        <w:shd w:val="clear" w:color="auto" w:fill="auto"/>
        <w:tabs>
          <w:tab w:val="left" w:pos="360"/>
        </w:tabs>
        <w:ind w:left="360" w:hanging="360"/>
        <w:jc w:val="both"/>
      </w:pPr>
      <w:r>
        <w:t>Vztahy touto smlouvou založené se řídí příslušnými ustanoveními Občanského zákoníku a souvisejících právních norem českého právního řádu. Poskytovatel na sebe přebírá nebezpečí změny okolností, ustanovení § 1799 a 1800 Občanského zákoníku se neužijí.</w:t>
      </w:r>
    </w:p>
    <w:p w:rsidR="00B93048" w:rsidRDefault="0000479D">
      <w:pPr>
        <w:pStyle w:val="Zkladntext1"/>
        <w:numPr>
          <w:ilvl w:val="0"/>
          <w:numId w:val="16"/>
        </w:numPr>
        <w:shd w:val="clear" w:color="auto" w:fill="auto"/>
        <w:tabs>
          <w:tab w:val="left" w:pos="360"/>
        </w:tabs>
        <w:ind w:left="360" w:hanging="360"/>
        <w:jc w:val="both"/>
      </w:pPr>
      <w:r>
        <w:t>Všechny spory vznikající z této smlouvy a v souvislosti s ní, které se nepodaří odstranit jednáním mezi stranami, budou rozhodovány u obecného soudu v místě sídla objednatele.</w:t>
      </w:r>
    </w:p>
    <w:p w:rsidR="00B93048" w:rsidRDefault="0000479D">
      <w:pPr>
        <w:pStyle w:val="Zkladntext1"/>
        <w:numPr>
          <w:ilvl w:val="0"/>
          <w:numId w:val="16"/>
        </w:numPr>
        <w:shd w:val="clear" w:color="auto" w:fill="auto"/>
        <w:tabs>
          <w:tab w:val="left" w:pos="360"/>
        </w:tabs>
        <w:ind w:left="360" w:hanging="360"/>
        <w:jc w:val="both"/>
      </w:pPr>
      <w:r>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poskytovatel některé informace uvedené v této smlouvě za informace, které nemohou nebo nemají být zveřejněny v registru smluv dle zákona č. 340/2015 Sb., je povinen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rsidR="00B93048" w:rsidRDefault="0000479D">
      <w:pPr>
        <w:pStyle w:val="Zkladntext1"/>
        <w:numPr>
          <w:ilvl w:val="0"/>
          <w:numId w:val="16"/>
        </w:numPr>
        <w:shd w:val="clear" w:color="auto" w:fill="auto"/>
        <w:tabs>
          <w:tab w:val="left" w:pos="360"/>
        </w:tabs>
        <w:ind w:left="360" w:hanging="360"/>
        <w:jc w:val="both"/>
      </w:pPr>
      <w:r>
        <w:t>Smluvní strany prohlašují, že berou na vědomí, že veškerá ustanovení této smlouvy a její podmínky představují obchodní tajemství, stejně jako veškeré informace, o kterých se smluvní strany dozví v souvislosti s druhou smluvní stranou při plnění této smlouvy a</w:t>
      </w:r>
      <w:r>
        <w:br w:type="page"/>
      </w:r>
      <w:r>
        <w:lastRenderedPageBreak/>
        <w:t>zavazují se neposkytnout předmětné informace žádné třetí osobě, nejedná-li se o informace, které se mezitím staly obecně známými bez působení některé ze smluvních stran. Tato povinnost trvá i po ukončení této smlouvy.</w:t>
      </w:r>
    </w:p>
    <w:p w:rsidR="00B93048" w:rsidRDefault="0000479D">
      <w:pPr>
        <w:pStyle w:val="Zkladntext1"/>
        <w:numPr>
          <w:ilvl w:val="0"/>
          <w:numId w:val="16"/>
        </w:numPr>
        <w:shd w:val="clear" w:color="auto" w:fill="auto"/>
        <w:tabs>
          <w:tab w:val="left" w:pos="298"/>
        </w:tabs>
        <w:ind w:left="380" w:hanging="380"/>
        <w:jc w:val="both"/>
      </w:pPr>
      <w:r>
        <w:t>Jakékoli změny a doplňky této smlouvy je možné učinit formou písemného dodatku odsouhlaseného a podepsaného oběma stranami.</w:t>
      </w:r>
    </w:p>
    <w:p w:rsidR="00B93048" w:rsidRDefault="0000479D">
      <w:pPr>
        <w:pStyle w:val="Zkladntext1"/>
        <w:numPr>
          <w:ilvl w:val="0"/>
          <w:numId w:val="16"/>
        </w:numPr>
        <w:shd w:val="clear" w:color="auto" w:fill="auto"/>
        <w:tabs>
          <w:tab w:val="left" w:pos="303"/>
        </w:tabs>
        <w:ind w:left="380" w:hanging="380"/>
        <w:jc w:val="both"/>
      </w:pPr>
      <w:r>
        <w:t>Tato smlouva je vyhotovena ve třech stejnopisech, z nichž dva obdrží objednatel a jeden stejnopis poskytovatel.</w:t>
      </w:r>
    </w:p>
    <w:p w:rsidR="00B93048" w:rsidRDefault="0000479D">
      <w:pPr>
        <w:pStyle w:val="Zkladntext1"/>
        <w:numPr>
          <w:ilvl w:val="0"/>
          <w:numId w:val="16"/>
        </w:numPr>
        <w:shd w:val="clear" w:color="auto" w:fill="auto"/>
        <w:tabs>
          <w:tab w:val="left" w:pos="303"/>
        </w:tabs>
        <w:ind w:left="380" w:hanging="380"/>
        <w:jc w:val="both"/>
      </w:pPr>
      <w:r>
        <w:t xml:space="preserve">Tato smlouva nabývá platnosti a účinnosti dnem podpisu oprávněnými zástupci obou smluvních stran, není- </w:t>
      </w:r>
      <w:proofErr w:type="spellStart"/>
      <w:r>
        <w:t>li</w:t>
      </w:r>
      <w:proofErr w:type="spellEnd"/>
      <w:r>
        <w:t xml:space="preserve"> zákonem stanoveno jinak. Smlouvu lze ukončit pouze dohodou smluvních stran nebo odstoupením od smlouvy některou smluvní stranou v případě hrubého porušení této smlouvy druhou smluvní stranou. Za hrubé porušení této smlouvy poskytovatelem se považuje zejména porušení některé povinnosti poskytovatele uvedené v čl. V této smlouvy nebo takové jednání poskytovatele, které ohrozí dobré jméno a důvěryhodnost objednatele u </w:t>
      </w:r>
      <w:proofErr w:type="spellStart"/>
      <w:r>
        <w:t>půjčitelů</w:t>
      </w:r>
      <w:proofErr w:type="spellEnd"/>
      <w:r>
        <w:t xml:space="preserve"> exponátů. Za hrubé porušení této smlouvy objednatelem se považuje pouze prodlení objednatele s úhradou splatné ceny přepravy a souvisejících služeb nebo její části dle čl. VII této smlouvy trvající déle než 30 dní, pokud poskytovatel po této době na prodlení objednatele písemně upozornil a objednatel nezjednal nápravu ani do 15 dnů od doručení tohoto upozornění. Odstoupení je účinné doručením druhé smluvní straně.</w:t>
      </w:r>
    </w:p>
    <w:p w:rsidR="00B93048" w:rsidRDefault="0000479D">
      <w:pPr>
        <w:pStyle w:val="Zkladntext1"/>
        <w:numPr>
          <w:ilvl w:val="0"/>
          <w:numId w:val="16"/>
        </w:numPr>
        <w:shd w:val="clear" w:color="auto" w:fill="auto"/>
        <w:tabs>
          <w:tab w:val="left" w:pos="313"/>
        </w:tabs>
        <w:spacing w:after="0"/>
        <w:jc w:val="both"/>
      </w:pPr>
      <w:r>
        <w:t>Nedílnou součástí této smlouvy jsou tyto Přílohy:</w:t>
      </w:r>
    </w:p>
    <w:p w:rsidR="00B93048" w:rsidRDefault="0000479D">
      <w:pPr>
        <w:pStyle w:val="Zkladntext1"/>
        <w:numPr>
          <w:ilvl w:val="0"/>
          <w:numId w:val="17"/>
        </w:numPr>
        <w:shd w:val="clear" w:color="auto" w:fill="auto"/>
        <w:tabs>
          <w:tab w:val="left" w:pos="752"/>
        </w:tabs>
        <w:spacing w:after="0"/>
        <w:ind w:left="740" w:hanging="360"/>
        <w:jc w:val="both"/>
      </w:pPr>
      <w:r>
        <w:t xml:space="preserve">Příloha č. 1 - cenová nabídka poskytovatele a seznam exponátů (s uvedením, názvů, </w:t>
      </w:r>
      <w:proofErr w:type="spellStart"/>
      <w:r>
        <w:t>inv</w:t>
      </w:r>
      <w:proofErr w:type="spellEnd"/>
      <w:r>
        <w:t xml:space="preserve">. čísel, techniky, počtu dílů/částí, rozměrů, pojistných cen, míst vyzvednutí, vrácení a </w:t>
      </w:r>
      <w:proofErr w:type="spellStart"/>
      <w:r>
        <w:t>půjčitelů</w:t>
      </w:r>
      <w:proofErr w:type="spellEnd"/>
      <w:r>
        <w:t>).</w:t>
      </w:r>
    </w:p>
    <w:p w:rsidR="00B93048" w:rsidRDefault="0000479D">
      <w:pPr>
        <w:pStyle w:val="Zkladntext1"/>
        <w:numPr>
          <w:ilvl w:val="0"/>
          <w:numId w:val="17"/>
        </w:numPr>
        <w:shd w:val="clear" w:color="auto" w:fill="auto"/>
        <w:tabs>
          <w:tab w:val="left" w:pos="752"/>
        </w:tabs>
        <w:spacing w:after="0"/>
        <w:ind w:left="740" w:hanging="360"/>
        <w:jc w:val="both"/>
      </w:pPr>
      <w:r>
        <w:t>Příloha č. 2 - kopie pojistné smlouvy/pojistného certifikátu (pojistná smlouva pro pojištění odpovědnosti za škodu silničního dopravce vyplývající z přepravních smluv při mezinárodní dopravě (CMR) a vnitrostátní dopravě).</w:t>
      </w:r>
    </w:p>
    <w:p w:rsidR="00B93048" w:rsidRDefault="0000479D">
      <w:pPr>
        <w:pStyle w:val="Zkladntext1"/>
        <w:numPr>
          <w:ilvl w:val="0"/>
          <w:numId w:val="17"/>
        </w:numPr>
        <w:shd w:val="clear" w:color="auto" w:fill="auto"/>
        <w:tabs>
          <w:tab w:val="left" w:pos="752"/>
        </w:tabs>
        <w:spacing w:after="0"/>
        <w:ind w:firstLine="380"/>
        <w:jc w:val="both"/>
      </w:pPr>
      <w:r>
        <w:t>Příloha č. 3 - realizační tým.</w:t>
      </w:r>
    </w:p>
    <w:p w:rsidR="00B93048" w:rsidRDefault="0000479D">
      <w:pPr>
        <w:pStyle w:val="Zkladntext1"/>
        <w:numPr>
          <w:ilvl w:val="0"/>
          <w:numId w:val="17"/>
        </w:numPr>
        <w:shd w:val="clear" w:color="auto" w:fill="auto"/>
        <w:tabs>
          <w:tab w:val="left" w:pos="752"/>
        </w:tabs>
        <w:spacing w:after="0"/>
        <w:ind w:firstLine="380"/>
        <w:jc w:val="both"/>
      </w:pPr>
      <w:r>
        <w:t>Příloha č. 4 - vozový park.</w:t>
      </w:r>
    </w:p>
    <w:p w:rsidR="00B93048" w:rsidRDefault="0000479D">
      <w:pPr>
        <w:pStyle w:val="Zkladntext1"/>
        <w:numPr>
          <w:ilvl w:val="0"/>
          <w:numId w:val="17"/>
        </w:numPr>
        <w:shd w:val="clear" w:color="auto" w:fill="auto"/>
        <w:tabs>
          <w:tab w:val="left" w:pos="752"/>
        </w:tabs>
        <w:spacing w:after="0"/>
        <w:ind w:firstLine="380"/>
        <w:jc w:val="both"/>
      </w:pPr>
      <w:r>
        <w:t>Příloha č. 5 - skladovací prostory.</w:t>
      </w:r>
    </w:p>
    <w:p w:rsidR="00B93048" w:rsidRDefault="0000479D">
      <w:pPr>
        <w:pStyle w:val="Zkladntext1"/>
        <w:numPr>
          <w:ilvl w:val="0"/>
          <w:numId w:val="17"/>
        </w:numPr>
        <w:shd w:val="clear" w:color="auto" w:fill="auto"/>
        <w:tabs>
          <w:tab w:val="left" w:pos="752"/>
        </w:tabs>
        <w:ind w:firstLine="380"/>
        <w:jc w:val="both"/>
      </w:pPr>
      <w:r>
        <w:t>Příloha č. 6 - poddodavatelé zhotovitele.</w:t>
      </w:r>
    </w:p>
    <w:p w:rsidR="00B93048" w:rsidRDefault="0000479D">
      <w:pPr>
        <w:pStyle w:val="Zkladntext1"/>
        <w:numPr>
          <w:ilvl w:val="0"/>
          <w:numId w:val="18"/>
        </w:numPr>
        <w:shd w:val="clear" w:color="auto" w:fill="auto"/>
        <w:tabs>
          <w:tab w:val="left" w:pos="303"/>
        </w:tabs>
        <w:spacing w:after="500"/>
        <w:jc w:val="both"/>
      </w:pPr>
      <w:r>
        <w:rPr>
          <w:noProof/>
          <w:lang w:bidi="ar-SA"/>
        </w:rPr>
        <mc:AlternateContent>
          <mc:Choice Requires="wps">
            <w:drawing>
              <wp:anchor distT="0" distB="0" distL="0" distR="0" simplePos="0" relativeHeight="125829378" behindDoc="0" locked="0" layoutInCell="1" allowOverlap="1">
                <wp:simplePos x="0" y="0"/>
                <wp:positionH relativeFrom="page">
                  <wp:posOffset>882015</wp:posOffset>
                </wp:positionH>
                <wp:positionV relativeFrom="paragraph">
                  <wp:posOffset>152400</wp:posOffset>
                </wp:positionV>
                <wp:extent cx="621665" cy="1892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21665" cy="189230"/>
                        </a:xfrm>
                        <a:prstGeom prst="rect">
                          <a:avLst/>
                        </a:prstGeom>
                        <a:noFill/>
                      </wps:spPr>
                      <wps:txbx>
                        <w:txbxContent>
                          <w:p w:rsidR="00B93048" w:rsidRDefault="0000479D">
                            <w:pPr>
                              <w:pStyle w:val="Zkladntext1"/>
                              <w:shd w:val="clear" w:color="auto" w:fill="auto"/>
                              <w:spacing w:after="0"/>
                            </w:pPr>
                            <w:r>
                              <w:t>přednost.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450000000000003pt;margin-top:12.pt;width:48.950000000000003pt;height:14.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přednost.</w:t>
                      </w:r>
                    </w:p>
                  </w:txbxContent>
                </v:textbox>
                <w10:wrap type="square" side="right" anchorx="page"/>
              </v:shape>
            </w:pict>
          </mc:Fallback>
        </mc:AlternateContent>
      </w:r>
      <w:r>
        <w:t>V případě rozporu mezi textem smlouvy a textem kterékoliv přílohy, má text přílohy</w:t>
      </w:r>
    </w:p>
    <w:p w:rsidR="00B93048" w:rsidRDefault="0000479D">
      <w:pPr>
        <w:pStyle w:val="Zkladntext1"/>
        <w:numPr>
          <w:ilvl w:val="0"/>
          <w:numId w:val="18"/>
        </w:numPr>
        <w:shd w:val="clear" w:color="auto" w:fill="auto"/>
        <w:tabs>
          <w:tab w:val="left" w:pos="322"/>
        </w:tabs>
        <w:jc w:val="both"/>
      </w:pPr>
      <w:r>
        <w:t>Obě smluvní strany prohlašují, že tato smlouva je projevem jejich svobodné, vážně míněné a omylu prosté vůle, což stvrzují svými podpisy.</w:t>
      </w:r>
    </w:p>
    <w:p w:rsidR="00B93048" w:rsidRDefault="0000479D">
      <w:pPr>
        <w:pStyle w:val="Zkladntext1"/>
        <w:shd w:val="clear" w:color="auto" w:fill="auto"/>
        <w:spacing w:after="0"/>
        <w:jc w:val="both"/>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4024630</wp:posOffset>
                </wp:positionH>
                <wp:positionV relativeFrom="paragraph">
                  <wp:posOffset>12700</wp:posOffset>
                </wp:positionV>
                <wp:extent cx="807720" cy="18605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07720" cy="186055"/>
                        </a:xfrm>
                        <a:prstGeom prst="rect">
                          <a:avLst/>
                        </a:prstGeom>
                        <a:noFill/>
                      </wps:spPr>
                      <wps:txbx>
                        <w:txbxContent>
                          <w:p w:rsidR="00B93048" w:rsidRDefault="0000479D">
                            <w:pPr>
                              <w:pStyle w:val="Zkladntext1"/>
                              <w:shd w:val="clear" w:color="auto" w:fill="auto"/>
                              <w:spacing w:after="0"/>
                            </w:pPr>
                            <w:r>
                              <w:t>V Praze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left:0;text-align:left;margin-left:316.9pt;margin-top:1pt;width:63.6pt;height:14.6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" filled="f" stroked="f">
                <v:textbox inset="0,0,0,0">
                  <w:txbxContent>
                    <w:p w:rsidR="00B93048" w:rsidRDefault="0000479D">
                      <w:pPr>
                        <w:pStyle w:val="Zkladntext1"/>
                        <w:shd w:val="clear" w:color="auto" w:fill="auto"/>
                        <w:spacing w:after="0"/>
                      </w:pPr>
                      <w:r>
                        <w:t>V Praze dne</w:t>
                      </w:r>
                    </w:p>
                  </w:txbxContent>
                </v:textbox>
                <w10:wrap type="square" side="left" anchorx="page"/>
              </v:shape>
            </w:pict>
          </mc:Fallback>
        </mc:AlternateContent>
      </w:r>
      <w:r>
        <w:t>V Praze dne</w:t>
      </w:r>
    </w:p>
    <w:p w:rsidR="00B93048" w:rsidRDefault="0000479D">
      <w:pPr>
        <w:spacing w:line="1" w:lineRule="exact"/>
        <w:sectPr w:rsidR="00B93048">
          <w:footerReference w:type="default" r:id="rId8"/>
          <w:pgSz w:w="11900" w:h="16840"/>
          <w:pgMar w:top="1393" w:right="1374" w:bottom="1284" w:left="1372" w:header="965" w:footer="3" w:gutter="0"/>
          <w:pgNumType w:start="1"/>
          <w:cols w:space="720"/>
          <w:noEndnote/>
          <w:docGrid w:linePitch="360"/>
        </w:sectPr>
      </w:pPr>
      <w:r>
        <w:rPr>
          <w:noProof/>
          <w:lang w:bidi="ar-SA"/>
        </w:rPr>
        <mc:AlternateContent>
          <mc:Choice Requires="wps">
            <w:drawing>
              <wp:anchor distT="307975" distB="94615" distL="0" distR="0" simplePos="0" relativeHeight="125829383" behindDoc="0" locked="0" layoutInCell="1" allowOverlap="1">
                <wp:simplePos x="0" y="0"/>
                <wp:positionH relativeFrom="page">
                  <wp:posOffset>2125980</wp:posOffset>
                </wp:positionH>
                <wp:positionV relativeFrom="paragraph">
                  <wp:posOffset>307975</wp:posOffset>
                </wp:positionV>
                <wp:extent cx="1097280" cy="1187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97280" cy="118745"/>
                        </a:xfrm>
                        <a:prstGeom prst="rect">
                          <a:avLst/>
                        </a:prstGeom>
                        <a:noFill/>
                      </wps:spPr>
                      <wps:txbx>
                        <w:txbxContent>
                          <w:p w:rsidR="00B93048" w:rsidRDefault="00B93048">
                            <w:pPr>
                              <w:pStyle w:val="Zkladntext20"/>
                              <w:shd w:val="clear" w:color="auto" w:fill="auto"/>
                              <w:rPr>
                                <w:sz w:val="13"/>
                                <w:szCs w:val="13"/>
                              </w:rPr>
                            </w:pPr>
                          </w:p>
                        </w:txbxContent>
                      </wps:txbx>
                      <wps:bodyPr wrap="none" lIns="0" tIns="0" rIns="0" bIns="0"/>
                    </wps:wsp>
                  </a:graphicData>
                </a:graphic>
              </wp:anchor>
            </w:drawing>
          </mc:Choice>
          <mc:Fallback>
            <w:pict>
              <v:shape id="Shape 11" o:spid="_x0000_s1028" type="#_x0000_t202" style="position:absolute;margin-left:167.4pt;margin-top:24.25pt;width:86.4pt;height:9.35pt;z-index:125829383;visibility:visible;mso-wrap-style:none;mso-wrap-distance-left:0;mso-wrap-distance-top:24.25pt;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" filled="f" stroked="f">
                <v:textbox inset="0,0,0,0">
                  <w:txbxContent>
                    <w:p w:rsidR="00B93048" w:rsidRDefault="00B93048">
                      <w:pPr>
                        <w:pStyle w:val="Zkladntext20"/>
                        <w:shd w:val="clear" w:color="auto" w:fill="auto"/>
                        <w:rPr>
                          <w:sz w:val="13"/>
                          <w:szCs w:val="13"/>
                        </w:rPr>
                      </w:pP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4094480</wp:posOffset>
                </wp:positionH>
                <wp:positionV relativeFrom="paragraph">
                  <wp:posOffset>0</wp:posOffset>
                </wp:positionV>
                <wp:extent cx="847090" cy="5213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47090" cy="521335"/>
                        </a:xfrm>
                        <a:prstGeom prst="rect">
                          <a:avLst/>
                        </a:prstGeom>
                        <a:noFill/>
                      </wps:spPr>
                      <wps:txbx>
                        <w:txbxContent>
                          <w:p w:rsidR="00B93048" w:rsidRDefault="00B93048">
                            <w:pPr>
                              <w:pStyle w:val="Zkladntext30"/>
                              <w:shd w:val="clear" w:color="auto" w:fill="auto"/>
                              <w:spacing w:line="230" w:lineRule="auto"/>
                            </w:pPr>
                          </w:p>
                        </w:txbxContent>
                      </wps:txbx>
                      <wps:bodyPr lIns="0" tIns="0" rIns="0" bIns="0"/>
                    </wps:wsp>
                  </a:graphicData>
                </a:graphic>
              </wp:anchor>
            </w:drawing>
          </mc:Choice>
          <mc:Fallback>
            <w:pict>
              <v:shape id="Shape 13" o:spid="_x0000_s1029" type="#_x0000_t202" style="position:absolute;margin-left:322.4pt;margin-top:0;width:66.7pt;height:41.0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wzgwEAAAQDAAAOAAAAZHJzL2Uyb0RvYy54bWysUstOwzAQvCPxD5bvNGlL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" filled="f" stroked="f">
                <v:textbox inset="0,0,0,0">
                  <w:txbxContent>
                    <w:p w:rsidR="00B93048" w:rsidRDefault="00B93048">
                      <w:pPr>
                        <w:pStyle w:val="Zkladntext30"/>
                        <w:shd w:val="clear" w:color="auto" w:fill="auto"/>
                        <w:spacing w:line="230" w:lineRule="auto"/>
                      </w:pPr>
                    </w:p>
                  </w:txbxContent>
                </v:textbox>
                <w10:wrap type="topAndBottom" anchorx="page"/>
              </v:shape>
            </w:pict>
          </mc:Fallback>
        </mc:AlternateContent>
      </w:r>
      <w:r>
        <w:rPr>
          <w:noProof/>
          <w:lang w:bidi="ar-SA"/>
        </w:rPr>
        <mc:AlternateContent>
          <mc:Choice Requires="wps">
            <w:drawing>
              <wp:anchor distT="30480" distB="3175" distL="0" distR="0" simplePos="0" relativeHeight="125829387" behindDoc="0" locked="0" layoutInCell="1" allowOverlap="1">
                <wp:simplePos x="0" y="0"/>
                <wp:positionH relativeFrom="page">
                  <wp:posOffset>5118735</wp:posOffset>
                </wp:positionH>
                <wp:positionV relativeFrom="paragraph">
                  <wp:posOffset>30480</wp:posOffset>
                </wp:positionV>
                <wp:extent cx="996950" cy="4876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96950" cy="487680"/>
                        </a:xfrm>
                        <a:prstGeom prst="rect">
                          <a:avLst/>
                        </a:prstGeom>
                        <a:noFill/>
                      </wps:spPr>
                      <wps:txbx>
                        <w:txbxContent>
                          <w:p w:rsidR="00B93048" w:rsidRDefault="00B93048">
                            <w:pPr>
                              <w:pStyle w:val="Zkladntext20"/>
                              <w:shd w:val="clear" w:color="auto" w:fill="auto"/>
                            </w:pPr>
                          </w:p>
                        </w:txbxContent>
                      </wps:txbx>
                      <wps:bodyPr lIns="0" tIns="0" rIns="0" bIns="0"/>
                    </wps:wsp>
                  </a:graphicData>
                </a:graphic>
              </wp:anchor>
            </w:drawing>
          </mc:Choice>
          <mc:Fallback>
            <w:pict>
              <v:shape id="Shape 15" o:spid="_x0000_s1030" type="#_x0000_t202" style="position:absolute;margin-left:403.05pt;margin-top:2.4pt;width:78.5pt;height:38.4pt;z-index:125829387;visibility:visible;mso-wrap-style:square;mso-wrap-distance-left:0;mso-wrap-distance-top:2.4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1tehAEAAAQDAAAOAAAAZHJzL2Uyb0RvYy54bWysUlFrwjAQfh/sP4S8z1ZRp8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" filled="f" stroked="f">
                <v:textbox inset="0,0,0,0">
                  <w:txbxContent>
                    <w:p w:rsidR="00B93048" w:rsidRDefault="00B93048">
                      <w:pPr>
                        <w:pStyle w:val="Zkladntext20"/>
                        <w:shd w:val="clear" w:color="auto" w:fill="auto"/>
                      </w:pPr>
                    </w:p>
                  </w:txbxContent>
                </v:textbox>
                <w10:wrap type="topAndBottom" anchorx="page"/>
              </v:shape>
            </w:pict>
          </mc:Fallback>
        </mc:AlternateContent>
      </w:r>
    </w:p>
    <w:p w:rsidR="00B93048" w:rsidRDefault="00B93048">
      <w:pPr>
        <w:spacing w:line="19" w:lineRule="exact"/>
        <w:rPr>
          <w:sz w:val="2"/>
          <w:szCs w:val="2"/>
        </w:rPr>
      </w:pPr>
    </w:p>
    <w:p w:rsidR="00B93048" w:rsidRDefault="00B93048">
      <w:pPr>
        <w:spacing w:line="1" w:lineRule="exact"/>
        <w:sectPr w:rsidR="00B93048">
          <w:type w:val="continuous"/>
          <w:pgSz w:w="11900" w:h="16840"/>
          <w:pgMar w:top="1398" w:right="0" w:bottom="1398" w:left="0" w:header="0" w:footer="3" w:gutter="0"/>
          <w:cols w:space="720"/>
          <w:noEndnote/>
          <w:docGrid w:linePitch="360"/>
        </w:sectPr>
      </w:pPr>
    </w:p>
    <w:p w:rsidR="00B93048" w:rsidRDefault="0000479D" w:rsidP="009E3D91">
      <w:pPr>
        <w:pStyle w:val="Zkladntext1"/>
        <w:shd w:val="clear" w:color="auto" w:fill="auto"/>
        <w:spacing w:after="0"/>
        <w:ind w:left="4248" w:firstLine="708"/>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912495</wp:posOffset>
                </wp:positionH>
                <wp:positionV relativeFrom="paragraph">
                  <wp:posOffset>12700</wp:posOffset>
                </wp:positionV>
                <wp:extent cx="969010" cy="18923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969010" cy="189230"/>
                        </a:xfrm>
                        <a:prstGeom prst="rect">
                          <a:avLst/>
                        </a:prstGeom>
                        <a:noFill/>
                      </wps:spPr>
                      <wps:txbx>
                        <w:txbxContent>
                          <w:p w:rsidR="00B93048" w:rsidRDefault="0000479D">
                            <w:pPr>
                              <w:pStyle w:val="Zkladntext1"/>
                              <w:shd w:val="clear" w:color="auto" w:fill="auto"/>
                              <w:spacing w:after="0"/>
                            </w:pPr>
                            <w:r>
                              <w:t>Za objednatele</w:t>
                            </w:r>
                          </w:p>
                        </w:txbxContent>
                      </wps:txbx>
                      <wps:bodyPr wrap="none" lIns="0" tIns="0" rIns="0" bIns="0"/>
                    </wps:wsp>
                  </a:graphicData>
                </a:graphic>
              </wp:anchor>
            </w:drawing>
          </mc:Choice>
          <mc:Fallback>
            <w:pict>
              <v:shape id="_x0000_s1043" type="#_x0000_t202" style="position:absolute;margin-left:71.849999999999994pt;margin-top:1.pt;width:76.299999999999997pt;height:14.9pt;z-index:-12582936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objednatele</w:t>
                      </w:r>
                    </w:p>
                  </w:txbxContent>
                </v:textbox>
                <w10:wrap type="square" side="right" anchorx="page"/>
              </v:shape>
            </w:pict>
          </mc:Fallback>
        </mc:AlternateContent>
      </w:r>
      <w:r>
        <w:t>Za poskytovatele</w:t>
      </w:r>
    </w:p>
    <w:sectPr w:rsidR="00B93048" w:rsidSect="009E3D91">
      <w:type w:val="continuous"/>
      <w:pgSz w:w="11900" w:h="16840"/>
      <w:pgMar w:top="1398" w:right="1374" w:bottom="1398" w:left="13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31" w:rsidRDefault="00265C31">
      <w:r>
        <w:separator/>
      </w:r>
    </w:p>
  </w:endnote>
  <w:endnote w:type="continuationSeparator" w:id="0">
    <w:p w:rsidR="00265C31" w:rsidRDefault="0026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48" w:rsidRDefault="0000479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3568700</wp:posOffset>
              </wp:positionH>
              <wp:positionV relativeFrom="page">
                <wp:posOffset>10125710</wp:posOffset>
              </wp:positionV>
              <wp:extent cx="41783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417830" cy="109855"/>
                      </a:xfrm>
                      <a:prstGeom prst="rect">
                        <a:avLst/>
                      </a:prstGeom>
                      <a:noFill/>
                    </wps:spPr>
                    <wps:txbx>
                      <w:txbxContent>
                        <w:p w:rsidR="00B93048" w:rsidRDefault="0000479D">
                          <w:pPr>
                            <w:pStyle w:val="Zhlavnebozpat20"/>
                            <w:shd w:val="clear" w:color="auto" w:fill="auto"/>
                          </w:pPr>
                          <w:r>
                            <w:t xml:space="preserve">Strana </w:t>
                          </w:r>
                          <w:r>
                            <w:fldChar w:fldCharType="begin"/>
                          </w:r>
                          <w:r>
                            <w:instrText xml:space="preserve"> PAGE \* MERGEFORMAT </w:instrText>
                          </w:r>
                          <w:r>
                            <w:fldChar w:fldCharType="separate"/>
                          </w:r>
                          <w:r w:rsidR="0040314F">
                            <w:rPr>
                              <w:noProof/>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281pt;margin-top:797.3pt;width:32.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" filled="f" stroked="f">
              <v:textbox style="mso-fit-shape-to-text:t" inset="0,0,0,0">
                <w:txbxContent>
                  <w:p w:rsidR="00B93048" w:rsidRDefault="0000479D">
                    <w:pPr>
                      <w:pStyle w:val="Zhlavnebozpat20"/>
                      <w:shd w:val="clear" w:color="auto" w:fill="auto"/>
                    </w:pPr>
                    <w:r>
                      <w:t xml:space="preserve">Strana </w:t>
                    </w:r>
                    <w:r>
                      <w:fldChar w:fldCharType="begin"/>
                    </w:r>
                    <w:r>
                      <w:instrText xml:space="preserve"> PAGE \* MERGEFORMAT </w:instrText>
                    </w:r>
                    <w:r>
                      <w:fldChar w:fldCharType="separate"/>
                    </w:r>
                    <w:r w:rsidR="0040314F">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31" w:rsidRDefault="00265C31"/>
  </w:footnote>
  <w:footnote w:type="continuationSeparator" w:id="0">
    <w:p w:rsidR="00265C31" w:rsidRDefault="00265C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0993"/>
    <w:multiLevelType w:val="multilevel"/>
    <w:tmpl w:val="076295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67042"/>
    <w:multiLevelType w:val="multilevel"/>
    <w:tmpl w:val="E5A22F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7081A"/>
    <w:multiLevelType w:val="multilevel"/>
    <w:tmpl w:val="EA5C77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E211C4"/>
    <w:multiLevelType w:val="multilevel"/>
    <w:tmpl w:val="6C0223C6"/>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87782"/>
    <w:multiLevelType w:val="multilevel"/>
    <w:tmpl w:val="229875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A3045"/>
    <w:multiLevelType w:val="multilevel"/>
    <w:tmpl w:val="F5E4B9FE"/>
    <w:lvl w:ilvl="0">
      <w:start w:val="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E2119"/>
    <w:multiLevelType w:val="multilevel"/>
    <w:tmpl w:val="DB84D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F14B61"/>
    <w:multiLevelType w:val="multilevel"/>
    <w:tmpl w:val="F63600D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196F95"/>
    <w:multiLevelType w:val="multilevel"/>
    <w:tmpl w:val="CC5EDF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531140"/>
    <w:multiLevelType w:val="multilevel"/>
    <w:tmpl w:val="083C512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794E2B"/>
    <w:multiLevelType w:val="multilevel"/>
    <w:tmpl w:val="FCB66C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AA3D7D"/>
    <w:multiLevelType w:val="multilevel"/>
    <w:tmpl w:val="36FCC8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E30A0"/>
    <w:multiLevelType w:val="multilevel"/>
    <w:tmpl w:val="50CAA6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CE6EBB"/>
    <w:multiLevelType w:val="multilevel"/>
    <w:tmpl w:val="B69AC60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575C52"/>
    <w:multiLevelType w:val="multilevel"/>
    <w:tmpl w:val="E55A720A"/>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77547D"/>
    <w:multiLevelType w:val="multilevel"/>
    <w:tmpl w:val="EB7696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7459F6"/>
    <w:multiLevelType w:val="multilevel"/>
    <w:tmpl w:val="E3D4D7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315FA2"/>
    <w:multiLevelType w:val="multilevel"/>
    <w:tmpl w:val="450C6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3"/>
  </w:num>
  <w:num w:numId="4">
    <w:abstractNumId w:val="15"/>
  </w:num>
  <w:num w:numId="5">
    <w:abstractNumId w:val="14"/>
  </w:num>
  <w:num w:numId="6">
    <w:abstractNumId w:val="9"/>
  </w:num>
  <w:num w:numId="7">
    <w:abstractNumId w:val="11"/>
  </w:num>
  <w:num w:numId="8">
    <w:abstractNumId w:val="10"/>
  </w:num>
  <w:num w:numId="9">
    <w:abstractNumId w:val="8"/>
  </w:num>
  <w:num w:numId="10">
    <w:abstractNumId w:val="2"/>
  </w:num>
  <w:num w:numId="11">
    <w:abstractNumId w:val="12"/>
  </w:num>
  <w:num w:numId="12">
    <w:abstractNumId w:val="17"/>
  </w:num>
  <w:num w:numId="13">
    <w:abstractNumId w:val="0"/>
  </w:num>
  <w:num w:numId="14">
    <w:abstractNumId w:val="6"/>
  </w:num>
  <w:num w:numId="15">
    <w:abstractNumId w:val="16"/>
  </w:num>
  <w:num w:numId="16">
    <w:abstractNumId w:val="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48"/>
    <w:rsid w:val="0000479D"/>
    <w:rsid w:val="001374DC"/>
    <w:rsid w:val="00265C31"/>
    <w:rsid w:val="0040314F"/>
    <w:rsid w:val="009E3D91"/>
    <w:rsid w:val="00B667C0"/>
    <w:rsid w:val="00B93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168"/>
  <w15:docId w15:val="{8EE93E79-7D0E-4C84-A0D2-300CCB5B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obrzku0">
    <w:name w:val="Titulek obrázku"/>
    <w:basedOn w:val="Normln"/>
    <w:link w:val="Titulekobrzku"/>
    <w:pPr>
      <w:shd w:val="clear" w:color="auto" w:fill="FFFFFF"/>
      <w:spacing w:line="161" w:lineRule="auto"/>
    </w:pPr>
    <w:rPr>
      <w:rFonts w:ascii="Arial" w:eastAsia="Arial" w:hAnsi="Arial" w:cs="Arial"/>
      <w:sz w:val="13"/>
      <w:szCs w:val="13"/>
    </w:rPr>
  </w:style>
  <w:style w:type="paragraph" w:customStyle="1" w:styleId="Zkladntext20">
    <w:name w:val="Základní text (2)"/>
    <w:basedOn w:val="Normln"/>
    <w:link w:val="Zkladntext2"/>
    <w:pPr>
      <w:shd w:val="clear" w:color="auto" w:fill="FFFFFF"/>
    </w:pPr>
    <w:rPr>
      <w:rFonts w:ascii="Arial" w:eastAsia="Arial" w:hAnsi="Arial" w:cs="Arial"/>
      <w:sz w:val="14"/>
      <w:szCs w:val="14"/>
    </w:rPr>
  </w:style>
  <w:style w:type="paragraph" w:customStyle="1" w:styleId="Zkladntext30">
    <w:name w:val="Základní text (3)"/>
    <w:basedOn w:val="Normln"/>
    <w:link w:val="Zkladntext3"/>
    <w:pPr>
      <w:shd w:val="clear" w:color="auto" w:fill="FFFFFF"/>
      <w:spacing w:line="235" w:lineRule="auto"/>
    </w:pPr>
    <w:rPr>
      <w:rFonts w:ascii="Segoe UI" w:eastAsia="Segoe UI" w:hAnsi="Segoe UI" w:cs="Segoe UI"/>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3194</Words>
  <Characters>18846</Characters>
  <Application>Microsoft Office Word</Application>
  <DocSecurity>0</DocSecurity>
  <Lines>157</Lines>
  <Paragraphs>43</Paragraphs>
  <ScaleCrop>false</ScaleCrop>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přepravě věcí</dc:title>
  <dc:subject/>
  <dc:creator>uzivatel</dc:creator>
  <cp:keywords/>
  <cp:lastModifiedBy>Zdenka Šímová</cp:lastModifiedBy>
  <cp:revision>4</cp:revision>
  <dcterms:created xsi:type="dcterms:W3CDTF">2021-03-04T09:32:00Z</dcterms:created>
  <dcterms:modified xsi:type="dcterms:W3CDTF">2021-03-04T12:22:00Z</dcterms:modified>
</cp:coreProperties>
</file>