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65" w:rsidRDefault="00AD7965" w:rsidP="00AD7965">
      <w:r>
        <w:tab/>
      </w:r>
      <w:r>
        <w:tab/>
      </w:r>
    </w:p>
    <w:p w:rsidR="0037134D" w:rsidRDefault="008E3236" w:rsidP="0037134D">
      <w:pPr>
        <w:jc w:val="center"/>
        <w:rPr>
          <w:rFonts w:cs="Arial"/>
          <w:b/>
          <w:sz w:val="36"/>
          <w:szCs w:val="36"/>
        </w:rPr>
      </w:pPr>
      <w:r w:rsidRPr="00915416">
        <w:rPr>
          <w:rFonts w:cs="Arial"/>
          <w:b/>
          <w:sz w:val="36"/>
          <w:szCs w:val="36"/>
        </w:rPr>
        <w:t xml:space="preserve">S M L O U V A   O   D Í L O </w:t>
      </w:r>
    </w:p>
    <w:p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9B10AF" w:rsidRPr="00915416" w:rsidRDefault="009B10AF" w:rsidP="009038A4">
      <w:pPr>
        <w:jc w:val="center"/>
        <w:rPr>
          <w:rFonts w:cs="Arial"/>
          <w:b/>
          <w:sz w:val="36"/>
          <w:szCs w:val="36"/>
        </w:rPr>
      </w:pPr>
    </w:p>
    <w:p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EE2F0F">
        <w:rPr>
          <w:rFonts w:cs="Arial"/>
          <w:b/>
          <w:szCs w:val="22"/>
        </w:rPr>
        <w:t xml:space="preserve">    </w:t>
      </w:r>
      <w:proofErr w:type="gramStart"/>
      <w:r w:rsidR="00EE2F0F">
        <w:rPr>
          <w:rFonts w:cs="Arial"/>
          <w:b/>
          <w:szCs w:val="22"/>
        </w:rPr>
        <w:t>021015A</w:t>
      </w:r>
      <w:proofErr w:type="gramEnd"/>
      <w:r w:rsidR="0037134D">
        <w:rPr>
          <w:rFonts w:cs="Arial"/>
          <w:b/>
          <w:szCs w:val="22"/>
        </w:rPr>
        <w:tab/>
      </w:r>
    </w:p>
    <w:p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4F497D">
        <w:rPr>
          <w:rFonts w:cs="Arial"/>
          <w:b/>
          <w:szCs w:val="22"/>
        </w:rPr>
        <w:t>198</w:t>
      </w:r>
      <w:r w:rsidR="009038A4">
        <w:rPr>
          <w:rFonts w:cs="Arial"/>
          <w:b/>
          <w:szCs w:val="22"/>
        </w:rPr>
        <w:t>/</w:t>
      </w:r>
      <w:r w:rsidR="00E436F4">
        <w:rPr>
          <w:rFonts w:cs="Arial"/>
          <w:b/>
          <w:szCs w:val="22"/>
        </w:rPr>
        <w:t>202</w:t>
      </w:r>
      <w:r w:rsidR="00002566">
        <w:rPr>
          <w:rFonts w:cs="Arial"/>
          <w:b/>
          <w:szCs w:val="22"/>
        </w:rPr>
        <w:t>1</w:t>
      </w:r>
    </w:p>
    <w:p w:rsidR="008E3236" w:rsidRPr="00915416" w:rsidRDefault="008E3236" w:rsidP="008E3236">
      <w:pPr>
        <w:rPr>
          <w:rFonts w:cs="Arial"/>
          <w:b/>
        </w:rPr>
      </w:pPr>
    </w:p>
    <w:p w:rsidR="0039506D" w:rsidRPr="00D74A50" w:rsidRDefault="0039506D" w:rsidP="008E3236">
      <w:pPr>
        <w:pStyle w:val="Export0"/>
        <w:jc w:val="center"/>
        <w:rPr>
          <w:rFonts w:ascii="Arial" w:hAnsi="Arial" w:cs="Arial"/>
          <w:b/>
          <w:sz w:val="22"/>
          <w:szCs w:val="22"/>
          <w:lang w:val="cs-CZ"/>
        </w:rPr>
      </w:pPr>
    </w:p>
    <w:p w:rsidR="00032856" w:rsidRPr="00F01557" w:rsidRDefault="00440DE8" w:rsidP="00032856">
      <w:pPr>
        <w:jc w:val="center"/>
        <w:rPr>
          <w:rFonts w:cs="Arial"/>
        </w:rPr>
      </w:pPr>
      <w:r w:rsidRPr="00440DE8">
        <w:rPr>
          <w:rFonts w:cs="Arial"/>
          <w:b/>
        </w:rPr>
        <w:t xml:space="preserve">RH </w:t>
      </w:r>
      <w:proofErr w:type="gramStart"/>
      <w:r w:rsidRPr="00440DE8">
        <w:rPr>
          <w:rFonts w:cs="Arial"/>
          <w:b/>
        </w:rPr>
        <w:t>Přísečnice - rekonstrukce</w:t>
      </w:r>
      <w:proofErr w:type="gramEnd"/>
      <w:r w:rsidRPr="00440DE8">
        <w:rPr>
          <w:rFonts w:cs="Arial"/>
          <w:b/>
        </w:rPr>
        <w:t xml:space="preserve"> MVE</w:t>
      </w:r>
      <w:r>
        <w:rPr>
          <w:rFonts w:cs="Arial"/>
          <w:b/>
        </w:rPr>
        <w:t xml:space="preserve"> </w:t>
      </w:r>
      <w:r w:rsidR="00680069" w:rsidRPr="00F01557">
        <w:rPr>
          <w:rFonts w:cs="Arial"/>
          <w:b/>
        </w:rPr>
        <w:t xml:space="preserve">– </w:t>
      </w:r>
      <w:r>
        <w:rPr>
          <w:rFonts w:cs="Arial"/>
          <w:b/>
        </w:rPr>
        <w:t xml:space="preserve">aktualizace PD - </w:t>
      </w:r>
      <w:r w:rsidR="00680069" w:rsidRPr="00F01557">
        <w:rPr>
          <w:rFonts w:cs="Arial"/>
          <w:b/>
        </w:rPr>
        <w:t>projektová dokumentace</w:t>
      </w:r>
      <w:r w:rsidR="00335EC3">
        <w:rPr>
          <w:rFonts w:cs="Arial"/>
          <w:b/>
        </w:rPr>
        <w:t xml:space="preserve"> (DSJ)</w:t>
      </w:r>
    </w:p>
    <w:p w:rsidR="008E3236" w:rsidRPr="0037134D" w:rsidRDefault="008E3236" w:rsidP="008E3236">
      <w:pPr>
        <w:tabs>
          <w:tab w:val="left" w:pos="4080"/>
        </w:tabs>
        <w:rPr>
          <w:rFonts w:cs="Arial"/>
          <w:b/>
          <w:szCs w:val="22"/>
        </w:rPr>
      </w:pPr>
    </w:p>
    <w:p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rsidR="008E3236" w:rsidRPr="00D74A50" w:rsidRDefault="008E3236" w:rsidP="008E3236">
      <w:pPr>
        <w:rPr>
          <w:rFonts w:cs="Arial"/>
          <w:szCs w:val="22"/>
        </w:rPr>
      </w:pPr>
    </w:p>
    <w:p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rsidR="00A451E8" w:rsidRPr="00A451E8" w:rsidRDefault="00EE2F0F"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rsidR="009530EE" w:rsidRDefault="00335EC3" w:rsidP="00002566">
      <w:pPr>
        <w:tabs>
          <w:tab w:val="left" w:pos="3960"/>
        </w:tabs>
        <w:ind w:left="3969" w:hanging="3969"/>
        <w:rPr>
          <w:rFonts w:cs="Arial"/>
          <w:szCs w:val="22"/>
        </w:rPr>
      </w:pPr>
      <w:r w:rsidRPr="009038A4">
        <w:rPr>
          <w:rFonts w:cs="Arial"/>
          <w:szCs w:val="22"/>
        </w:rPr>
        <w:t>zástupce ve věcech technických:</w:t>
      </w:r>
    </w:p>
    <w:p w:rsidR="00335EC3" w:rsidRPr="009038A4" w:rsidRDefault="00335EC3" w:rsidP="00002566">
      <w:pPr>
        <w:tabs>
          <w:tab w:val="left" w:pos="3960"/>
        </w:tabs>
        <w:ind w:left="3969" w:hanging="3969"/>
        <w:rPr>
          <w:rFonts w:cs="Arial"/>
          <w:szCs w:val="22"/>
        </w:rPr>
      </w:pPr>
      <w:r w:rsidRPr="009038A4">
        <w:rPr>
          <w:rFonts w:cs="Arial"/>
          <w:szCs w:val="22"/>
        </w:rPr>
        <w:tab/>
        <w:t xml:space="preserve"> </w:t>
      </w:r>
    </w:p>
    <w:p w:rsidR="00EE2F0F" w:rsidRPr="00526CF4" w:rsidRDefault="00EE2F0F" w:rsidP="00EE2F0F">
      <w:pPr>
        <w:tabs>
          <w:tab w:val="left" w:pos="3960"/>
        </w:tabs>
        <w:autoSpaceDE w:val="0"/>
        <w:autoSpaceDN w:val="0"/>
        <w:adjustRightInd w:val="0"/>
        <w:spacing w:line="300" w:lineRule="atLeast"/>
        <w:rPr>
          <w:rFonts w:cs="Arial"/>
          <w:color w:val="000000"/>
          <w:szCs w:val="22"/>
        </w:rPr>
      </w:pPr>
      <w:r w:rsidRPr="00526CF4">
        <w:rPr>
          <w:rFonts w:cs="Arial"/>
          <w:color w:val="000000"/>
          <w:szCs w:val="22"/>
        </w:rPr>
        <w:t xml:space="preserve">zástupce pro výkon technického   </w:t>
      </w:r>
    </w:p>
    <w:p w:rsidR="009530EE" w:rsidRPr="004B25AD" w:rsidRDefault="00EE2F0F" w:rsidP="009530EE">
      <w:pPr>
        <w:tabs>
          <w:tab w:val="left" w:pos="3960"/>
        </w:tabs>
        <w:autoSpaceDE w:val="0"/>
        <w:autoSpaceDN w:val="0"/>
        <w:adjustRightInd w:val="0"/>
        <w:rPr>
          <w:rStyle w:val="Hypertextovodkaz"/>
          <w:rFonts w:cs="Arial"/>
          <w:szCs w:val="22"/>
        </w:rPr>
      </w:pPr>
      <w:r w:rsidRPr="00526CF4">
        <w:rPr>
          <w:rFonts w:cs="Arial"/>
          <w:color w:val="000000"/>
          <w:szCs w:val="22"/>
        </w:rPr>
        <w:t>dozoru:</w:t>
      </w:r>
      <w:r>
        <w:rPr>
          <w:rFonts w:cs="Arial"/>
          <w:color w:val="000000"/>
          <w:szCs w:val="22"/>
        </w:rPr>
        <w:tab/>
      </w:r>
    </w:p>
    <w:p w:rsidR="00EC4928" w:rsidRPr="004B25AD" w:rsidRDefault="00EC4928" w:rsidP="00EC4928">
      <w:pPr>
        <w:tabs>
          <w:tab w:val="left" w:pos="1701"/>
          <w:tab w:val="left" w:pos="4253"/>
        </w:tabs>
        <w:spacing w:line="300" w:lineRule="atLeast"/>
        <w:ind w:left="3960"/>
        <w:rPr>
          <w:rStyle w:val="Hypertextovodkaz"/>
          <w:rFonts w:cs="Arial"/>
          <w:szCs w:val="22"/>
        </w:rPr>
      </w:pPr>
    </w:p>
    <w:p w:rsidR="00F639F1" w:rsidRPr="009038A4" w:rsidRDefault="00F639F1" w:rsidP="00EC4928">
      <w:pPr>
        <w:tabs>
          <w:tab w:val="left" w:pos="3960"/>
        </w:tabs>
        <w:autoSpaceDE w:val="0"/>
        <w:autoSpaceDN w:val="0"/>
        <w:adjustRightInd w:val="0"/>
        <w:rPr>
          <w:rStyle w:val="Hypertextovodkaz"/>
          <w:rFonts w:cs="Arial"/>
          <w:szCs w:val="22"/>
        </w:rPr>
      </w:pPr>
    </w:p>
    <w:p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rsidR="00EE2F0F" w:rsidRDefault="00EE2F0F" w:rsidP="008E3236">
      <w:pPr>
        <w:tabs>
          <w:tab w:val="left" w:pos="3960"/>
        </w:tabs>
        <w:rPr>
          <w:rFonts w:cs="Arial"/>
          <w:szCs w:val="22"/>
        </w:rPr>
      </w:pPr>
    </w:p>
    <w:p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rPr>
          <w:rFonts w:cs="Arial"/>
          <w:szCs w:val="22"/>
        </w:rPr>
      </w:pPr>
    </w:p>
    <w:p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rsidR="008E3236" w:rsidRPr="00D74A50" w:rsidRDefault="008E3236" w:rsidP="008E3236">
      <w:pPr>
        <w:tabs>
          <w:tab w:val="left" w:pos="3960"/>
        </w:tabs>
        <w:rPr>
          <w:rFonts w:cs="Arial"/>
          <w:b/>
          <w:szCs w:val="22"/>
        </w:rPr>
      </w:pPr>
    </w:p>
    <w:p w:rsidR="00EC4928" w:rsidRPr="00C2590C" w:rsidRDefault="00EC4928" w:rsidP="00EC4928">
      <w:pPr>
        <w:tabs>
          <w:tab w:val="left" w:pos="3960"/>
        </w:tabs>
        <w:rPr>
          <w:rFonts w:ascii="Arial CE" w:hAnsi="Arial CE" w:cs="Arial"/>
          <w:b/>
          <w:szCs w:val="22"/>
        </w:rPr>
      </w:pPr>
      <w:r>
        <w:rPr>
          <w:rFonts w:ascii="Arial CE" w:hAnsi="Arial CE" w:cs="Arial"/>
          <w:b/>
          <w:szCs w:val="22"/>
        </w:rPr>
        <w:t>Zhotovitel</w:t>
      </w:r>
      <w:r w:rsidRPr="00F33A55">
        <w:rPr>
          <w:rFonts w:ascii="Arial CE" w:hAnsi="Arial CE" w:cs="Arial"/>
          <w:b/>
          <w:szCs w:val="22"/>
        </w:rPr>
        <w:t>:</w:t>
      </w:r>
      <w:r w:rsidRPr="00C2590C">
        <w:rPr>
          <w:rFonts w:ascii="Arial CE" w:hAnsi="Arial CE" w:cs="Arial"/>
          <w:b/>
          <w:szCs w:val="22"/>
        </w:rPr>
        <w:tab/>
        <w:t>A</w:t>
      </w:r>
      <w:r>
        <w:rPr>
          <w:rFonts w:ascii="Arial CE" w:hAnsi="Arial CE" w:cs="Arial"/>
          <w:b/>
          <w:szCs w:val="22"/>
        </w:rPr>
        <w:t xml:space="preserve">QUATIS </w:t>
      </w:r>
      <w:r w:rsidRPr="00C2590C">
        <w:rPr>
          <w:rFonts w:ascii="Arial CE" w:hAnsi="Arial CE" w:cs="Arial"/>
          <w:b/>
          <w:szCs w:val="22"/>
        </w:rPr>
        <w:t>a.s</w:t>
      </w:r>
      <w:r>
        <w:rPr>
          <w:rFonts w:ascii="Arial CE" w:hAnsi="Arial CE" w:cs="Arial"/>
          <w:b/>
          <w:szCs w:val="22"/>
        </w:rPr>
        <w:t>.</w:t>
      </w:r>
    </w:p>
    <w:p w:rsidR="00EC4928" w:rsidRPr="00C2590C" w:rsidRDefault="00EE2F0F" w:rsidP="00EC4928">
      <w:pPr>
        <w:tabs>
          <w:tab w:val="left" w:pos="3960"/>
        </w:tabs>
        <w:rPr>
          <w:rFonts w:ascii="Arial CE" w:hAnsi="Arial CE" w:cs="Arial"/>
          <w:szCs w:val="22"/>
        </w:rPr>
      </w:pPr>
      <w:r>
        <w:rPr>
          <w:rFonts w:ascii="Arial CE" w:hAnsi="Arial CE" w:cs="Arial"/>
          <w:szCs w:val="22"/>
        </w:rPr>
        <w:t>sídlo:</w:t>
      </w:r>
      <w:r w:rsidR="00EC4928" w:rsidRPr="00C2590C">
        <w:rPr>
          <w:rFonts w:ascii="Arial CE" w:hAnsi="Arial CE" w:cs="Arial"/>
          <w:szCs w:val="22"/>
        </w:rPr>
        <w:tab/>
        <w:t>Botanická 834/56, 602 00 Brno</w:t>
      </w:r>
    </w:p>
    <w:p w:rsidR="00EC4928" w:rsidRPr="00EE2F0F" w:rsidRDefault="00EC4928" w:rsidP="00EC4928">
      <w:pPr>
        <w:tabs>
          <w:tab w:val="left" w:pos="3960"/>
        </w:tabs>
        <w:rPr>
          <w:rFonts w:ascii="Arial CE" w:hAnsi="Arial CE" w:cs="Arial"/>
          <w:szCs w:val="22"/>
        </w:rPr>
      </w:pPr>
      <w:r w:rsidRPr="00EE2F0F">
        <w:rPr>
          <w:rFonts w:ascii="Arial CE" w:hAnsi="Arial CE" w:cs="Arial"/>
          <w:szCs w:val="22"/>
        </w:rPr>
        <w:t>IČO:</w:t>
      </w:r>
      <w:r w:rsidRPr="00EE2F0F">
        <w:rPr>
          <w:rFonts w:ascii="Arial CE" w:hAnsi="Arial CE" w:cs="Arial"/>
          <w:szCs w:val="22"/>
        </w:rPr>
        <w:tab/>
        <w:t>46347526</w:t>
      </w:r>
    </w:p>
    <w:p w:rsidR="00EC4928" w:rsidRPr="00EE2F0F" w:rsidRDefault="00EC4928" w:rsidP="00EC4928">
      <w:pPr>
        <w:tabs>
          <w:tab w:val="left" w:pos="3960"/>
        </w:tabs>
        <w:rPr>
          <w:rFonts w:ascii="Arial CE" w:hAnsi="Arial CE" w:cs="Arial"/>
          <w:szCs w:val="22"/>
        </w:rPr>
      </w:pPr>
      <w:r w:rsidRPr="00EE2F0F">
        <w:rPr>
          <w:rFonts w:ascii="Arial CE" w:hAnsi="Arial CE" w:cs="Arial"/>
          <w:szCs w:val="22"/>
        </w:rPr>
        <w:t>DIČ:</w:t>
      </w:r>
      <w:r w:rsidRPr="00EE2F0F">
        <w:rPr>
          <w:rFonts w:ascii="Arial CE" w:hAnsi="Arial CE" w:cs="Arial"/>
          <w:szCs w:val="22"/>
        </w:rPr>
        <w:tab/>
        <w:t>CZ46347526</w:t>
      </w:r>
    </w:p>
    <w:p w:rsidR="00EC4928" w:rsidRDefault="00EC4928" w:rsidP="00EC4928">
      <w:pPr>
        <w:tabs>
          <w:tab w:val="left" w:pos="3960"/>
        </w:tabs>
        <w:ind w:left="3960" w:hanging="3960"/>
        <w:rPr>
          <w:rFonts w:ascii="Arial CE" w:hAnsi="Arial CE" w:cs="Arial"/>
          <w:szCs w:val="22"/>
        </w:rPr>
      </w:pPr>
      <w:r w:rsidRPr="00EE2F0F">
        <w:rPr>
          <w:rFonts w:ascii="Arial CE" w:hAnsi="Arial CE" w:cs="Arial"/>
          <w:szCs w:val="22"/>
        </w:rPr>
        <w:t>zástupce ve věcech smluvních:</w:t>
      </w:r>
      <w:r w:rsidRPr="00EE2F0F">
        <w:rPr>
          <w:rFonts w:ascii="Arial CE" w:hAnsi="Arial CE" w:cs="Arial"/>
          <w:szCs w:val="22"/>
        </w:rPr>
        <w:tab/>
      </w:r>
    </w:p>
    <w:p w:rsidR="009530EE" w:rsidRPr="00EE2F0F" w:rsidRDefault="009530EE" w:rsidP="00EC4928">
      <w:pPr>
        <w:tabs>
          <w:tab w:val="left" w:pos="3960"/>
        </w:tabs>
        <w:ind w:left="3960" w:hanging="3960"/>
        <w:rPr>
          <w:rFonts w:ascii="Arial CE" w:hAnsi="Arial CE" w:cs="Arial"/>
          <w:szCs w:val="22"/>
        </w:rPr>
      </w:pPr>
    </w:p>
    <w:p w:rsidR="00EC4928" w:rsidRPr="00EE2F0F" w:rsidRDefault="00EC4928" w:rsidP="00EC4928">
      <w:pPr>
        <w:autoSpaceDE w:val="0"/>
        <w:autoSpaceDN w:val="0"/>
        <w:adjustRightInd w:val="0"/>
        <w:spacing w:line="300" w:lineRule="atLeast"/>
        <w:rPr>
          <w:rFonts w:cs="Arial"/>
          <w:szCs w:val="22"/>
        </w:rPr>
      </w:pPr>
      <w:r w:rsidRPr="00EE2F0F">
        <w:rPr>
          <w:rFonts w:ascii="Arial CE" w:hAnsi="Arial CE" w:cs="Arial"/>
          <w:szCs w:val="22"/>
        </w:rPr>
        <w:t>zástupce ve věcech technických:</w:t>
      </w:r>
      <w:r w:rsidRPr="00EE2F0F">
        <w:rPr>
          <w:rFonts w:ascii="Arial CE" w:hAnsi="Arial CE" w:cs="Arial"/>
          <w:szCs w:val="22"/>
        </w:rPr>
        <w:tab/>
      </w:r>
      <w:r w:rsidRPr="00EE2F0F">
        <w:rPr>
          <w:rFonts w:cs="Arial"/>
          <w:color w:val="000000"/>
          <w:szCs w:val="22"/>
        </w:rPr>
        <w:t xml:space="preserve">       </w:t>
      </w:r>
    </w:p>
    <w:p w:rsidR="009530EE" w:rsidRDefault="00EC4928" w:rsidP="009530EE">
      <w:pPr>
        <w:tabs>
          <w:tab w:val="left" w:pos="3969"/>
        </w:tabs>
        <w:autoSpaceDE w:val="0"/>
        <w:autoSpaceDN w:val="0"/>
        <w:adjustRightInd w:val="0"/>
        <w:spacing w:line="300" w:lineRule="atLeast"/>
        <w:rPr>
          <w:rFonts w:cs="Arial"/>
          <w:szCs w:val="22"/>
        </w:rPr>
      </w:pPr>
      <w:r w:rsidRPr="00EE2F0F">
        <w:rPr>
          <w:rFonts w:ascii="Arial CE" w:hAnsi="Arial CE" w:cs="Arial"/>
          <w:szCs w:val="22"/>
        </w:rPr>
        <w:tab/>
      </w:r>
    </w:p>
    <w:p w:rsidR="00EC4928" w:rsidRDefault="00EC4928" w:rsidP="00EE2F0F">
      <w:pPr>
        <w:tabs>
          <w:tab w:val="left" w:pos="3969"/>
        </w:tabs>
        <w:autoSpaceDE w:val="0"/>
        <w:autoSpaceDN w:val="0"/>
        <w:adjustRightInd w:val="0"/>
        <w:spacing w:line="300" w:lineRule="atLeast"/>
        <w:ind w:left="3969"/>
        <w:rPr>
          <w:rFonts w:cs="Arial"/>
          <w:szCs w:val="22"/>
        </w:rPr>
      </w:pPr>
    </w:p>
    <w:p w:rsidR="009530EE" w:rsidRDefault="009530EE" w:rsidP="00EE2F0F">
      <w:pPr>
        <w:tabs>
          <w:tab w:val="left" w:pos="3969"/>
        </w:tabs>
        <w:autoSpaceDE w:val="0"/>
        <w:autoSpaceDN w:val="0"/>
        <w:adjustRightInd w:val="0"/>
        <w:spacing w:line="300" w:lineRule="atLeast"/>
        <w:ind w:left="3969"/>
        <w:rPr>
          <w:rFonts w:cs="Arial"/>
          <w:szCs w:val="22"/>
        </w:rPr>
      </w:pPr>
    </w:p>
    <w:p w:rsidR="009530EE" w:rsidRDefault="009530EE" w:rsidP="00EE2F0F">
      <w:pPr>
        <w:tabs>
          <w:tab w:val="left" w:pos="3969"/>
        </w:tabs>
        <w:autoSpaceDE w:val="0"/>
        <w:autoSpaceDN w:val="0"/>
        <w:adjustRightInd w:val="0"/>
        <w:spacing w:line="300" w:lineRule="atLeast"/>
        <w:ind w:left="3969"/>
        <w:rPr>
          <w:rFonts w:cs="Arial"/>
          <w:szCs w:val="22"/>
        </w:rPr>
      </w:pPr>
    </w:p>
    <w:p w:rsidR="00EE2F0F" w:rsidRPr="00EE2F0F" w:rsidRDefault="00EE2F0F" w:rsidP="00EC4928">
      <w:pPr>
        <w:tabs>
          <w:tab w:val="left" w:pos="3969"/>
        </w:tabs>
        <w:autoSpaceDE w:val="0"/>
        <w:autoSpaceDN w:val="0"/>
        <w:adjustRightInd w:val="0"/>
        <w:spacing w:line="300" w:lineRule="atLeast"/>
        <w:ind w:left="3540" w:firstLine="429"/>
        <w:rPr>
          <w:rFonts w:cs="Arial"/>
          <w:szCs w:val="22"/>
        </w:rPr>
      </w:pPr>
    </w:p>
    <w:p w:rsidR="009530EE" w:rsidRDefault="00EC4928" w:rsidP="00EC4928">
      <w:pPr>
        <w:tabs>
          <w:tab w:val="left" w:pos="3960"/>
        </w:tabs>
        <w:autoSpaceDE w:val="0"/>
        <w:autoSpaceDN w:val="0"/>
        <w:adjustRightInd w:val="0"/>
        <w:spacing w:line="300" w:lineRule="atLeast"/>
        <w:rPr>
          <w:rFonts w:ascii="Arial CE" w:hAnsi="Arial CE" w:cs="Arial"/>
          <w:szCs w:val="22"/>
        </w:rPr>
      </w:pPr>
      <w:r w:rsidRPr="00EE2F0F">
        <w:rPr>
          <w:rFonts w:ascii="Arial CE" w:hAnsi="Arial CE" w:cs="Arial"/>
          <w:szCs w:val="22"/>
        </w:rPr>
        <w:t>bankovní spojení:</w:t>
      </w:r>
      <w:r w:rsidRPr="00EE2F0F">
        <w:rPr>
          <w:rFonts w:ascii="Arial CE" w:hAnsi="Arial CE" w:cs="Arial"/>
          <w:szCs w:val="22"/>
        </w:rPr>
        <w:tab/>
      </w:r>
    </w:p>
    <w:p w:rsidR="00EC4928" w:rsidRPr="00C2590C" w:rsidRDefault="00EC4928" w:rsidP="00EC4928">
      <w:pPr>
        <w:tabs>
          <w:tab w:val="left" w:pos="3960"/>
        </w:tabs>
        <w:autoSpaceDE w:val="0"/>
        <w:autoSpaceDN w:val="0"/>
        <w:adjustRightInd w:val="0"/>
        <w:spacing w:line="300" w:lineRule="atLeast"/>
        <w:rPr>
          <w:rFonts w:cs="Arial"/>
          <w:szCs w:val="22"/>
        </w:rPr>
      </w:pPr>
      <w:r w:rsidRPr="00EE2F0F">
        <w:rPr>
          <w:rFonts w:cs="Arial"/>
          <w:szCs w:val="22"/>
        </w:rPr>
        <w:t>číslo účtu:</w:t>
      </w:r>
      <w:r w:rsidRPr="00C2590C">
        <w:rPr>
          <w:rFonts w:cs="Arial"/>
          <w:szCs w:val="22"/>
        </w:rPr>
        <w:tab/>
      </w:r>
    </w:p>
    <w:p w:rsidR="00EC4928" w:rsidRPr="00C2590C" w:rsidRDefault="00EC4928" w:rsidP="00EC4928">
      <w:pPr>
        <w:tabs>
          <w:tab w:val="left" w:pos="3960"/>
        </w:tabs>
        <w:autoSpaceDE w:val="0"/>
        <w:autoSpaceDN w:val="0"/>
        <w:adjustRightInd w:val="0"/>
        <w:spacing w:line="300" w:lineRule="atLeast"/>
        <w:rPr>
          <w:rFonts w:cs="Arial"/>
          <w:szCs w:val="22"/>
        </w:rPr>
      </w:pPr>
    </w:p>
    <w:p w:rsidR="00EC4928" w:rsidRDefault="00EE2F0F" w:rsidP="00EC4928">
      <w:pPr>
        <w:widowControl w:val="0"/>
        <w:rPr>
          <w:rFonts w:ascii="Arial CE" w:hAnsi="Arial CE" w:cs="Arial"/>
          <w:szCs w:val="22"/>
        </w:rPr>
      </w:pPr>
      <w:r>
        <w:rPr>
          <w:rFonts w:ascii="Arial CE" w:hAnsi="Arial CE" w:cs="Arial"/>
          <w:szCs w:val="22"/>
        </w:rPr>
        <w:t>AQUATIS a. s. je zapsán v</w:t>
      </w:r>
      <w:r w:rsidR="00EC4928" w:rsidRPr="00FD66BD">
        <w:rPr>
          <w:rFonts w:ascii="Arial CE" w:hAnsi="Arial CE" w:cs="Arial"/>
          <w:szCs w:val="22"/>
        </w:rPr>
        <w:t xml:space="preserve"> obchodním rejstříku</w:t>
      </w:r>
      <w:r w:rsidR="00EC4928">
        <w:rPr>
          <w:rFonts w:ascii="Arial CE" w:hAnsi="Arial CE" w:cs="Arial"/>
          <w:szCs w:val="22"/>
        </w:rPr>
        <w:t xml:space="preserve"> </w:t>
      </w:r>
      <w:r w:rsidR="00EC4928" w:rsidRPr="00C2590C">
        <w:rPr>
          <w:rFonts w:ascii="Arial CE" w:hAnsi="Arial CE" w:cs="Arial"/>
          <w:szCs w:val="22"/>
        </w:rPr>
        <w:t>Krajsk</w:t>
      </w:r>
      <w:r>
        <w:rPr>
          <w:rFonts w:ascii="Arial CE" w:hAnsi="Arial CE" w:cs="Arial"/>
          <w:szCs w:val="22"/>
        </w:rPr>
        <w:t>ého</w:t>
      </w:r>
      <w:r w:rsidR="00EC4928" w:rsidRPr="00C2590C">
        <w:rPr>
          <w:rFonts w:ascii="Arial CE" w:hAnsi="Arial CE" w:cs="Arial"/>
          <w:szCs w:val="22"/>
        </w:rPr>
        <w:t xml:space="preserve"> soudu v Brně, oddíl B, vlož</w:t>
      </w:r>
      <w:r w:rsidR="00EC4928">
        <w:rPr>
          <w:rFonts w:ascii="Arial CE" w:hAnsi="Arial CE" w:cs="Arial"/>
          <w:szCs w:val="22"/>
        </w:rPr>
        <w:t>ka</w:t>
      </w:r>
      <w:r w:rsidR="00EC4928" w:rsidRPr="00C2590C">
        <w:rPr>
          <w:rFonts w:ascii="Arial CE" w:hAnsi="Arial CE" w:cs="Arial"/>
          <w:szCs w:val="22"/>
        </w:rPr>
        <w:t xml:space="preserve"> č.</w:t>
      </w:r>
      <w:r w:rsidR="00EC4928">
        <w:rPr>
          <w:rFonts w:ascii="Arial CE" w:hAnsi="Arial CE" w:cs="Arial"/>
          <w:szCs w:val="22"/>
        </w:rPr>
        <w:t> </w:t>
      </w:r>
      <w:r w:rsidR="00EC4928" w:rsidRPr="00C2590C">
        <w:rPr>
          <w:rFonts w:ascii="Arial CE" w:hAnsi="Arial CE" w:cs="Arial"/>
          <w:szCs w:val="22"/>
        </w:rPr>
        <w:t>775</w:t>
      </w:r>
      <w:r>
        <w:rPr>
          <w:rFonts w:ascii="Arial CE" w:hAnsi="Arial CE" w:cs="Arial"/>
          <w:szCs w:val="22"/>
        </w:rPr>
        <w:t>.</w:t>
      </w:r>
    </w:p>
    <w:p w:rsidR="00EE2F0F" w:rsidRDefault="00EE2F0F" w:rsidP="00EC4928">
      <w:pPr>
        <w:tabs>
          <w:tab w:val="left" w:pos="3960"/>
        </w:tabs>
        <w:rPr>
          <w:rFonts w:ascii="Arial CE" w:hAnsi="Arial CE" w:cs="Arial"/>
          <w:szCs w:val="22"/>
        </w:rPr>
      </w:pPr>
    </w:p>
    <w:p w:rsidR="003C303F" w:rsidRDefault="00EC4928" w:rsidP="00EC4928">
      <w:pPr>
        <w:tabs>
          <w:tab w:val="left" w:pos="3960"/>
        </w:tabs>
        <w:rPr>
          <w:rFonts w:ascii="Arial CE" w:hAnsi="Arial CE" w:cs="Arial"/>
          <w:szCs w:val="22"/>
        </w:rPr>
      </w:pPr>
      <w:r>
        <w:rPr>
          <w:rFonts w:ascii="Arial CE" w:hAnsi="Arial CE" w:cs="Arial"/>
          <w:szCs w:val="22"/>
        </w:rPr>
        <w:t>(</w:t>
      </w:r>
      <w:r w:rsidRPr="00C2590C">
        <w:rPr>
          <w:rFonts w:ascii="Arial CE" w:hAnsi="Arial CE" w:cs="Arial"/>
          <w:szCs w:val="22"/>
        </w:rPr>
        <w:t>dále jen „</w:t>
      </w:r>
      <w:r>
        <w:rPr>
          <w:rFonts w:ascii="Arial CE" w:hAnsi="Arial CE" w:cs="Arial"/>
          <w:szCs w:val="22"/>
        </w:rPr>
        <w:t>zhotovitel</w:t>
      </w:r>
      <w:r w:rsidRPr="00C2590C">
        <w:rPr>
          <w:rFonts w:ascii="Arial CE" w:hAnsi="Arial CE" w:cs="Arial"/>
          <w:szCs w:val="22"/>
        </w:rPr>
        <w:t>“) na straně druhé</w:t>
      </w:r>
      <w:r w:rsidR="003C303F" w:rsidRPr="001D7A19">
        <w:rPr>
          <w:rFonts w:ascii="Arial CE" w:hAnsi="Arial CE" w:cs="Arial"/>
          <w:szCs w:val="22"/>
        </w:rPr>
        <w:t>.</w:t>
      </w:r>
    </w:p>
    <w:p w:rsidR="00EC4928" w:rsidRPr="001D7A19" w:rsidRDefault="00EC4928" w:rsidP="00EC4928">
      <w:pPr>
        <w:tabs>
          <w:tab w:val="left" w:pos="3960"/>
        </w:tabs>
        <w:rPr>
          <w:rFonts w:ascii="Arial CE" w:hAnsi="Arial CE" w:cs="Arial"/>
          <w:color w:val="000000"/>
          <w:szCs w:val="22"/>
        </w:rPr>
      </w:pPr>
    </w:p>
    <w:p w:rsidR="009B195C" w:rsidRPr="009B195C" w:rsidRDefault="009B195C" w:rsidP="009B195C">
      <w:pPr>
        <w:rPr>
          <w:rFonts w:cs="Arial"/>
          <w:szCs w:val="22"/>
        </w:rPr>
      </w:pPr>
      <w:r w:rsidRPr="009B195C">
        <w:rPr>
          <w:rFonts w:cs="Arial"/>
          <w:bCs/>
          <w:iCs/>
          <w:color w:val="000000"/>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9B195C">
        <w:rPr>
          <w:rFonts w:cs="Arial"/>
          <w:bCs/>
          <w:iCs/>
          <w:color w:val="000000"/>
          <w:szCs w:val="22"/>
        </w:rPr>
        <w:t>metadat</w:t>
      </w:r>
      <w:proofErr w:type="spellEnd"/>
      <w:r w:rsidRPr="009B195C">
        <w:rPr>
          <w:rFonts w:cs="Arial"/>
          <w:bCs/>
          <w:iCs/>
          <w:color w:val="000000"/>
          <w:szCs w:val="22"/>
        </w:rPr>
        <w:t xml:space="preserve"> požadovaných k uveřejnění dle zákona č. 340/2015 Sb. o registru smluv. Zveřejnění smlouvy a </w:t>
      </w:r>
      <w:proofErr w:type="spellStart"/>
      <w:r w:rsidRPr="009B195C">
        <w:rPr>
          <w:rFonts w:cs="Arial"/>
          <w:bCs/>
          <w:iCs/>
          <w:color w:val="000000"/>
          <w:szCs w:val="22"/>
        </w:rPr>
        <w:t>metadat</w:t>
      </w:r>
      <w:proofErr w:type="spellEnd"/>
      <w:r w:rsidRPr="009B195C">
        <w:rPr>
          <w:rFonts w:cs="Arial"/>
          <w:bCs/>
          <w:iCs/>
          <w:color w:val="000000"/>
          <w:szCs w:val="22"/>
        </w:rPr>
        <w:t xml:space="preserve"> v registru smluv zajistí Povodí Ohře, státní podnik, který má právo tuto smlouvu zveřejnit rovněž v pochybnostech o tom, zda tato smlouva zveřejnění podléhá či nikoliv.</w:t>
      </w:r>
    </w:p>
    <w:p w:rsidR="00531101" w:rsidRDefault="00531101" w:rsidP="009B195C">
      <w:pPr>
        <w:widowControl w:val="0"/>
        <w:spacing w:line="240" w:lineRule="atLeast"/>
        <w:rPr>
          <w:rFonts w:cs="Arial"/>
          <w:szCs w:val="22"/>
        </w:rPr>
      </w:pPr>
    </w:p>
    <w:p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rsidR="00680069" w:rsidRPr="00A87606" w:rsidRDefault="00680069" w:rsidP="00680069">
      <w:pPr>
        <w:widowControl w:val="0"/>
        <w:rPr>
          <w:rFonts w:cs="Arial"/>
          <w:szCs w:val="22"/>
        </w:rPr>
      </w:pPr>
    </w:p>
    <w:p w:rsidR="00CD0A1E" w:rsidRDefault="003472AC" w:rsidP="00680069">
      <w:pPr>
        <w:pStyle w:val="A-odstavecodsazensodrkami"/>
        <w:keepNext/>
        <w:numPr>
          <w:ilvl w:val="0"/>
          <w:numId w:val="0"/>
        </w:numPr>
        <w:rPr>
          <w:bCs/>
        </w:rPr>
      </w:pPr>
      <w:r w:rsidRPr="00EE4014">
        <w:rPr>
          <w:bCs/>
        </w:rPr>
        <w:t xml:space="preserve">Předmětem veřejné zakázky je zpracování </w:t>
      </w:r>
      <w:r w:rsidR="00EC4928">
        <w:rPr>
          <w:bCs/>
        </w:rPr>
        <w:t xml:space="preserve">aktualizace </w:t>
      </w:r>
      <w:r w:rsidRPr="00EE4014">
        <w:rPr>
          <w:bCs/>
        </w:rPr>
        <w:t xml:space="preserve">projektové dokumentace pro </w:t>
      </w:r>
      <w:r w:rsidR="00CD0A1E" w:rsidRPr="00EE4014">
        <w:t>ohlášení</w:t>
      </w:r>
      <w:r w:rsidR="00CD0A1E" w:rsidRPr="00EE4014">
        <w:rPr>
          <w:lang w:val="en-US"/>
        </w:rPr>
        <w:t xml:space="preserve"> </w:t>
      </w:r>
      <w:r w:rsidR="00CD0A1E" w:rsidRPr="00EE4014">
        <w:t>stavby</w:t>
      </w:r>
      <w:r w:rsidR="00CD0A1E" w:rsidRPr="00EE4014">
        <w:rPr>
          <w:lang w:val="en-US"/>
        </w:rPr>
        <w:t xml:space="preserve"> </w:t>
      </w:r>
      <w:r w:rsidR="00CD0A1E" w:rsidRPr="00EE4014">
        <w:t>uvedené</w:t>
      </w:r>
      <w:r w:rsidR="00CD0A1E" w:rsidRPr="00EE4014">
        <w:rPr>
          <w:lang w:val="en-US"/>
        </w:rPr>
        <w:t xml:space="preserve"> v §104 </w:t>
      </w:r>
      <w:proofErr w:type="spellStart"/>
      <w:r w:rsidR="00CD0A1E" w:rsidRPr="00EE4014">
        <w:t>odst</w:t>
      </w:r>
      <w:proofErr w:type="spellEnd"/>
      <w:r w:rsidR="00CD0A1E" w:rsidRPr="00EE4014">
        <w:rPr>
          <w:lang w:val="en-US"/>
        </w:rPr>
        <w:t xml:space="preserve">. 1 </w:t>
      </w:r>
      <w:proofErr w:type="spellStart"/>
      <w:r w:rsidR="00CD0A1E" w:rsidRPr="00EE4014">
        <w:t>písm</w:t>
      </w:r>
      <w:proofErr w:type="spellEnd"/>
      <w:r w:rsidR="00CD0A1E" w:rsidRPr="00EE4014">
        <w:rPr>
          <w:lang w:val="en-US"/>
        </w:rPr>
        <w:t xml:space="preserve">. a) </w:t>
      </w:r>
      <w:r w:rsidR="00CD0A1E" w:rsidRPr="00EE4014">
        <w:t>až</w:t>
      </w:r>
      <w:r w:rsidR="00CD0A1E" w:rsidRPr="00EE4014">
        <w:rPr>
          <w:lang w:val="en-US"/>
        </w:rPr>
        <w:t xml:space="preserve"> e) </w:t>
      </w:r>
      <w:r w:rsidR="00CD0A1E" w:rsidRPr="00EE4014">
        <w:t>stavebního</w:t>
      </w:r>
      <w:r w:rsidR="00CD0A1E" w:rsidRPr="00EE4014">
        <w:rPr>
          <w:lang w:val="en-US"/>
        </w:rPr>
        <w:t xml:space="preserve"> </w:t>
      </w:r>
      <w:r w:rsidR="00CD0A1E" w:rsidRPr="00EE4014">
        <w:t>zákona</w:t>
      </w:r>
      <w:r w:rsidR="00CD0A1E" w:rsidRPr="00EE4014">
        <w:rPr>
          <w:lang w:val="en-US"/>
        </w:rPr>
        <w:t xml:space="preserve"> </w:t>
      </w:r>
      <w:r w:rsidR="00CD0A1E" w:rsidRPr="00EE4014">
        <w:t>nebo</w:t>
      </w:r>
      <w:r w:rsidR="00CD0A1E" w:rsidRPr="00EE4014">
        <w:rPr>
          <w:lang w:val="en-US"/>
        </w:rPr>
        <w:t xml:space="preserve"> pro </w:t>
      </w:r>
      <w:r w:rsidR="00CD0A1E" w:rsidRPr="00EE4014">
        <w:t>vydání</w:t>
      </w:r>
      <w:r w:rsidR="00CD0A1E" w:rsidRPr="00EE4014">
        <w:rPr>
          <w:lang w:val="en-US"/>
        </w:rPr>
        <w:t xml:space="preserve"> </w:t>
      </w:r>
      <w:r w:rsidRPr="00EE4014">
        <w:rPr>
          <w:bCs/>
        </w:rPr>
        <w:t>stavebního povolení v podrobnostech projektové dokumentace pro provádění stavby (DSJ)</w:t>
      </w:r>
      <w:r w:rsidR="00EC4928">
        <w:rPr>
          <w:bCs/>
        </w:rPr>
        <w:t>.</w:t>
      </w:r>
    </w:p>
    <w:p w:rsidR="00EC4928" w:rsidRDefault="00EC4928" w:rsidP="00680069">
      <w:pPr>
        <w:pStyle w:val="A-odstavecodsazensodrkami"/>
        <w:keepNext/>
        <w:numPr>
          <w:ilvl w:val="0"/>
          <w:numId w:val="0"/>
        </w:numPr>
        <w:rPr>
          <w:bCs/>
          <w:color w:val="000000"/>
        </w:rPr>
      </w:pPr>
    </w:p>
    <w:p w:rsidR="00680069" w:rsidRDefault="00680069" w:rsidP="00680069">
      <w:pPr>
        <w:pStyle w:val="A-odstavecodsazensodrkami"/>
        <w:keepNext/>
        <w:numPr>
          <w:ilvl w:val="0"/>
          <w:numId w:val="0"/>
        </w:numPr>
        <w:rPr>
          <w:color w:val="000000"/>
        </w:rPr>
      </w:pPr>
      <w:r w:rsidRPr="00B72F16">
        <w:rPr>
          <w:bCs/>
          <w:color w:val="000000"/>
        </w:rPr>
        <w:t>Předmětem smlouvy je zpracování a zajištění:</w:t>
      </w:r>
    </w:p>
    <w:p w:rsidR="00680069" w:rsidRDefault="00680069" w:rsidP="00680069">
      <w:pPr>
        <w:rPr>
          <w:rFonts w:cs="Arial"/>
          <w:b/>
          <w:szCs w:val="22"/>
          <w:u w:val="single"/>
        </w:rPr>
      </w:pPr>
    </w:p>
    <w:p w:rsidR="00440DE8" w:rsidRDefault="00EC4928" w:rsidP="007317EB">
      <w:pPr>
        <w:pStyle w:val="Default"/>
        <w:jc w:val="both"/>
        <w:rPr>
          <w:rFonts w:ascii="Arial CE" w:hAnsi="Arial CE"/>
          <w:sz w:val="22"/>
          <w:szCs w:val="22"/>
        </w:rPr>
      </w:pPr>
      <w:r>
        <w:rPr>
          <w:rFonts w:ascii="Arial CE" w:hAnsi="Arial CE"/>
          <w:sz w:val="22"/>
          <w:szCs w:val="22"/>
        </w:rPr>
        <w:t xml:space="preserve">Úpravy </w:t>
      </w:r>
      <w:r w:rsidR="007132AE">
        <w:rPr>
          <w:rFonts w:ascii="Arial CE" w:hAnsi="Arial CE"/>
          <w:sz w:val="22"/>
          <w:szCs w:val="22"/>
        </w:rPr>
        <w:t xml:space="preserve">technického řešení stávající </w:t>
      </w:r>
      <w:r w:rsidR="0003696D">
        <w:rPr>
          <w:rFonts w:ascii="Arial CE" w:hAnsi="Arial CE"/>
          <w:sz w:val="22"/>
          <w:szCs w:val="22"/>
        </w:rPr>
        <w:t>j</w:t>
      </w:r>
      <w:r w:rsidR="0003696D" w:rsidRPr="0003696D">
        <w:rPr>
          <w:rFonts w:ascii="Arial CE" w:hAnsi="Arial CE"/>
          <w:sz w:val="22"/>
          <w:szCs w:val="22"/>
        </w:rPr>
        <w:t xml:space="preserve">ednostupňové projektové dokumentace (DSJ) </w:t>
      </w:r>
      <w:r w:rsidR="00440DE8" w:rsidRPr="00440DE8">
        <w:rPr>
          <w:rFonts w:ascii="Arial CE" w:hAnsi="Arial CE"/>
          <w:sz w:val="22"/>
          <w:szCs w:val="22"/>
        </w:rPr>
        <w:t xml:space="preserve">RH </w:t>
      </w:r>
      <w:proofErr w:type="gramStart"/>
      <w:r w:rsidR="00440DE8" w:rsidRPr="00440DE8">
        <w:rPr>
          <w:rFonts w:ascii="Arial CE" w:hAnsi="Arial CE"/>
          <w:sz w:val="22"/>
          <w:szCs w:val="22"/>
        </w:rPr>
        <w:t>Přísečnice - rekonstrukce</w:t>
      </w:r>
      <w:proofErr w:type="gramEnd"/>
      <w:r w:rsidR="00440DE8" w:rsidRPr="00440DE8">
        <w:rPr>
          <w:rFonts w:ascii="Arial CE" w:hAnsi="Arial CE"/>
          <w:sz w:val="22"/>
          <w:szCs w:val="22"/>
        </w:rPr>
        <w:t xml:space="preserve"> MVE</w:t>
      </w:r>
      <w:r w:rsidR="00440DE8">
        <w:rPr>
          <w:rFonts w:ascii="Arial CE" w:hAnsi="Arial CE"/>
          <w:sz w:val="22"/>
          <w:szCs w:val="22"/>
        </w:rPr>
        <w:t>, s ohledem na nerealizování související akce „RH Přísečnice – rekonstrukce zásobení vodou</w:t>
      </w:r>
      <w:r>
        <w:rPr>
          <w:rFonts w:ascii="Arial CE" w:hAnsi="Arial CE"/>
          <w:sz w:val="22"/>
          <w:szCs w:val="22"/>
        </w:rPr>
        <w:t>“</w:t>
      </w:r>
      <w:r w:rsidR="002F241D">
        <w:rPr>
          <w:rFonts w:ascii="Arial CE" w:hAnsi="Arial CE"/>
          <w:sz w:val="22"/>
          <w:szCs w:val="22"/>
        </w:rPr>
        <w:t xml:space="preserve"> a </w:t>
      </w:r>
      <w:r w:rsidR="00B77113">
        <w:rPr>
          <w:rFonts w:ascii="Arial CE" w:hAnsi="Arial CE"/>
          <w:sz w:val="22"/>
          <w:szCs w:val="22"/>
        </w:rPr>
        <w:t xml:space="preserve">s tím spojené zajištění připojení MVE </w:t>
      </w:r>
      <w:r w:rsidR="00B77113" w:rsidRPr="00C8716C">
        <w:rPr>
          <w:rFonts w:ascii="Arial CE" w:hAnsi="Arial CE"/>
          <w:color w:val="auto"/>
          <w:sz w:val="22"/>
          <w:szCs w:val="22"/>
        </w:rPr>
        <w:t xml:space="preserve">bez dodávky </w:t>
      </w:r>
      <w:r w:rsidR="00B77113">
        <w:rPr>
          <w:rFonts w:ascii="Arial CE" w:hAnsi="Arial CE"/>
          <w:sz w:val="22"/>
          <w:szCs w:val="22"/>
        </w:rPr>
        <w:t>nového</w:t>
      </w:r>
      <w:r w:rsidR="00C8716C">
        <w:rPr>
          <w:rFonts w:ascii="Arial CE" w:hAnsi="Arial CE"/>
          <w:sz w:val="22"/>
          <w:szCs w:val="22"/>
        </w:rPr>
        <w:t xml:space="preserve"> </w:t>
      </w:r>
      <w:r w:rsidR="00C8716C" w:rsidRPr="00B9577A">
        <w:rPr>
          <w:rFonts w:ascii="Arial CE" w:hAnsi="Arial CE"/>
          <w:color w:val="auto"/>
          <w:sz w:val="22"/>
          <w:szCs w:val="22"/>
        </w:rPr>
        <w:t>přívodního</w:t>
      </w:r>
      <w:r w:rsidR="00B77113">
        <w:rPr>
          <w:rFonts w:ascii="Arial CE" w:hAnsi="Arial CE"/>
          <w:sz w:val="22"/>
          <w:szCs w:val="22"/>
        </w:rPr>
        <w:t xml:space="preserve"> potrubí.</w:t>
      </w:r>
    </w:p>
    <w:p w:rsidR="00440DE8" w:rsidRDefault="00440DE8" w:rsidP="007317EB">
      <w:pPr>
        <w:pStyle w:val="Default"/>
        <w:jc w:val="both"/>
        <w:rPr>
          <w:rFonts w:ascii="Arial CE" w:hAnsi="Arial CE"/>
          <w:sz w:val="22"/>
          <w:szCs w:val="22"/>
        </w:rPr>
      </w:pPr>
    </w:p>
    <w:p w:rsidR="00242D51" w:rsidRDefault="00242D51" w:rsidP="001251EF">
      <w:pPr>
        <w:rPr>
          <w:rFonts w:eastAsia="Arial CE"/>
        </w:rPr>
      </w:pPr>
    </w:p>
    <w:p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rsidR="00404FA3" w:rsidRDefault="00404FA3" w:rsidP="001251EF"/>
    <w:p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rsidR="009B13D4" w:rsidRPr="009B13D4" w:rsidRDefault="009B13D4" w:rsidP="009B13D4">
      <w:pPr>
        <w:autoSpaceDE w:val="0"/>
        <w:autoSpaceDN w:val="0"/>
        <w:adjustRightInd w:val="0"/>
        <w:jc w:val="center"/>
        <w:rPr>
          <w:rFonts w:cs="Arial"/>
          <w:b/>
          <w:szCs w:val="22"/>
          <w:u w:val="single"/>
        </w:rPr>
      </w:pPr>
    </w:p>
    <w:p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rsidR="009B13D4" w:rsidRPr="009B13D4" w:rsidRDefault="009B13D4" w:rsidP="009B13D4">
      <w:pPr>
        <w:autoSpaceDE w:val="0"/>
        <w:autoSpaceDN w:val="0"/>
        <w:adjustRightInd w:val="0"/>
        <w:rPr>
          <w:rFonts w:cs="Arial"/>
          <w:szCs w:val="22"/>
        </w:rPr>
      </w:pPr>
    </w:p>
    <w:p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rsidR="009B13D4" w:rsidRPr="009B13D4" w:rsidRDefault="009B13D4" w:rsidP="009B13D4">
      <w:pPr>
        <w:autoSpaceDE w:val="0"/>
        <w:autoSpaceDN w:val="0"/>
        <w:adjustRightInd w:val="0"/>
        <w:rPr>
          <w:rFonts w:cs="Arial"/>
          <w:szCs w:val="22"/>
        </w:rPr>
      </w:pPr>
    </w:p>
    <w:p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rsidR="009B13D4" w:rsidRPr="009B13D4" w:rsidRDefault="008F1139" w:rsidP="007317EB">
      <w:pPr>
        <w:pStyle w:val="Odstavecseseznamem"/>
        <w:numPr>
          <w:ilvl w:val="0"/>
          <w:numId w:val="40"/>
        </w:numPr>
        <w:ind w:left="426" w:hanging="426"/>
        <w:contextualSpacing w:val="0"/>
        <w:rPr>
          <w:rFonts w:cs="Arial"/>
          <w:szCs w:val="22"/>
        </w:rPr>
      </w:pPr>
      <w:r>
        <w:rPr>
          <w:rFonts w:cs="Arial"/>
          <w:szCs w:val="22"/>
        </w:rPr>
        <w:t>Aktuální k</w:t>
      </w:r>
      <w:r w:rsidR="009B13D4" w:rsidRPr="00B43E05">
        <w:rPr>
          <w:rFonts w:cs="Arial"/>
          <w:szCs w:val="22"/>
        </w:rPr>
        <w:t>ontrolní rozpočet stavby zpracovaný jako soupis prací a oceněný soupis prací dle</w:t>
      </w:r>
      <w:r w:rsidR="001006ED">
        <w:rPr>
          <w:rFonts w:cs="Arial"/>
          <w:szCs w:val="22"/>
        </w:rPr>
        <w:t> </w:t>
      </w:r>
      <w:r w:rsidR="009C18D9" w:rsidRPr="00B43E05">
        <w:rPr>
          <w:rFonts w:cs="Arial"/>
          <w:szCs w:val="22"/>
        </w:rPr>
        <w:t>zákona</w:t>
      </w:r>
      <w:r w:rsidR="009B13D4" w:rsidRPr="00B43E05">
        <w:rPr>
          <w:rFonts w:cs="Arial"/>
          <w:szCs w:val="22"/>
        </w:rPr>
        <w:t xml:space="preserve"> č. 134/2016 Sb., v platném znění, který se zpracuje vedle běžných výstupů z</w:t>
      </w:r>
      <w:r w:rsidR="001006ED">
        <w:rPr>
          <w:rFonts w:cs="Arial"/>
          <w:szCs w:val="22"/>
        </w:rPr>
        <w:t> </w:t>
      </w:r>
      <w:r w:rsidR="009B13D4" w:rsidRPr="009B13D4">
        <w:rPr>
          <w:rFonts w:cs="Arial"/>
          <w:szCs w:val="22"/>
        </w:rPr>
        <w:t xml:space="preserve">programu KROS také v elektronické podobě ve formátu (_.xc4). Soupis prací </w:t>
      </w:r>
      <w:r w:rsidR="00B9577A">
        <w:rPr>
          <w:rFonts w:cs="Arial"/>
          <w:szCs w:val="22"/>
        </w:rPr>
        <w:t>a o</w:t>
      </w:r>
      <w:r w:rsidR="009B13D4" w:rsidRPr="009B13D4">
        <w:rPr>
          <w:rFonts w:cs="Arial"/>
          <w:szCs w:val="22"/>
        </w:rPr>
        <w:t xml:space="preserve">ceněný soupis </w:t>
      </w:r>
      <w:proofErr w:type="gramStart"/>
      <w:r w:rsidR="009B13D4" w:rsidRPr="009B13D4">
        <w:rPr>
          <w:rFonts w:cs="Arial"/>
          <w:szCs w:val="22"/>
        </w:rPr>
        <w:t>prací - 2x</w:t>
      </w:r>
      <w:proofErr w:type="gramEnd"/>
      <w:r w:rsidR="009B13D4" w:rsidRPr="009B13D4">
        <w:rPr>
          <w:rFonts w:cs="Arial"/>
          <w:szCs w:val="22"/>
        </w:rPr>
        <w:t xml:space="preserve"> </w:t>
      </w:r>
      <w:proofErr w:type="spellStart"/>
      <w:r w:rsidR="009B13D4" w:rsidRPr="009B13D4">
        <w:rPr>
          <w:rFonts w:cs="Arial"/>
          <w:szCs w:val="22"/>
        </w:rPr>
        <w:t>paré</w:t>
      </w:r>
      <w:proofErr w:type="spellEnd"/>
      <w:r w:rsidR="009B13D4" w:rsidRPr="009B13D4">
        <w:rPr>
          <w:rFonts w:cs="Arial"/>
          <w:szCs w:val="22"/>
        </w:rPr>
        <w:t xml:space="preserve"> tištěné se</w:t>
      </w:r>
      <w:r w:rsidR="001006ED">
        <w:rPr>
          <w:rFonts w:cs="Arial"/>
          <w:szCs w:val="22"/>
        </w:rPr>
        <w:t> </w:t>
      </w:r>
      <w:r w:rsidR="009B13D4" w:rsidRPr="009B13D4">
        <w:rPr>
          <w:rFonts w:cs="Arial"/>
          <w:szCs w:val="22"/>
        </w:rPr>
        <w:t xml:space="preserve">vloží se do </w:t>
      </w:r>
      <w:proofErr w:type="spellStart"/>
      <w:r w:rsidR="009B13D4" w:rsidRPr="009B13D4">
        <w:rPr>
          <w:rFonts w:cs="Arial"/>
          <w:szCs w:val="22"/>
        </w:rPr>
        <w:t>paré</w:t>
      </w:r>
      <w:proofErr w:type="spellEnd"/>
      <w:r w:rsidR="009B13D4" w:rsidRPr="009B13D4">
        <w:rPr>
          <w:rFonts w:cs="Arial"/>
          <w:szCs w:val="22"/>
        </w:rPr>
        <w:t xml:space="preserve"> č.</w:t>
      </w:r>
      <w:r w:rsidR="00C95C0D">
        <w:rPr>
          <w:rFonts w:cs="Arial"/>
          <w:szCs w:val="22"/>
        </w:rPr>
        <w:t> </w:t>
      </w:r>
      <w:r w:rsidR="009B13D4" w:rsidRPr="009B13D4">
        <w:rPr>
          <w:rFonts w:cs="Arial"/>
          <w:szCs w:val="22"/>
        </w:rPr>
        <w:t>1 a č. 2 PD. Dále se oceněný soupis dodá 1x na CD.</w:t>
      </w:r>
    </w:p>
    <w:p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rsidR="009B13D4" w:rsidRPr="00B43E05" w:rsidRDefault="009B13D4" w:rsidP="00D420C2">
      <w:pPr>
        <w:rPr>
          <w:rFonts w:cs="Arial"/>
          <w:szCs w:val="22"/>
        </w:rPr>
      </w:pPr>
      <w:r w:rsidRPr="00B43E05">
        <w:rPr>
          <w:rFonts w:cs="Arial"/>
          <w:szCs w:val="22"/>
        </w:rPr>
        <w:t xml:space="preserve"> </w:t>
      </w:r>
    </w:p>
    <w:p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rsidR="00C12B6A" w:rsidRDefault="00C12B6A" w:rsidP="00CA30D6">
      <w:pPr>
        <w:autoSpaceDE w:val="0"/>
        <w:autoSpaceDN w:val="0"/>
        <w:adjustRightInd w:val="0"/>
        <w:rPr>
          <w:rFonts w:cs="Arial"/>
          <w:szCs w:val="22"/>
        </w:rPr>
      </w:pPr>
    </w:p>
    <w:p w:rsidR="00CA30D6" w:rsidRPr="00CA30D6" w:rsidRDefault="00CA30D6" w:rsidP="00CA30D6">
      <w:pPr>
        <w:rPr>
          <w:rFonts w:cs="Arial"/>
          <w:szCs w:val="22"/>
        </w:rPr>
      </w:pPr>
    </w:p>
    <w:p w:rsidR="009B13D4" w:rsidRPr="009B13D4" w:rsidRDefault="009B13D4" w:rsidP="009B13D4">
      <w:pPr>
        <w:autoSpaceDE w:val="0"/>
        <w:autoSpaceDN w:val="0"/>
        <w:adjustRightInd w:val="0"/>
        <w:rPr>
          <w:rFonts w:cs="Arial"/>
          <w:szCs w:val="22"/>
        </w:rPr>
      </w:pPr>
      <w:r w:rsidRPr="009B13D4">
        <w:rPr>
          <w:rFonts w:cs="Arial"/>
          <w:szCs w:val="22"/>
        </w:rPr>
        <w:lastRenderedPageBreak/>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rsidR="009B13D4" w:rsidRPr="009B13D4" w:rsidRDefault="009B13D4" w:rsidP="009B13D4">
      <w:pPr>
        <w:autoSpaceDE w:val="0"/>
        <w:autoSpaceDN w:val="0"/>
        <w:adjustRightInd w:val="0"/>
        <w:rPr>
          <w:rFonts w:cs="Arial"/>
          <w:szCs w:val="22"/>
        </w:rPr>
      </w:pPr>
    </w:p>
    <w:p w:rsidR="001006ED" w:rsidRDefault="001006ED" w:rsidP="009B13D4">
      <w:pPr>
        <w:autoSpaceDE w:val="0"/>
        <w:autoSpaceDN w:val="0"/>
        <w:adjustRightInd w:val="0"/>
        <w:rPr>
          <w:rFonts w:cs="Arial"/>
          <w:b/>
          <w:szCs w:val="22"/>
        </w:rPr>
      </w:pPr>
    </w:p>
    <w:p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rsidR="009B13D4" w:rsidRPr="009B13D4" w:rsidRDefault="009B13D4" w:rsidP="009B13D4">
      <w:pPr>
        <w:autoSpaceDE w:val="0"/>
        <w:autoSpaceDN w:val="0"/>
        <w:adjustRightInd w:val="0"/>
        <w:rPr>
          <w:rFonts w:cs="Arial"/>
          <w:szCs w:val="22"/>
        </w:rPr>
      </w:pPr>
      <w:r w:rsidRPr="009B13D4">
        <w:rPr>
          <w:rFonts w:cs="Arial"/>
          <w:szCs w:val="22"/>
        </w:rPr>
        <w:t xml:space="preserve">Zhotovitel v průběhu plnění díla </w:t>
      </w:r>
      <w:r w:rsidR="008F1139">
        <w:rPr>
          <w:rFonts w:cs="Arial"/>
          <w:szCs w:val="22"/>
        </w:rPr>
        <w:t>z</w:t>
      </w:r>
      <w:r w:rsidRPr="009B13D4">
        <w:rPr>
          <w:rFonts w:cs="Arial"/>
          <w:szCs w:val="22"/>
        </w:rPr>
        <w:t>organiz</w:t>
      </w:r>
      <w:r w:rsidR="008F1139">
        <w:rPr>
          <w:rFonts w:cs="Arial"/>
          <w:szCs w:val="22"/>
        </w:rPr>
        <w:t>uje 1</w:t>
      </w:r>
      <w:r w:rsidRPr="009B13D4">
        <w:rPr>
          <w:rFonts w:cs="Arial"/>
          <w:szCs w:val="22"/>
        </w:rPr>
        <w:t xml:space="preserve"> výrobní výbor</w:t>
      </w:r>
      <w:r w:rsidR="008F1139">
        <w:rPr>
          <w:rFonts w:cs="Arial"/>
          <w:szCs w:val="22"/>
        </w:rPr>
        <w:t>.</w:t>
      </w:r>
    </w:p>
    <w:p w:rsidR="009B13D4" w:rsidRPr="009B13D4" w:rsidRDefault="009B13D4" w:rsidP="009B13D4">
      <w:pPr>
        <w:autoSpaceDE w:val="0"/>
        <w:autoSpaceDN w:val="0"/>
        <w:adjustRightInd w:val="0"/>
        <w:rPr>
          <w:rFonts w:cs="Arial"/>
          <w:szCs w:val="22"/>
        </w:rPr>
      </w:pPr>
    </w:p>
    <w:p w:rsid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w:t>
      </w:r>
    </w:p>
    <w:p w:rsidR="008F1139" w:rsidRPr="009B13D4" w:rsidRDefault="008F1139" w:rsidP="009B13D4">
      <w:pPr>
        <w:autoSpaceDE w:val="0"/>
        <w:autoSpaceDN w:val="0"/>
        <w:adjustRightInd w:val="0"/>
        <w:rPr>
          <w:rFonts w:cs="Arial"/>
          <w:szCs w:val="22"/>
        </w:rPr>
      </w:pPr>
    </w:p>
    <w:p w:rsidR="009B13D4" w:rsidRPr="009B13D4" w:rsidRDefault="009B13D4" w:rsidP="008F1139">
      <w:pPr>
        <w:autoSpaceDE w:val="0"/>
        <w:autoSpaceDN w:val="0"/>
        <w:adjustRightInd w:val="0"/>
        <w:rPr>
          <w:rFonts w:cs="Arial"/>
          <w:szCs w:val="22"/>
        </w:rPr>
      </w:pPr>
      <w:r w:rsidRPr="009B13D4">
        <w:rPr>
          <w:rFonts w:cs="Arial"/>
          <w:szCs w:val="22"/>
        </w:rPr>
        <w:t xml:space="preserve">Po úspěšném </w:t>
      </w:r>
      <w:r w:rsidR="008F1139">
        <w:rPr>
          <w:rFonts w:cs="Arial"/>
          <w:szCs w:val="22"/>
        </w:rPr>
        <w:t xml:space="preserve">odsouhlasení na </w:t>
      </w:r>
      <w:r w:rsidRPr="009B13D4">
        <w:rPr>
          <w:rFonts w:cs="Arial"/>
          <w:szCs w:val="22"/>
        </w:rPr>
        <w:t xml:space="preserve">VV zhotovitel zajistí kompletaci </w:t>
      </w:r>
      <w:r w:rsidR="00A36D6C">
        <w:rPr>
          <w:rFonts w:cs="Arial"/>
          <w:szCs w:val="22"/>
        </w:rPr>
        <w:t xml:space="preserve">všech </w:t>
      </w:r>
      <w:proofErr w:type="spellStart"/>
      <w:r w:rsidR="00A36D6C">
        <w:rPr>
          <w:rFonts w:cs="Arial"/>
          <w:szCs w:val="22"/>
        </w:rPr>
        <w:t>paré</w:t>
      </w:r>
      <w:proofErr w:type="spellEnd"/>
      <w:r w:rsidR="00A36D6C">
        <w:rPr>
          <w:rFonts w:cs="Arial"/>
          <w:szCs w:val="22"/>
        </w:rPr>
        <w:t xml:space="preserve"> </w:t>
      </w:r>
      <w:r w:rsidRPr="009B13D4">
        <w:rPr>
          <w:rFonts w:cs="Arial"/>
          <w:szCs w:val="22"/>
        </w:rPr>
        <w:t xml:space="preserve">PD. </w:t>
      </w:r>
    </w:p>
    <w:p w:rsidR="009B13D4" w:rsidRPr="009B13D4" w:rsidRDefault="009B13D4" w:rsidP="009B13D4">
      <w:pPr>
        <w:autoSpaceDE w:val="0"/>
        <w:autoSpaceDN w:val="0"/>
        <w:adjustRightInd w:val="0"/>
        <w:rPr>
          <w:rFonts w:cs="Arial"/>
          <w:szCs w:val="22"/>
        </w:rPr>
      </w:pPr>
    </w:p>
    <w:p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rsidR="009B13D4" w:rsidRPr="009B13D4" w:rsidRDefault="009B13D4" w:rsidP="009B13D4">
      <w:pPr>
        <w:autoSpaceDE w:val="0"/>
        <w:autoSpaceDN w:val="0"/>
        <w:adjustRightInd w:val="0"/>
        <w:rPr>
          <w:rFonts w:cs="Arial"/>
          <w:szCs w:val="22"/>
        </w:rPr>
      </w:pPr>
    </w:p>
    <w:p w:rsidR="00653F71" w:rsidRDefault="00653F71" w:rsidP="00653F71">
      <w:pPr>
        <w:autoSpaceDE w:val="0"/>
        <w:autoSpaceDN w:val="0"/>
        <w:adjustRightInd w:val="0"/>
        <w:rPr>
          <w:rFonts w:cs="Arial"/>
          <w:szCs w:val="22"/>
        </w:rPr>
      </w:pPr>
    </w:p>
    <w:p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rsidR="00A075C1" w:rsidRPr="00B1004E" w:rsidRDefault="00A075C1" w:rsidP="00AD70F8">
      <w:pPr>
        <w:rPr>
          <w:rFonts w:cs="Arial"/>
          <w:szCs w:val="22"/>
        </w:rPr>
      </w:pPr>
    </w:p>
    <w:p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rsidR="001D1C96" w:rsidRPr="001D1C96" w:rsidRDefault="001D1C96" w:rsidP="00EE2F0F">
      <w:pPr>
        <w:pStyle w:val="Odstavecseseznamem"/>
        <w:numPr>
          <w:ilvl w:val="0"/>
          <w:numId w:val="39"/>
        </w:numPr>
        <w:autoSpaceDE w:val="0"/>
        <w:autoSpaceDN w:val="0"/>
        <w:adjustRightInd w:val="0"/>
        <w:ind w:left="426" w:hanging="426"/>
        <w:contextualSpacing w:val="0"/>
        <w:rPr>
          <w:rFonts w:cs="Arial"/>
          <w:color w:val="000000"/>
          <w:szCs w:val="22"/>
        </w:rPr>
      </w:pPr>
      <w:r w:rsidRPr="001D1C96">
        <w:rPr>
          <w:rFonts w:cs="Arial"/>
          <w:color w:val="000000"/>
          <w:szCs w:val="22"/>
        </w:rPr>
        <w:t>zahájení prací na předmětu plnění:</w:t>
      </w:r>
    </w:p>
    <w:p w:rsidR="00ED471F" w:rsidRPr="00ED471F" w:rsidRDefault="00ED471F" w:rsidP="00ED471F">
      <w:pPr>
        <w:pStyle w:val="Odstavecseseznamem"/>
        <w:autoSpaceDE w:val="0"/>
        <w:autoSpaceDN w:val="0"/>
        <w:adjustRightInd w:val="0"/>
        <w:ind w:left="2133" w:firstLine="699"/>
        <w:rPr>
          <w:rFonts w:cs="Arial"/>
          <w:b/>
          <w:color w:val="000000"/>
          <w:szCs w:val="22"/>
        </w:rPr>
      </w:pPr>
      <w:r w:rsidRPr="00ED471F">
        <w:rPr>
          <w:rFonts w:cs="Arial"/>
          <w:b/>
          <w:color w:val="000000"/>
          <w:szCs w:val="22"/>
        </w:rPr>
        <w:t>bez zbytečného odkladu po nabytí účinnosti smlouvy</w:t>
      </w:r>
    </w:p>
    <w:p w:rsidR="001D1C96" w:rsidRPr="001D1C96" w:rsidRDefault="001D1C96" w:rsidP="00EE2F0F">
      <w:pPr>
        <w:autoSpaceDE w:val="0"/>
        <w:autoSpaceDN w:val="0"/>
        <w:adjustRightInd w:val="0"/>
        <w:ind w:left="426" w:hanging="426"/>
        <w:rPr>
          <w:rFonts w:cs="Arial"/>
          <w:color w:val="000000"/>
          <w:szCs w:val="22"/>
        </w:rPr>
      </w:pPr>
    </w:p>
    <w:p w:rsidR="001D1C96" w:rsidRPr="001D1C96" w:rsidRDefault="001D1C96" w:rsidP="00EE2F0F">
      <w:pPr>
        <w:pStyle w:val="Odstavecseseznamem"/>
        <w:numPr>
          <w:ilvl w:val="0"/>
          <w:numId w:val="39"/>
        </w:numPr>
        <w:autoSpaceDE w:val="0"/>
        <w:autoSpaceDN w:val="0"/>
        <w:adjustRightInd w:val="0"/>
        <w:ind w:left="426" w:hanging="426"/>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w:t>
      </w:r>
      <w:r w:rsidR="008F1139">
        <w:rPr>
          <w:rFonts w:cs="Arial"/>
          <w:color w:val="000000"/>
          <w:szCs w:val="22"/>
        </w:rPr>
        <w:t>6</w:t>
      </w:r>
      <w:r w:rsidRPr="001D1C96">
        <w:rPr>
          <w:rFonts w:cs="Arial"/>
          <w:color w:val="000000"/>
          <w:szCs w:val="22"/>
        </w:rPr>
        <w:t xml:space="preserve"> x tištěné + 2 x elektronicky):</w:t>
      </w:r>
    </w:p>
    <w:p w:rsidR="001D1C96" w:rsidRPr="001D1C96" w:rsidRDefault="00C12B6A" w:rsidP="00EE2F0F">
      <w:pPr>
        <w:autoSpaceDE w:val="0"/>
        <w:autoSpaceDN w:val="0"/>
        <w:adjustRightInd w:val="0"/>
        <w:ind w:left="426" w:hanging="426"/>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E81FC9">
        <w:rPr>
          <w:rFonts w:cs="Arial"/>
          <w:b/>
          <w:color w:val="000000"/>
          <w:szCs w:val="22"/>
        </w:rPr>
        <w:tab/>
      </w:r>
      <w:r w:rsidR="00E81FC9">
        <w:rPr>
          <w:rFonts w:cs="Arial"/>
          <w:b/>
          <w:color w:val="000000"/>
          <w:szCs w:val="22"/>
        </w:rPr>
        <w:tab/>
      </w:r>
      <w:r w:rsidR="00E81FC9">
        <w:rPr>
          <w:rFonts w:cs="Arial"/>
          <w:b/>
          <w:color w:val="000000"/>
          <w:szCs w:val="22"/>
        </w:rPr>
        <w:tab/>
      </w:r>
      <w:r w:rsidR="00B9577A">
        <w:rPr>
          <w:rFonts w:cs="Arial"/>
          <w:b/>
          <w:color w:val="000000"/>
          <w:szCs w:val="22"/>
        </w:rPr>
        <w:tab/>
      </w:r>
      <w:r w:rsidR="00B9577A">
        <w:rPr>
          <w:rFonts w:cs="Arial"/>
          <w:b/>
          <w:color w:val="000000"/>
          <w:szCs w:val="22"/>
        </w:rPr>
        <w:tab/>
      </w:r>
      <w:r w:rsidR="00B9577A">
        <w:rPr>
          <w:rFonts w:cs="Arial"/>
          <w:b/>
          <w:color w:val="000000"/>
          <w:szCs w:val="22"/>
        </w:rPr>
        <w:tab/>
      </w:r>
      <w:r w:rsidR="00EE2F0F">
        <w:rPr>
          <w:rFonts w:cs="Arial"/>
          <w:b/>
          <w:color w:val="000000"/>
          <w:szCs w:val="22"/>
        </w:rPr>
        <w:tab/>
      </w:r>
      <w:r w:rsidR="00B70DB8">
        <w:rPr>
          <w:rFonts w:cs="Arial"/>
          <w:b/>
          <w:color w:val="000000"/>
          <w:szCs w:val="22"/>
        </w:rPr>
        <w:t xml:space="preserve">do </w:t>
      </w:r>
      <w:r w:rsidR="00B9577A" w:rsidRPr="00B70DB8">
        <w:rPr>
          <w:rFonts w:cs="Arial"/>
          <w:b/>
          <w:color w:val="000000"/>
          <w:szCs w:val="22"/>
        </w:rPr>
        <w:t>18.</w:t>
      </w:r>
      <w:r w:rsidR="00EE2F0F">
        <w:rPr>
          <w:rFonts w:cs="Arial"/>
          <w:b/>
          <w:color w:val="000000"/>
          <w:szCs w:val="22"/>
        </w:rPr>
        <w:t>0</w:t>
      </w:r>
      <w:r w:rsidR="00B9577A" w:rsidRPr="00B70DB8">
        <w:rPr>
          <w:rFonts w:cs="Arial"/>
          <w:b/>
          <w:color w:val="000000"/>
          <w:szCs w:val="22"/>
        </w:rPr>
        <w:t xml:space="preserve">3.2021 </w:t>
      </w:r>
      <w:r w:rsidR="008F1139">
        <w:rPr>
          <w:rFonts w:cs="Arial"/>
          <w:color w:val="000000"/>
          <w:szCs w:val="22"/>
        </w:rPr>
        <w:t xml:space="preserve"> </w:t>
      </w:r>
    </w:p>
    <w:p w:rsidR="00680069" w:rsidRPr="001D1C96" w:rsidRDefault="00680069" w:rsidP="00680069">
      <w:pPr>
        <w:ind w:left="426"/>
        <w:rPr>
          <w:rFonts w:cs="Arial"/>
          <w:szCs w:val="22"/>
        </w:rPr>
      </w:pPr>
    </w:p>
    <w:p w:rsidR="002329A3" w:rsidRDefault="002329A3" w:rsidP="002329A3">
      <w:pPr>
        <w:ind w:left="426"/>
        <w:rPr>
          <w:rFonts w:ascii="Helv" w:hAnsi="Helv" w:cs="Helv"/>
          <w:szCs w:val="22"/>
        </w:rPr>
      </w:pPr>
    </w:p>
    <w:p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rsidR="00F34A8E" w:rsidRDefault="00F34A8E" w:rsidP="003472AC">
      <w:pPr>
        <w:ind w:left="426"/>
        <w:rPr>
          <w:rFonts w:cs="Arial"/>
          <w:color w:val="000000"/>
          <w:szCs w:val="22"/>
        </w:rPr>
      </w:pPr>
    </w:p>
    <w:p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rsidR="009D1968" w:rsidRDefault="009D1968" w:rsidP="009D1968">
      <w:pPr>
        <w:rPr>
          <w:rFonts w:cs="Arial"/>
          <w:szCs w:val="22"/>
        </w:rPr>
      </w:pPr>
    </w:p>
    <w:p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414DA0">
        <w:rPr>
          <w:rFonts w:ascii="Arial CE" w:hAnsi="Arial CE" w:cs="Arial"/>
          <w:b/>
          <w:szCs w:val="22"/>
        </w:rPr>
        <w:t>9</w:t>
      </w:r>
      <w:r w:rsidR="007132AE">
        <w:rPr>
          <w:rFonts w:ascii="Arial CE" w:hAnsi="Arial CE" w:cs="Arial"/>
          <w:b/>
          <w:szCs w:val="22"/>
        </w:rPr>
        <w:t>0</w:t>
      </w:r>
      <w:r w:rsidR="00414DA0">
        <w:rPr>
          <w:rFonts w:ascii="Arial CE" w:hAnsi="Arial CE" w:cs="Arial"/>
          <w:b/>
          <w:szCs w:val="22"/>
        </w:rPr>
        <w:t xml:space="preserve"> 000</w:t>
      </w:r>
      <w:r w:rsidR="001F1AF6" w:rsidRPr="001F1AF6">
        <w:rPr>
          <w:rFonts w:ascii="Arial CE" w:hAnsi="Arial CE" w:cs="Arial"/>
          <w:b/>
          <w:szCs w:val="22"/>
        </w:rPr>
        <w:t>,00</w:t>
      </w:r>
      <w:r w:rsidRPr="001F1AF6">
        <w:rPr>
          <w:rFonts w:ascii="Arial CE" w:hAnsi="Arial CE" w:cs="Arial"/>
          <w:b/>
          <w:szCs w:val="22"/>
        </w:rPr>
        <w:t xml:space="preserve"> Kč bez DPH</w:t>
      </w:r>
    </w:p>
    <w:p w:rsidR="009D1181" w:rsidRPr="009D1181" w:rsidRDefault="009D1181" w:rsidP="009D1181">
      <w:pPr>
        <w:ind w:left="426"/>
        <w:rPr>
          <w:rFonts w:ascii="Arial CE" w:hAnsi="Arial CE" w:cs="Arial"/>
          <w:szCs w:val="22"/>
        </w:rPr>
      </w:pPr>
    </w:p>
    <w:p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rsidR="009D1968" w:rsidRDefault="009D1968" w:rsidP="00345C83">
      <w:pPr>
        <w:ind w:left="360"/>
        <w:rPr>
          <w:rFonts w:cs="Arial"/>
          <w:szCs w:val="22"/>
        </w:rPr>
      </w:pPr>
    </w:p>
    <w:p w:rsidR="00D72B6A" w:rsidRDefault="00D72B6A" w:rsidP="00345C83">
      <w:pPr>
        <w:ind w:left="360"/>
        <w:rPr>
          <w:rFonts w:cs="Arial"/>
          <w:szCs w:val="22"/>
        </w:rPr>
      </w:pPr>
    </w:p>
    <w:p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rsidR="009D1968" w:rsidRDefault="009D1968" w:rsidP="00345C83">
      <w:pPr>
        <w:ind w:left="360"/>
        <w:rPr>
          <w:rFonts w:cs="Arial"/>
          <w:szCs w:val="22"/>
        </w:rPr>
      </w:pPr>
    </w:p>
    <w:p w:rsidR="009D1181" w:rsidRPr="009D1181" w:rsidRDefault="009D1181" w:rsidP="00D72B6A">
      <w:pPr>
        <w:numPr>
          <w:ilvl w:val="0"/>
          <w:numId w:val="31"/>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rsidR="009D1181" w:rsidRPr="009D1181" w:rsidRDefault="009D1181" w:rsidP="009D1181">
      <w:pPr>
        <w:autoSpaceDE w:val="0"/>
        <w:autoSpaceDN w:val="0"/>
        <w:adjustRightInd w:val="0"/>
        <w:rPr>
          <w:rFonts w:ascii="Arial CE" w:hAnsi="Arial CE"/>
          <w:szCs w:val="22"/>
        </w:rPr>
      </w:pPr>
    </w:p>
    <w:p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 xml:space="preserve">Cena díla bude hrazena na základě konečné faktury, kterou bude provedeno vyúčtování po dokončení, předání a převzetí díla bez vad. </w:t>
      </w:r>
      <w:r w:rsidR="00E81FC9">
        <w:rPr>
          <w:rFonts w:ascii="Arial CE" w:hAnsi="Arial CE" w:cs="Arial"/>
          <w:szCs w:val="22"/>
        </w:rPr>
        <w:t xml:space="preserve"> F</w:t>
      </w:r>
      <w:r w:rsidRPr="009D1181">
        <w:rPr>
          <w:rFonts w:ascii="Arial CE" w:hAnsi="Arial CE" w:cs="Arial"/>
          <w:szCs w:val="22"/>
        </w:rPr>
        <w:t>aktur</w:t>
      </w:r>
      <w:r w:rsidR="00E81FC9">
        <w:rPr>
          <w:rFonts w:ascii="Arial CE" w:hAnsi="Arial CE" w:cs="Arial"/>
          <w:szCs w:val="22"/>
        </w:rPr>
        <w:t>u</w:t>
      </w:r>
      <w:r w:rsidRPr="009D1181">
        <w:rPr>
          <w:rFonts w:ascii="Arial CE" w:hAnsi="Arial CE" w:cs="Arial"/>
          <w:szCs w:val="22"/>
        </w:rPr>
        <w:t xml:space="preserve">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w:t>
      </w:r>
      <w:r w:rsidRPr="009D1181">
        <w:rPr>
          <w:rFonts w:ascii="Arial CE" w:hAnsi="Arial CE" w:cs="Arial"/>
          <w:szCs w:val="22"/>
        </w:rPr>
        <w:lastRenderedPageBreak/>
        <w:t>pozdějšího doručení faktury objednavateli nebude tato objednavatelem přijata a zhotovitel zajistí vystavení nové faktury k datu dalšího dílčího plnění.</w:t>
      </w:r>
    </w:p>
    <w:p w:rsidR="009D1181" w:rsidRPr="009D1181" w:rsidRDefault="009D1181" w:rsidP="00D72B6A">
      <w:pPr>
        <w:autoSpaceDE w:val="0"/>
        <w:autoSpaceDN w:val="0"/>
        <w:adjustRightInd w:val="0"/>
        <w:ind w:left="426" w:hanging="426"/>
        <w:rPr>
          <w:rFonts w:ascii="Arial CE" w:hAnsi="Arial CE" w:cs="Arial"/>
          <w:szCs w:val="22"/>
        </w:rPr>
      </w:pPr>
    </w:p>
    <w:p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rsidR="006C3692" w:rsidRPr="001C17C3" w:rsidRDefault="006C3692" w:rsidP="006C3692">
      <w:pPr>
        <w:suppressAutoHyphens/>
        <w:ind w:left="720"/>
        <w:contextualSpacing/>
        <w:rPr>
          <w:rFonts w:ascii="Arial CE" w:hAnsi="Arial CE" w:cs="Arial"/>
          <w:b/>
          <w:szCs w:val="22"/>
        </w:rPr>
      </w:pPr>
    </w:p>
    <w:p w:rsidR="009D1181" w:rsidRDefault="009D1181" w:rsidP="009D1181">
      <w:pPr>
        <w:numPr>
          <w:ilvl w:val="0"/>
          <w:numId w:val="28"/>
        </w:numPr>
        <w:suppressAutoHyphens/>
        <w:ind w:left="720"/>
        <w:contextualSpacing/>
        <w:rPr>
          <w:rFonts w:ascii="Arial CE" w:hAnsi="Arial CE" w:cs="Arial"/>
          <w:b/>
          <w:szCs w:val="22"/>
        </w:rPr>
      </w:pPr>
      <w:r w:rsidRPr="009D1181">
        <w:rPr>
          <w:rFonts w:ascii="Arial CE" w:hAnsi="Arial CE" w:cs="Arial"/>
          <w:szCs w:val="22"/>
        </w:rPr>
        <w:t xml:space="preserve">V případě </w:t>
      </w:r>
      <w:r w:rsidR="00E81FC9">
        <w:rPr>
          <w:rFonts w:ascii="Arial CE" w:hAnsi="Arial CE" w:cs="Arial"/>
          <w:szCs w:val="22"/>
        </w:rPr>
        <w:t xml:space="preserve">celkového </w:t>
      </w:r>
      <w:r w:rsidRPr="009D1181">
        <w:rPr>
          <w:rFonts w:ascii="Arial CE" w:hAnsi="Arial CE" w:cs="Arial"/>
          <w:szCs w:val="22"/>
        </w:rPr>
        <w:t>plnění dnem protokolárního předání a převzetí kompletní PD ve</w:t>
      </w:r>
      <w:r w:rsidR="00EE2F0F">
        <w:rPr>
          <w:rFonts w:ascii="Arial CE" w:hAnsi="Arial CE" w:cs="Arial"/>
          <w:szCs w:val="22"/>
        </w:rPr>
        <w:t> </w:t>
      </w:r>
      <w:r w:rsidRPr="009D1181">
        <w:rPr>
          <w:rFonts w:ascii="Arial CE" w:hAnsi="Arial CE" w:cs="Arial"/>
          <w:szCs w:val="22"/>
        </w:rPr>
        <w:t xml:space="preserve">výši </w:t>
      </w:r>
      <w:r w:rsidR="00E81FC9">
        <w:rPr>
          <w:rFonts w:ascii="Arial CE" w:hAnsi="Arial CE" w:cs="Arial"/>
          <w:szCs w:val="22"/>
        </w:rPr>
        <w:t>10</w:t>
      </w:r>
      <w:r w:rsidRPr="009D1181">
        <w:rPr>
          <w:rFonts w:ascii="Arial CE" w:hAnsi="Arial CE" w:cs="Arial"/>
          <w:szCs w:val="22"/>
        </w:rPr>
        <w:t>0</w:t>
      </w:r>
      <w:r w:rsidR="00C12B6A">
        <w:rPr>
          <w:rFonts w:ascii="Arial CE" w:hAnsi="Arial CE" w:cs="Arial"/>
          <w:szCs w:val="22"/>
        </w:rPr>
        <w:t xml:space="preserve"> </w:t>
      </w:r>
      <w:r w:rsidRPr="009D1181">
        <w:rPr>
          <w:rFonts w:ascii="Arial CE" w:hAnsi="Arial CE" w:cs="Arial"/>
          <w:szCs w:val="22"/>
        </w:rPr>
        <w:t>%</w:t>
      </w:r>
      <w:r w:rsidR="00E81FC9">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A36D6C">
        <w:rPr>
          <w:rFonts w:ascii="Arial CE" w:hAnsi="Arial CE" w:cs="Arial"/>
          <w:b/>
          <w:szCs w:val="22"/>
        </w:rPr>
        <w:t>9</w:t>
      </w:r>
      <w:r w:rsidR="00E81FC9">
        <w:rPr>
          <w:rFonts w:ascii="Arial CE" w:hAnsi="Arial CE" w:cs="Arial"/>
          <w:b/>
          <w:szCs w:val="22"/>
        </w:rPr>
        <w:t>0 0</w:t>
      </w:r>
      <w:r w:rsidR="00414DA0">
        <w:rPr>
          <w:rFonts w:ascii="Arial CE" w:hAnsi="Arial CE" w:cs="Arial"/>
          <w:b/>
          <w:szCs w:val="22"/>
        </w:rPr>
        <w:t>00</w:t>
      </w:r>
      <w:r w:rsidR="001F1AF6" w:rsidRPr="00C77081">
        <w:rPr>
          <w:rFonts w:ascii="Arial CE" w:hAnsi="Arial CE" w:cs="Arial"/>
          <w:b/>
          <w:szCs w:val="22"/>
        </w:rPr>
        <w:t>,00</w:t>
      </w:r>
      <w:r w:rsidRPr="00C71A51">
        <w:rPr>
          <w:rFonts w:ascii="Arial CE" w:hAnsi="Arial CE" w:cs="Arial"/>
          <w:b/>
          <w:bCs/>
          <w:szCs w:val="22"/>
        </w:rPr>
        <w:t xml:space="preserve"> Kč</w:t>
      </w:r>
      <w:r w:rsidRPr="00C71A51">
        <w:rPr>
          <w:rFonts w:ascii="Arial CE" w:hAnsi="Arial CE" w:cs="Arial"/>
          <w:b/>
          <w:szCs w:val="22"/>
        </w:rPr>
        <w:t xml:space="preserve"> bez DPH.</w:t>
      </w:r>
    </w:p>
    <w:p w:rsidR="006C3692" w:rsidRDefault="006C3692" w:rsidP="006C3692">
      <w:pPr>
        <w:pStyle w:val="Odstavecseseznamem"/>
        <w:rPr>
          <w:rFonts w:ascii="Arial CE" w:hAnsi="Arial CE" w:cs="Arial"/>
          <w:b/>
          <w:szCs w:val="22"/>
        </w:rPr>
      </w:pPr>
    </w:p>
    <w:p w:rsidR="009D1181" w:rsidRDefault="009D1181" w:rsidP="009D1181">
      <w:pPr>
        <w:suppressAutoHyphens/>
        <w:contextualSpacing/>
        <w:rPr>
          <w:rFonts w:ascii="Arial CE" w:eastAsia="Arial CE" w:hAnsi="Arial CE" w:cs="Arial CE"/>
        </w:rPr>
      </w:pPr>
    </w:p>
    <w:p w:rsidR="006C3692" w:rsidRDefault="006C3692" w:rsidP="00ED471F">
      <w:pPr>
        <w:suppressAutoHyphens/>
        <w:ind w:left="1080" w:hanging="72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E81FC9">
        <w:rPr>
          <w:rFonts w:ascii="Arial CE" w:eastAsia="Arial CE" w:hAnsi="Arial CE" w:cs="Arial CE"/>
          <w:b/>
        </w:rPr>
        <w:t xml:space="preserve"> 357</w:t>
      </w:r>
      <w:r w:rsidR="007F2D48">
        <w:rPr>
          <w:rFonts w:ascii="Arial CE" w:eastAsia="Arial CE" w:hAnsi="Arial CE" w:cs="Arial CE"/>
          <w:b/>
        </w:rPr>
        <w:t>.</w:t>
      </w:r>
    </w:p>
    <w:bookmarkEnd w:id="0"/>
    <w:p w:rsidR="006C3692" w:rsidRDefault="006C3692" w:rsidP="009D1181">
      <w:pPr>
        <w:suppressAutoHyphens/>
        <w:contextualSpacing/>
        <w:rPr>
          <w:rFonts w:ascii="Arial CE" w:eastAsia="Arial CE" w:hAnsi="Arial CE" w:cs="Arial CE"/>
        </w:rPr>
      </w:pPr>
    </w:p>
    <w:p w:rsidR="006C3692" w:rsidRPr="009D1181" w:rsidRDefault="006C3692" w:rsidP="009D1181">
      <w:pPr>
        <w:suppressAutoHyphens/>
        <w:contextualSpacing/>
        <w:rPr>
          <w:rFonts w:ascii="Arial CE" w:eastAsia="Arial CE" w:hAnsi="Arial CE" w:cs="Arial CE"/>
        </w:rPr>
      </w:pPr>
    </w:p>
    <w:p w:rsidR="009D1181" w:rsidRPr="009D1181" w:rsidRDefault="00E81FC9" w:rsidP="00D72B6A">
      <w:pPr>
        <w:numPr>
          <w:ilvl w:val="0"/>
          <w:numId w:val="31"/>
        </w:numPr>
        <w:autoSpaceDE w:val="0"/>
        <w:autoSpaceDN w:val="0"/>
        <w:adjustRightInd w:val="0"/>
        <w:ind w:left="426" w:hanging="426"/>
        <w:rPr>
          <w:rFonts w:ascii="Arial CE" w:hAnsi="Arial CE" w:cs="Arial"/>
          <w:szCs w:val="22"/>
        </w:rPr>
      </w:pPr>
      <w:r>
        <w:rPr>
          <w:rFonts w:ascii="Arial CE" w:hAnsi="Arial CE" w:cs="Arial"/>
          <w:szCs w:val="22"/>
        </w:rPr>
        <w:t>F</w:t>
      </w:r>
      <w:r w:rsidR="009D1181" w:rsidRPr="009D1181">
        <w:rPr>
          <w:rFonts w:ascii="Arial CE" w:hAnsi="Arial CE" w:cs="Arial"/>
          <w:szCs w:val="22"/>
        </w:rPr>
        <w:t>aktur</w:t>
      </w:r>
      <w:r>
        <w:rPr>
          <w:rFonts w:ascii="Arial CE" w:hAnsi="Arial CE" w:cs="Arial"/>
          <w:szCs w:val="22"/>
        </w:rPr>
        <w:t>a</w:t>
      </w:r>
      <w:r w:rsidR="009D1181" w:rsidRPr="009D1181">
        <w:rPr>
          <w:rFonts w:ascii="Arial CE" w:hAnsi="Arial CE" w:cs="Arial"/>
          <w:szCs w:val="22"/>
        </w:rPr>
        <w:t xml:space="preserve"> musí splňovat náležitosti ve smyslu daňových a účetních předpisů platných na území České republiky, zejména zákona č. 563/1991 Sb., o účetnictví, ve</w:t>
      </w:r>
      <w:r w:rsidR="007F2D48">
        <w:rPr>
          <w:rFonts w:ascii="Arial CE" w:hAnsi="Arial CE" w:cs="Arial"/>
          <w:szCs w:val="22"/>
        </w:rPr>
        <w:t> </w:t>
      </w:r>
      <w:r w:rsidR="009D1181" w:rsidRPr="009D1181">
        <w:rPr>
          <w:rFonts w:ascii="Arial CE" w:hAnsi="Arial CE" w:cs="Arial"/>
          <w:szCs w:val="22"/>
        </w:rPr>
        <w:t>znění pozdějších předpisů a zákona č. 235/2004 Sb., o DPH v platném znění a dále náležitosti stanovené smlouvou.</w:t>
      </w:r>
    </w:p>
    <w:p w:rsidR="009D1181" w:rsidRPr="009D1181" w:rsidRDefault="009D1181" w:rsidP="009D1181">
      <w:pPr>
        <w:autoSpaceDE w:val="0"/>
        <w:autoSpaceDN w:val="0"/>
        <w:adjustRightInd w:val="0"/>
        <w:ind w:left="360"/>
        <w:rPr>
          <w:rFonts w:ascii="Arial CE" w:hAnsi="Arial CE" w:cs="Arial"/>
          <w:szCs w:val="22"/>
        </w:rPr>
      </w:pPr>
    </w:p>
    <w:p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rsidR="009D1181" w:rsidRPr="009D1181" w:rsidRDefault="009D1181" w:rsidP="009D1181">
      <w:pPr>
        <w:autoSpaceDE w:val="0"/>
        <w:autoSpaceDN w:val="0"/>
        <w:adjustRightInd w:val="0"/>
        <w:ind w:left="360"/>
        <w:rPr>
          <w:rFonts w:ascii="Arial CE" w:hAnsi="Arial CE" w:cs="Arial"/>
          <w:szCs w:val="22"/>
        </w:rPr>
      </w:pPr>
    </w:p>
    <w:p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rsidR="009D1181" w:rsidRPr="009D1181" w:rsidRDefault="009D1181" w:rsidP="00D72B6A">
      <w:pPr>
        <w:autoSpaceDE w:val="0"/>
        <w:autoSpaceDN w:val="0"/>
        <w:adjustRightInd w:val="0"/>
        <w:ind w:left="426" w:hanging="426"/>
        <w:rPr>
          <w:rFonts w:ascii="Arial CE" w:hAnsi="Arial CE" w:cs="Arial"/>
          <w:szCs w:val="22"/>
        </w:rPr>
      </w:pPr>
    </w:p>
    <w:p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rsidR="009D1181" w:rsidRPr="009D1181" w:rsidRDefault="009D1181" w:rsidP="009D1181">
      <w:pPr>
        <w:autoSpaceDE w:val="0"/>
        <w:autoSpaceDN w:val="0"/>
        <w:adjustRightInd w:val="0"/>
        <w:rPr>
          <w:rFonts w:ascii="Arial CE" w:hAnsi="Arial CE" w:cs="Arial"/>
          <w:szCs w:val="22"/>
        </w:rPr>
      </w:pPr>
    </w:p>
    <w:p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rsidR="00744967" w:rsidRDefault="00744967" w:rsidP="009D1968">
      <w:pPr>
        <w:autoSpaceDE w:val="0"/>
        <w:autoSpaceDN w:val="0"/>
        <w:adjustRightInd w:val="0"/>
        <w:ind w:left="426" w:hanging="426"/>
        <w:rPr>
          <w:rFonts w:cs="Arial"/>
          <w:szCs w:val="22"/>
        </w:rPr>
      </w:pPr>
    </w:p>
    <w:p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rsidR="00BA6A71" w:rsidRPr="00DD4362" w:rsidRDefault="00BA6A71" w:rsidP="00BA6A71">
      <w:pPr>
        <w:pStyle w:val="A-odstavecodsazensodrkami"/>
        <w:numPr>
          <w:ilvl w:val="0"/>
          <w:numId w:val="0"/>
        </w:numPr>
        <w:ind w:left="502"/>
        <w:rPr>
          <w:rFonts w:ascii="Arial CE" w:hAnsi="Arial CE"/>
          <w:strike/>
          <w:color w:val="FF0000"/>
        </w:rPr>
      </w:pPr>
    </w:p>
    <w:p w:rsidR="00BA6A71" w:rsidRDefault="00BA6A71" w:rsidP="00D72B6A">
      <w:pPr>
        <w:pStyle w:val="A-odstavecodsazensodrkami"/>
        <w:numPr>
          <w:ilvl w:val="0"/>
          <w:numId w:val="33"/>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smluvně </w:t>
      </w:r>
      <w:r w:rsidRPr="00E5610F">
        <w:rPr>
          <w:rFonts w:ascii="Arial CE" w:hAnsi="Arial CE"/>
        </w:rPr>
        <w:t xml:space="preserve">ujednanému termínu plnění </w:t>
      </w:r>
      <w:r w:rsidRPr="009424A7">
        <w:rPr>
          <w:rFonts w:ascii="Arial CE" w:hAnsi="Arial CE"/>
        </w:rPr>
        <w:t xml:space="preserve">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za každý i</w:t>
      </w:r>
      <w:r w:rsidR="007F2D48">
        <w:rPr>
          <w:rFonts w:ascii="Arial CE" w:hAnsi="Arial CE"/>
        </w:rPr>
        <w:t> </w:t>
      </w:r>
      <w:r w:rsidRPr="009424A7">
        <w:rPr>
          <w:rFonts w:ascii="Arial CE" w:hAnsi="Arial CE"/>
        </w:rPr>
        <w:t>započatý den prodlení</w:t>
      </w:r>
      <w:r>
        <w:rPr>
          <w:rFonts w:ascii="Arial CE" w:hAnsi="Arial CE"/>
        </w:rPr>
        <w:t>.</w:t>
      </w:r>
    </w:p>
    <w:p w:rsidR="00BA6A71" w:rsidRDefault="00BA6A71" w:rsidP="00BA6A71">
      <w:pPr>
        <w:pStyle w:val="A-odstavecodsazensodrkami"/>
        <w:numPr>
          <w:ilvl w:val="0"/>
          <w:numId w:val="0"/>
        </w:numPr>
        <w:ind w:left="502"/>
        <w:rPr>
          <w:rFonts w:ascii="Arial CE" w:hAnsi="Arial CE"/>
        </w:rPr>
      </w:pPr>
    </w:p>
    <w:p w:rsidR="00BA6A71" w:rsidRPr="00BB6A12" w:rsidRDefault="00BA6A71" w:rsidP="00D72B6A">
      <w:pPr>
        <w:pStyle w:val="A-odstavecodsazensodrkami"/>
        <w:numPr>
          <w:ilvl w:val="0"/>
          <w:numId w:val="33"/>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rsidR="00BA6A71" w:rsidRPr="00C33382" w:rsidRDefault="00BA6A71" w:rsidP="00BA6A71">
      <w:pPr>
        <w:rPr>
          <w:rFonts w:ascii="Arial CE" w:hAnsi="Arial CE" w:cs="Arial"/>
          <w:bCs/>
          <w:color w:val="000000"/>
          <w:szCs w:val="22"/>
        </w:rPr>
      </w:pPr>
    </w:p>
    <w:p w:rsidR="00BA6A71" w:rsidRPr="00D72B6A" w:rsidRDefault="00BA6A71" w:rsidP="00D72B6A">
      <w:pPr>
        <w:pStyle w:val="A-odstavecodsazensodrkami"/>
        <w:numPr>
          <w:ilvl w:val="0"/>
          <w:numId w:val="33"/>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BA6A71" w:rsidRPr="001D7A19" w:rsidRDefault="00BA6A71" w:rsidP="00BA6A71">
      <w:pPr>
        <w:pStyle w:val="Odstavecseseznamem"/>
        <w:ind w:left="426" w:hanging="426"/>
        <w:rPr>
          <w:rFonts w:ascii="Arial CE" w:hAnsi="Arial CE" w:cs="Arial"/>
          <w:bCs/>
          <w:color w:val="000000"/>
          <w:szCs w:val="22"/>
        </w:rPr>
      </w:pPr>
    </w:p>
    <w:p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BA6A71" w:rsidRPr="001D7A19" w:rsidRDefault="00BA6A71" w:rsidP="00BA6A71">
      <w:pPr>
        <w:pStyle w:val="Odstavecseseznamem"/>
        <w:rPr>
          <w:rFonts w:ascii="Arial CE" w:hAnsi="Arial CE"/>
        </w:rPr>
      </w:pPr>
    </w:p>
    <w:p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lastRenderedPageBreak/>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rsidR="00BA6A71" w:rsidRDefault="00BA6A71" w:rsidP="00BA6A71">
      <w:pPr>
        <w:pStyle w:val="Odstavecseseznamem"/>
        <w:rPr>
          <w:rFonts w:ascii="Arial CE" w:hAnsi="Arial CE"/>
        </w:rPr>
      </w:pPr>
    </w:p>
    <w:p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rsidR="00BA6A71" w:rsidRPr="001D7A19" w:rsidRDefault="00BA6A71" w:rsidP="00BA6A71">
      <w:pPr>
        <w:pStyle w:val="A-odstavecodsazensodrkami"/>
        <w:numPr>
          <w:ilvl w:val="0"/>
          <w:numId w:val="0"/>
        </w:numPr>
        <w:ind w:left="360" w:hanging="360"/>
        <w:rPr>
          <w:rFonts w:ascii="Arial CE" w:hAnsi="Arial CE"/>
        </w:rPr>
      </w:pPr>
    </w:p>
    <w:p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7F2D48" w:rsidRDefault="007F2D48" w:rsidP="007F2D48">
      <w:pPr>
        <w:pStyle w:val="Odstavecseseznamem"/>
        <w:rPr>
          <w:rFonts w:ascii="Arial CE" w:hAnsi="Arial CE"/>
        </w:rPr>
      </w:pPr>
    </w:p>
    <w:p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rsidR="00BA6A71" w:rsidRPr="001D42DD" w:rsidRDefault="00BA6A71" w:rsidP="00BA6A71">
      <w:pPr>
        <w:rPr>
          <w:rFonts w:ascii="Arial CE" w:eastAsia="Arial CE" w:hAnsi="Arial CE" w:cs="Arial CE"/>
          <w:b/>
          <w:color w:val="000000"/>
          <w:szCs w:val="22"/>
        </w:rPr>
      </w:pPr>
    </w:p>
    <w:p w:rsidR="00BA6A71" w:rsidRPr="001D42DD" w:rsidRDefault="00BA6A71" w:rsidP="00D72B6A">
      <w:pPr>
        <w:pStyle w:val="Odstavecseseznamem"/>
        <w:numPr>
          <w:ilvl w:val="0"/>
          <w:numId w:val="38"/>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BA6A71" w:rsidRPr="001D42DD" w:rsidRDefault="00BA6A71" w:rsidP="00BA6A71">
      <w:pPr>
        <w:ind w:left="567" w:hanging="567"/>
        <w:rPr>
          <w:rFonts w:ascii="Arial CE" w:eastAsia="Arial CE" w:hAnsi="Arial CE" w:cs="Arial CE"/>
          <w:szCs w:val="22"/>
        </w:rPr>
      </w:pPr>
    </w:p>
    <w:p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BA6A71" w:rsidRPr="001D42DD" w:rsidRDefault="00BA6A71" w:rsidP="00BA6A71">
      <w:pPr>
        <w:ind w:left="567" w:hanging="567"/>
        <w:rPr>
          <w:rFonts w:ascii="Arial CE" w:eastAsia="Arial CE" w:hAnsi="Arial CE" w:cs="Arial CE"/>
          <w:b/>
          <w:szCs w:val="22"/>
        </w:rPr>
      </w:pPr>
    </w:p>
    <w:p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BA6A71" w:rsidRPr="00EB7EEF" w:rsidRDefault="00BA6A71" w:rsidP="00D72B6A">
      <w:pPr>
        <w:pStyle w:val="Odstavecseseznamem"/>
        <w:ind w:left="426"/>
        <w:rPr>
          <w:rFonts w:ascii="Arial CE" w:eastAsia="Arial CE" w:hAnsi="Arial CE" w:cs="Arial CE"/>
          <w:szCs w:val="22"/>
        </w:rPr>
      </w:pPr>
    </w:p>
    <w:p w:rsidR="00BA6A71" w:rsidRPr="00EB7EEF" w:rsidRDefault="00BA6A71" w:rsidP="00D72B6A">
      <w:pPr>
        <w:pStyle w:val="Odstavecseseznamem"/>
        <w:numPr>
          <w:ilvl w:val="0"/>
          <w:numId w:val="38"/>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rsidR="00BA6A71" w:rsidRPr="00D72B6A" w:rsidRDefault="00BA6A71" w:rsidP="00D72B6A">
      <w:pPr>
        <w:pStyle w:val="Odstavecseseznamem"/>
        <w:ind w:left="426"/>
        <w:rPr>
          <w:rFonts w:ascii="Arial CE" w:eastAsia="Arial CE" w:hAnsi="Arial CE" w:cs="Arial CE"/>
          <w:szCs w:val="22"/>
        </w:rPr>
      </w:pPr>
    </w:p>
    <w:p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rsidR="00BA6A71" w:rsidRPr="001D42DD" w:rsidRDefault="00BA6A71" w:rsidP="00BA6A71">
      <w:pPr>
        <w:ind w:left="567" w:hanging="567"/>
        <w:rPr>
          <w:rFonts w:ascii="Arial CE" w:eastAsia="Arial CE" w:hAnsi="Arial CE" w:cs="Arial CE"/>
          <w:color w:val="000000"/>
          <w:szCs w:val="22"/>
        </w:rPr>
      </w:pPr>
    </w:p>
    <w:p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rsidR="00BA6A71" w:rsidRPr="001D42DD" w:rsidRDefault="00BA6A71" w:rsidP="00BA6A71">
      <w:pPr>
        <w:ind w:left="567" w:hanging="567"/>
        <w:rPr>
          <w:rFonts w:ascii="Arial CE" w:eastAsia="Arial CE" w:hAnsi="Arial CE" w:cs="Arial CE"/>
          <w:b/>
          <w:color w:val="000000"/>
          <w:szCs w:val="22"/>
        </w:rPr>
      </w:pPr>
    </w:p>
    <w:p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BA6A71" w:rsidRPr="001D42DD" w:rsidRDefault="00BA6A71" w:rsidP="00BA6A71">
      <w:pPr>
        <w:ind w:left="567" w:hanging="567"/>
        <w:rPr>
          <w:rFonts w:ascii="Arial CE" w:eastAsia="Arial CE" w:hAnsi="Arial CE" w:cs="Arial CE"/>
          <w:szCs w:val="22"/>
        </w:rPr>
      </w:pPr>
    </w:p>
    <w:p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BA6A71" w:rsidRPr="001D42DD" w:rsidRDefault="00BA6A71" w:rsidP="00BA6A71">
      <w:pPr>
        <w:ind w:left="567" w:hanging="567"/>
        <w:rPr>
          <w:rFonts w:ascii="Arial CE" w:eastAsia="Arial CE" w:hAnsi="Arial CE" w:cs="Arial CE"/>
          <w:b/>
          <w:color w:val="000000"/>
          <w:szCs w:val="22"/>
        </w:rPr>
      </w:pPr>
    </w:p>
    <w:p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BA6A71" w:rsidRPr="001D42DD" w:rsidRDefault="00BA6A71" w:rsidP="00BA6A71">
      <w:pPr>
        <w:ind w:left="567" w:hanging="567"/>
        <w:rPr>
          <w:rFonts w:ascii="Arial CE" w:eastAsia="Arial CE" w:hAnsi="Arial CE" w:cs="Arial CE"/>
          <w:szCs w:val="22"/>
        </w:rPr>
      </w:pPr>
    </w:p>
    <w:p w:rsidR="00BA6A71"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CF240D" w:rsidRDefault="00CF240D" w:rsidP="001251EF"/>
    <w:p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rsidR="00C979C5" w:rsidRDefault="00C979C5" w:rsidP="00C979C5">
      <w:pPr>
        <w:autoSpaceDE w:val="0"/>
        <w:autoSpaceDN w:val="0"/>
        <w:adjustRightInd w:val="0"/>
        <w:jc w:val="left"/>
        <w:rPr>
          <w:rFonts w:cs="Arial"/>
          <w:b/>
          <w:bCs/>
          <w:color w:val="000000"/>
          <w:szCs w:val="22"/>
          <w:u w:val="single"/>
        </w:rPr>
      </w:pPr>
    </w:p>
    <w:p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rsidR="00C979C5" w:rsidRDefault="00C979C5" w:rsidP="001251EF"/>
    <w:p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rsidR="00BA6A71" w:rsidRPr="001D7A19" w:rsidRDefault="00BA6A71" w:rsidP="00BA6A71">
      <w:pPr>
        <w:autoSpaceDE w:val="0"/>
        <w:autoSpaceDN w:val="0"/>
        <w:adjustRightInd w:val="0"/>
        <w:rPr>
          <w:rFonts w:ascii="Arial CE" w:hAnsi="Arial CE" w:cs="Arial"/>
          <w:bCs/>
          <w:color w:val="000000"/>
          <w:szCs w:val="22"/>
        </w:rPr>
      </w:pPr>
    </w:p>
    <w:p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rsidR="00576944" w:rsidRDefault="00576944" w:rsidP="000112BD">
      <w:pPr>
        <w:pStyle w:val="Odstavecseseznamem"/>
        <w:autoSpaceDE w:val="0"/>
        <w:autoSpaceDN w:val="0"/>
        <w:adjustRightInd w:val="0"/>
        <w:ind w:left="0"/>
        <w:rPr>
          <w:rFonts w:ascii="Arial CE" w:hAnsi="Arial CE" w:cs="Arial"/>
          <w:bCs/>
          <w:color w:val="000000"/>
          <w:szCs w:val="22"/>
        </w:rPr>
      </w:pPr>
    </w:p>
    <w:p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rsidR="00BA6A71" w:rsidRPr="001D7A19" w:rsidRDefault="00BA6A71" w:rsidP="00BA6A71">
      <w:pPr>
        <w:autoSpaceDE w:val="0"/>
        <w:autoSpaceDN w:val="0"/>
        <w:adjustRightInd w:val="0"/>
        <w:rPr>
          <w:rFonts w:ascii="Arial CE" w:hAnsi="Arial CE" w:cs="Arial"/>
          <w:b/>
          <w:bCs/>
          <w:color w:val="000000"/>
        </w:rPr>
      </w:pPr>
    </w:p>
    <w:p w:rsidR="00BA6A71" w:rsidRPr="00067F4D"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rsidR="00BA6A71" w:rsidRPr="001D7A19" w:rsidRDefault="00BA6A71" w:rsidP="00BA6A71">
      <w:pPr>
        <w:autoSpaceDE w:val="0"/>
        <w:autoSpaceDN w:val="0"/>
        <w:adjustRightInd w:val="0"/>
        <w:ind w:left="357"/>
        <w:rPr>
          <w:rFonts w:ascii="Arial CE" w:hAnsi="Arial CE"/>
          <w:color w:val="000000"/>
          <w:szCs w:val="22"/>
        </w:rPr>
      </w:pPr>
    </w:p>
    <w:p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rsidR="00BA6A71" w:rsidRDefault="00BA6A71" w:rsidP="00BA6A71">
      <w:pPr>
        <w:autoSpaceDE w:val="0"/>
        <w:autoSpaceDN w:val="0"/>
        <w:adjustRightInd w:val="0"/>
        <w:rPr>
          <w:rFonts w:ascii="Arial CE" w:hAnsi="Arial CE" w:cs="Arial"/>
          <w:b/>
          <w:color w:val="000000"/>
          <w:szCs w:val="22"/>
          <w:u w:val="single"/>
        </w:rPr>
      </w:pPr>
    </w:p>
    <w:p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rsidR="00B7669F" w:rsidRPr="00612E8A" w:rsidRDefault="00B7669F" w:rsidP="001251EF"/>
    <w:p w:rsidR="00BA6A71"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rsidR="00D72B6A"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rsidR="00BA6A71" w:rsidRDefault="00BA6A71" w:rsidP="00D72B6A">
      <w:pPr>
        <w:pStyle w:val="Zkladntext"/>
        <w:numPr>
          <w:ilvl w:val="0"/>
          <w:numId w:val="36"/>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lastRenderedPageBreak/>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rsidR="00D72B6A" w:rsidRDefault="00D72B6A" w:rsidP="00D72B6A">
      <w:pPr>
        <w:pStyle w:val="Odstavecseseznamem"/>
        <w:rPr>
          <w:rFonts w:ascii="Arial CE" w:hAnsi="Arial CE"/>
        </w:rPr>
      </w:pPr>
    </w:p>
    <w:p w:rsidR="00BA6A71" w:rsidRPr="00D72B6A" w:rsidRDefault="00BA6A71" w:rsidP="00D72B6A">
      <w:pPr>
        <w:pStyle w:val="Zkladntext"/>
        <w:numPr>
          <w:ilvl w:val="0"/>
          <w:numId w:val="36"/>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rsidR="002830C6" w:rsidRDefault="002830C6" w:rsidP="00B7669F">
      <w:pPr>
        <w:pStyle w:val="Zkladntext"/>
        <w:tabs>
          <w:tab w:val="clear" w:pos="360"/>
        </w:tabs>
        <w:ind w:left="567" w:firstLine="0"/>
        <w:textAlignment w:val="baseline"/>
        <w:rPr>
          <w:rFonts w:ascii="Arial CE" w:hAnsi="Arial CE"/>
          <w:b/>
          <w:color w:val="000000"/>
          <w:u w:val="single"/>
        </w:rPr>
      </w:pPr>
    </w:p>
    <w:p w:rsidR="009D78F9" w:rsidRDefault="009D78F9" w:rsidP="00B7669F">
      <w:pPr>
        <w:pStyle w:val="Zkladntext"/>
        <w:tabs>
          <w:tab w:val="clear" w:pos="360"/>
        </w:tabs>
        <w:ind w:left="567" w:firstLine="0"/>
        <w:textAlignment w:val="baseline"/>
        <w:rPr>
          <w:rFonts w:ascii="Arial CE" w:hAnsi="Arial CE"/>
          <w:b/>
          <w:color w:val="000000"/>
          <w:u w:val="single"/>
        </w:rPr>
      </w:pPr>
    </w:p>
    <w:p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rsidR="00BA6A71" w:rsidRPr="00663814" w:rsidRDefault="00BA6A71" w:rsidP="00BA6A71">
      <w:pPr>
        <w:rPr>
          <w:rFonts w:cs="Arial"/>
          <w:b/>
          <w:bCs/>
          <w:color w:val="000000"/>
          <w:szCs w:val="22"/>
        </w:rPr>
      </w:pPr>
    </w:p>
    <w:p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rsidR="00B7669F" w:rsidRDefault="00B7669F" w:rsidP="00B7669F">
      <w:pPr>
        <w:autoSpaceDE w:val="0"/>
        <w:autoSpaceDN w:val="0"/>
        <w:adjustRightInd w:val="0"/>
        <w:ind w:left="426"/>
        <w:rPr>
          <w:rFonts w:cs="Arial"/>
          <w:color w:val="000000"/>
          <w:szCs w:val="22"/>
        </w:rPr>
      </w:pPr>
    </w:p>
    <w:p w:rsidR="00BA6A71" w:rsidRPr="00663814" w:rsidRDefault="00BA6A71" w:rsidP="00BA6A71">
      <w:pPr>
        <w:widowControl w:val="0"/>
        <w:numPr>
          <w:ilvl w:val="0"/>
          <w:numId w:val="37"/>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BA6A71" w:rsidRPr="00663814" w:rsidRDefault="00BA6A71" w:rsidP="00BA6A71">
      <w:pPr>
        <w:autoSpaceDE w:val="0"/>
        <w:autoSpaceDN w:val="0"/>
        <w:adjustRightInd w:val="0"/>
        <w:ind w:left="426" w:hanging="426"/>
        <w:rPr>
          <w:rFonts w:cs="Arial"/>
          <w:bCs/>
          <w:color w:val="000000"/>
          <w:szCs w:val="22"/>
        </w:rPr>
      </w:pPr>
    </w:p>
    <w:p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BA6A71" w:rsidRPr="00663814" w:rsidRDefault="00BA6A71" w:rsidP="00BA6A71">
      <w:pPr>
        <w:pStyle w:val="Odstavecseseznamem"/>
        <w:autoSpaceDE w:val="0"/>
        <w:autoSpaceDN w:val="0"/>
        <w:adjustRightInd w:val="0"/>
        <w:ind w:left="426"/>
        <w:rPr>
          <w:rFonts w:cs="Arial"/>
          <w:szCs w:val="22"/>
        </w:rPr>
      </w:pPr>
    </w:p>
    <w:p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EE2F0F">
        <w:rPr>
          <w:rFonts w:cs="Arial"/>
          <w:bCs/>
          <w:color w:val="000000"/>
          <w:szCs w:val="22"/>
        </w:rPr>
        <w:t>nabytí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rsidR="00BA6A71" w:rsidRPr="00DD4362" w:rsidRDefault="00BA6A71" w:rsidP="00BA6A71">
      <w:pPr>
        <w:pStyle w:val="Odstavecseseznamem"/>
        <w:numPr>
          <w:ilvl w:val="0"/>
          <w:numId w:val="35"/>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BA6A71" w:rsidRPr="00663814" w:rsidRDefault="00BA6A71" w:rsidP="00BA6A71">
      <w:pPr>
        <w:pStyle w:val="Odstavecseseznamem"/>
        <w:autoSpaceDE w:val="0"/>
        <w:autoSpaceDN w:val="0"/>
        <w:adjustRightInd w:val="0"/>
        <w:rPr>
          <w:rFonts w:cs="Arial"/>
          <w:szCs w:val="22"/>
        </w:rPr>
      </w:pPr>
    </w:p>
    <w:p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rsidR="00BA6A71" w:rsidRPr="00923691" w:rsidRDefault="00BA6A71" w:rsidP="00923691">
      <w:pPr>
        <w:autoSpaceDE w:val="0"/>
        <w:autoSpaceDN w:val="0"/>
        <w:adjustRightInd w:val="0"/>
        <w:ind w:left="426"/>
        <w:contextualSpacing/>
        <w:rPr>
          <w:rFonts w:cs="Arial"/>
          <w:bCs/>
          <w:color w:val="000000"/>
          <w:szCs w:val="22"/>
        </w:rPr>
      </w:pPr>
    </w:p>
    <w:p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rsidR="00BA6A71" w:rsidRDefault="00BA6A71" w:rsidP="00BA6A71">
      <w:pPr>
        <w:pStyle w:val="Zkladntext"/>
      </w:pPr>
    </w:p>
    <w:p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lastRenderedPageBreak/>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rsidR="00BA6A71" w:rsidRPr="00BA6A71" w:rsidRDefault="00BA6A71" w:rsidP="00BA6A71">
      <w:pPr>
        <w:pStyle w:val="Odstavecseseznamem"/>
        <w:ind w:left="426"/>
        <w:rPr>
          <w:szCs w:val="22"/>
        </w:rPr>
      </w:pPr>
    </w:p>
    <w:p w:rsidR="00923691" w:rsidRPr="00BB2C32" w:rsidRDefault="00923691" w:rsidP="00923691">
      <w:pPr>
        <w:pStyle w:val="Odstavecseseznamem"/>
        <w:numPr>
          <w:ilvl w:val="0"/>
          <w:numId w:val="37"/>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rsidR="00BA6A71" w:rsidRPr="009B416C" w:rsidRDefault="00BA6A71" w:rsidP="00BA6A71">
      <w:pPr>
        <w:rPr>
          <w:szCs w:val="22"/>
        </w:rPr>
      </w:pPr>
    </w:p>
    <w:p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rsidR="00BA6A71" w:rsidRDefault="00BA6A71" w:rsidP="00BA6A71">
      <w:pPr>
        <w:autoSpaceDE w:val="0"/>
        <w:autoSpaceDN w:val="0"/>
        <w:adjustRightInd w:val="0"/>
        <w:rPr>
          <w:rFonts w:cs="Arial"/>
          <w:bCs/>
          <w:szCs w:val="22"/>
        </w:rPr>
      </w:pPr>
    </w:p>
    <w:p w:rsidR="00BA6A71" w:rsidRDefault="00BA6A71" w:rsidP="00B7669F">
      <w:pPr>
        <w:pStyle w:val="Odstavecseseznamem"/>
        <w:numPr>
          <w:ilvl w:val="0"/>
          <w:numId w:val="32"/>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rsidR="00576944" w:rsidRDefault="00576944" w:rsidP="00576944">
      <w:pPr>
        <w:rPr>
          <w:rFonts w:cs="Arial"/>
          <w:bCs/>
          <w:color w:val="000000"/>
          <w:szCs w:val="22"/>
        </w:rPr>
      </w:pPr>
    </w:p>
    <w:p w:rsidR="00576944" w:rsidRPr="00576944" w:rsidRDefault="00576944" w:rsidP="00576944">
      <w:pPr>
        <w:rPr>
          <w:rFonts w:cs="Arial"/>
          <w:bCs/>
          <w:color w:val="000000"/>
          <w:szCs w:val="22"/>
        </w:rPr>
      </w:pPr>
    </w:p>
    <w:p w:rsidR="00EC4928" w:rsidRPr="00A4527B" w:rsidRDefault="00EC4928" w:rsidP="00ED471F">
      <w:pPr>
        <w:autoSpaceDE w:val="0"/>
        <w:autoSpaceDN w:val="0"/>
        <w:adjustRightInd w:val="0"/>
        <w:ind w:left="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szCs w:val="22"/>
        </w:rPr>
        <w:t>V Brně d</w:t>
      </w:r>
      <w:r w:rsidRPr="00241C08">
        <w:rPr>
          <w:szCs w:val="22"/>
        </w:rPr>
        <w:t>ne</w:t>
      </w:r>
    </w:p>
    <w:p w:rsidR="00EC4928" w:rsidRDefault="00EC4928" w:rsidP="00ED471F">
      <w:pPr>
        <w:autoSpaceDE w:val="0"/>
        <w:autoSpaceDN w:val="0"/>
        <w:adjustRightInd w:val="0"/>
        <w:ind w:left="426"/>
        <w:rPr>
          <w:szCs w:val="22"/>
        </w:rPr>
      </w:pPr>
    </w:p>
    <w:p w:rsidR="00EC4928" w:rsidRDefault="00EC4928" w:rsidP="00ED471F">
      <w:pPr>
        <w:tabs>
          <w:tab w:val="left" w:pos="3960"/>
          <w:tab w:val="right" w:pos="9049"/>
        </w:tabs>
        <w:autoSpaceDE w:val="0"/>
        <w:autoSpaceDN w:val="0"/>
        <w:adjustRightInd w:val="0"/>
        <w:spacing w:line="300" w:lineRule="atLeast"/>
        <w:ind w:left="426"/>
        <w:rPr>
          <w:rFonts w:cs="Arial"/>
          <w:color w:val="000000"/>
          <w:szCs w:val="22"/>
        </w:rPr>
      </w:pPr>
    </w:p>
    <w:p w:rsidR="00EC4928" w:rsidRPr="00C8531F" w:rsidRDefault="00EC4928" w:rsidP="00ED471F">
      <w:pPr>
        <w:tabs>
          <w:tab w:val="left" w:pos="3960"/>
          <w:tab w:val="right" w:pos="9049"/>
        </w:tabs>
        <w:autoSpaceDE w:val="0"/>
        <w:autoSpaceDN w:val="0"/>
        <w:adjustRightInd w:val="0"/>
        <w:spacing w:line="300" w:lineRule="atLeast"/>
        <w:ind w:left="426"/>
        <w:rPr>
          <w:rFonts w:cs="Arial"/>
          <w:color w:val="000000"/>
          <w:szCs w:val="22"/>
        </w:rPr>
      </w:pPr>
    </w:p>
    <w:p w:rsidR="00EC4928" w:rsidRPr="005C192A" w:rsidRDefault="00EC4928" w:rsidP="00ED471F">
      <w:pPr>
        <w:autoSpaceDE w:val="0"/>
        <w:autoSpaceDN w:val="0"/>
        <w:adjustRightInd w:val="0"/>
        <w:ind w:left="426"/>
        <w:rPr>
          <w:rFonts w:cs="Arial"/>
          <w:szCs w:val="22"/>
        </w:rPr>
      </w:pPr>
      <w:r w:rsidRPr="005C192A">
        <w:rPr>
          <w:rFonts w:cs="Arial"/>
          <w:szCs w:val="22"/>
        </w:rPr>
        <w:t>……………………………………</w:t>
      </w:r>
      <w:r>
        <w:rPr>
          <w:rFonts w:cs="Arial"/>
          <w:szCs w:val="22"/>
        </w:rPr>
        <w:tab/>
      </w:r>
      <w:r>
        <w:rPr>
          <w:rFonts w:cs="Arial"/>
          <w:szCs w:val="22"/>
        </w:rPr>
        <w:tab/>
      </w:r>
      <w:r>
        <w:rPr>
          <w:rFonts w:cs="Arial"/>
          <w:szCs w:val="22"/>
        </w:rPr>
        <w:tab/>
      </w:r>
      <w:r w:rsidRPr="005C192A">
        <w:rPr>
          <w:rFonts w:cs="Arial"/>
          <w:szCs w:val="22"/>
        </w:rPr>
        <w:t>…………………………………….</w:t>
      </w:r>
    </w:p>
    <w:p w:rsidR="009530EE" w:rsidRDefault="009530EE" w:rsidP="00ED471F">
      <w:pPr>
        <w:autoSpaceDE w:val="0"/>
        <w:autoSpaceDN w:val="0"/>
        <w:adjustRightInd w:val="0"/>
        <w:ind w:left="426"/>
        <w:rPr>
          <w:rFonts w:cs="Arial"/>
          <w:szCs w:val="22"/>
        </w:rPr>
      </w:pPr>
    </w:p>
    <w:p w:rsidR="00EC4928" w:rsidRPr="00A9202A" w:rsidRDefault="00EC4928" w:rsidP="00ED471F">
      <w:pPr>
        <w:autoSpaceDE w:val="0"/>
        <w:autoSpaceDN w:val="0"/>
        <w:adjustRightInd w:val="0"/>
        <w:ind w:left="426"/>
        <w:rPr>
          <w:rFonts w:cs="Arial"/>
          <w:szCs w:val="22"/>
        </w:rPr>
      </w:pPr>
      <w:r w:rsidRPr="00A9202A">
        <w:rPr>
          <w:rFonts w:cs="Arial"/>
          <w:szCs w:val="22"/>
        </w:rPr>
        <w:t>investiční ředitel</w:t>
      </w:r>
      <w:r w:rsidRPr="00A9202A">
        <w:rPr>
          <w:rFonts w:cs="Arial"/>
          <w:szCs w:val="22"/>
        </w:rPr>
        <w:tab/>
      </w:r>
      <w:r w:rsidRPr="00A9202A">
        <w:rPr>
          <w:rFonts w:cs="Arial"/>
          <w:szCs w:val="22"/>
        </w:rPr>
        <w:tab/>
      </w:r>
      <w:r w:rsidRPr="00A9202A">
        <w:rPr>
          <w:rFonts w:cs="Arial"/>
          <w:szCs w:val="22"/>
        </w:rPr>
        <w:tab/>
      </w:r>
      <w:r w:rsidRPr="00A9202A">
        <w:rPr>
          <w:rFonts w:cs="Arial"/>
          <w:szCs w:val="22"/>
        </w:rPr>
        <w:tab/>
      </w:r>
      <w:r w:rsidRPr="00A9202A">
        <w:rPr>
          <w:rFonts w:cs="Arial"/>
          <w:szCs w:val="22"/>
        </w:rPr>
        <w:tab/>
      </w:r>
      <w:r>
        <w:rPr>
          <w:rFonts w:cs="Arial"/>
          <w:szCs w:val="22"/>
        </w:rPr>
        <w:t>generální ředitel</w:t>
      </w:r>
    </w:p>
    <w:p w:rsidR="00EC4928" w:rsidRDefault="00EC4928" w:rsidP="00ED471F">
      <w:pPr>
        <w:autoSpaceDE w:val="0"/>
        <w:autoSpaceDN w:val="0"/>
        <w:adjustRightInd w:val="0"/>
        <w:ind w:left="426"/>
        <w:rPr>
          <w:rFonts w:cs="Arial"/>
          <w:szCs w:val="22"/>
        </w:rPr>
      </w:pPr>
      <w:r w:rsidRPr="00A9202A">
        <w:rPr>
          <w:rFonts w:cs="Arial"/>
          <w:szCs w:val="22"/>
        </w:rPr>
        <w:t>Povodí Ohře, státní podnik</w:t>
      </w:r>
      <w:r w:rsidRPr="00A9202A">
        <w:rPr>
          <w:rFonts w:cs="Arial"/>
          <w:szCs w:val="22"/>
        </w:rPr>
        <w:tab/>
        <w:t xml:space="preserve"> </w:t>
      </w:r>
      <w:r w:rsidRPr="00A9202A">
        <w:rPr>
          <w:rFonts w:cs="Arial"/>
          <w:szCs w:val="22"/>
        </w:rPr>
        <w:tab/>
      </w:r>
      <w:r w:rsidRPr="00A9202A">
        <w:rPr>
          <w:rFonts w:cs="Arial"/>
          <w:szCs w:val="22"/>
        </w:rPr>
        <w:tab/>
      </w:r>
      <w:r w:rsidRPr="005A154F">
        <w:rPr>
          <w:rFonts w:cs="Arial"/>
          <w:szCs w:val="22"/>
        </w:rPr>
        <w:t>AQUATIS a.s.</w:t>
      </w:r>
    </w:p>
    <w:p w:rsidR="00EC4928" w:rsidRDefault="00EC4928" w:rsidP="00ED471F">
      <w:pPr>
        <w:autoSpaceDE w:val="0"/>
        <w:autoSpaceDN w:val="0"/>
        <w:adjustRightInd w:val="0"/>
        <w:ind w:left="426"/>
        <w:rPr>
          <w:szCs w:val="22"/>
        </w:rPr>
      </w:pPr>
    </w:p>
    <w:p w:rsidR="00EC4928" w:rsidRPr="00535FFD" w:rsidRDefault="00EC4928" w:rsidP="00ED471F">
      <w:pPr>
        <w:autoSpaceDE w:val="0"/>
        <w:autoSpaceDN w:val="0"/>
        <w:adjustRightInd w:val="0"/>
        <w:ind w:left="426"/>
        <w:rPr>
          <w:rFonts w:cs="Arial"/>
          <w:i/>
          <w:szCs w:val="22"/>
        </w:rPr>
      </w:pPr>
      <w:r w:rsidRPr="00535FFD">
        <w:rPr>
          <w:i/>
          <w:szCs w:val="22"/>
        </w:rPr>
        <w:t>za objednatele</w:t>
      </w:r>
      <w:r w:rsidRPr="00535FFD">
        <w:rPr>
          <w:i/>
          <w:szCs w:val="22"/>
        </w:rPr>
        <w:tab/>
      </w:r>
      <w:r w:rsidRPr="00535FFD">
        <w:rPr>
          <w:rFonts w:cs="Arial"/>
          <w:i/>
          <w:szCs w:val="22"/>
        </w:rPr>
        <w:tab/>
      </w:r>
      <w:r w:rsidRPr="00535FFD">
        <w:rPr>
          <w:rFonts w:cs="Arial"/>
          <w:i/>
          <w:szCs w:val="22"/>
        </w:rPr>
        <w:tab/>
      </w:r>
      <w:r w:rsidRPr="00535FFD">
        <w:rPr>
          <w:rFonts w:cs="Arial"/>
          <w:i/>
          <w:szCs w:val="22"/>
        </w:rPr>
        <w:tab/>
      </w:r>
      <w:r w:rsidRPr="00535FFD">
        <w:rPr>
          <w:rFonts w:cs="Arial"/>
          <w:i/>
          <w:szCs w:val="22"/>
        </w:rPr>
        <w:tab/>
      </w:r>
      <w:r w:rsidRPr="00535FFD">
        <w:rPr>
          <w:rFonts w:cs="Arial"/>
          <w:i/>
          <w:szCs w:val="22"/>
        </w:rPr>
        <w:tab/>
      </w:r>
    </w:p>
    <w:p w:rsidR="00EC4928" w:rsidRDefault="00EC4928" w:rsidP="00ED471F">
      <w:pPr>
        <w:autoSpaceDE w:val="0"/>
        <w:autoSpaceDN w:val="0"/>
        <w:adjustRightInd w:val="0"/>
        <w:ind w:left="426"/>
        <w:rPr>
          <w:rFonts w:cs="Arial"/>
          <w:szCs w:val="22"/>
        </w:rPr>
      </w:pPr>
    </w:p>
    <w:p w:rsidR="00EC4928" w:rsidRDefault="00EC4928" w:rsidP="00ED471F">
      <w:pPr>
        <w:autoSpaceDE w:val="0"/>
        <w:autoSpaceDN w:val="0"/>
        <w:adjustRightInd w:val="0"/>
        <w:ind w:left="426"/>
        <w:rPr>
          <w:rFonts w:cs="Arial"/>
          <w:szCs w:val="22"/>
        </w:rPr>
      </w:pPr>
    </w:p>
    <w:p w:rsidR="00EC4928" w:rsidRDefault="00EC4928" w:rsidP="00ED471F">
      <w:pPr>
        <w:autoSpaceDE w:val="0"/>
        <w:autoSpaceDN w:val="0"/>
        <w:adjustRightInd w:val="0"/>
        <w:ind w:left="426"/>
        <w:rPr>
          <w:rFonts w:cs="Arial"/>
          <w:szCs w:val="22"/>
        </w:rPr>
      </w:pPr>
    </w:p>
    <w:p w:rsidR="00EC4928" w:rsidRDefault="00EC4928" w:rsidP="00ED471F">
      <w:pPr>
        <w:autoSpaceDE w:val="0"/>
        <w:autoSpaceDN w:val="0"/>
        <w:adjustRightInd w:val="0"/>
        <w:ind w:left="426"/>
        <w:rPr>
          <w:rFonts w:cs="Arial"/>
          <w:szCs w:val="22"/>
        </w:rPr>
      </w:pPr>
    </w:p>
    <w:p w:rsidR="00EC4928" w:rsidRDefault="00EC4928" w:rsidP="00ED471F">
      <w:pPr>
        <w:autoSpaceDE w:val="0"/>
        <w:autoSpaceDN w:val="0"/>
        <w:adjustRightInd w:val="0"/>
        <w:ind w:left="426"/>
        <w:rPr>
          <w:rFonts w:cs="Arial"/>
          <w:szCs w:val="22"/>
        </w:rPr>
      </w:pPr>
    </w:p>
    <w:p w:rsidR="00EC4928" w:rsidRPr="005C192A" w:rsidRDefault="00EC4928" w:rsidP="00ED471F">
      <w:pPr>
        <w:autoSpaceDE w:val="0"/>
        <w:autoSpaceDN w:val="0"/>
        <w:adjustRightInd w:val="0"/>
        <w:ind w:left="426"/>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5C192A">
        <w:rPr>
          <w:rFonts w:cs="Arial"/>
          <w:szCs w:val="22"/>
        </w:rPr>
        <w:t>…………………………………….</w:t>
      </w:r>
    </w:p>
    <w:p w:rsidR="00EC4928" w:rsidRDefault="00EC4928" w:rsidP="00ED471F">
      <w:pPr>
        <w:autoSpaceDE w:val="0"/>
        <w:autoSpaceDN w:val="0"/>
        <w:adjustRightInd w:val="0"/>
        <w:ind w:left="426"/>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9530EE">
        <w:rPr>
          <w:rFonts w:cs="Arial"/>
          <w:szCs w:val="22"/>
        </w:rPr>
        <w:tab/>
      </w:r>
      <w:r w:rsidR="009530EE">
        <w:rPr>
          <w:rFonts w:cs="Arial"/>
          <w:szCs w:val="22"/>
        </w:rPr>
        <w:tab/>
      </w:r>
      <w:r w:rsidR="009530EE">
        <w:rPr>
          <w:rFonts w:cs="Arial"/>
          <w:szCs w:val="22"/>
        </w:rPr>
        <w:tab/>
      </w:r>
      <w:r w:rsidR="009530EE">
        <w:rPr>
          <w:rFonts w:cs="Arial"/>
          <w:szCs w:val="22"/>
        </w:rPr>
        <w:tab/>
      </w:r>
      <w:r w:rsidR="009530EE">
        <w:rPr>
          <w:rFonts w:cs="Arial"/>
          <w:szCs w:val="22"/>
        </w:rPr>
        <w:tab/>
      </w:r>
      <w:bookmarkStart w:id="1" w:name="_GoBack"/>
      <w:bookmarkEnd w:id="1"/>
      <w:r>
        <w:rPr>
          <w:rFonts w:cs="Arial"/>
          <w:szCs w:val="22"/>
        </w:rPr>
        <w:t>technický ředitel</w:t>
      </w:r>
    </w:p>
    <w:p w:rsidR="00EC4928" w:rsidRDefault="00EC4928" w:rsidP="00ED471F">
      <w:pPr>
        <w:autoSpaceDE w:val="0"/>
        <w:autoSpaceDN w:val="0"/>
        <w:adjustRightInd w:val="0"/>
        <w:ind w:left="426"/>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5A154F">
        <w:rPr>
          <w:rFonts w:cs="Arial"/>
          <w:szCs w:val="22"/>
        </w:rPr>
        <w:t>AQUATIS a.s.</w:t>
      </w:r>
    </w:p>
    <w:p w:rsidR="00EC4928" w:rsidRDefault="00EC4928" w:rsidP="00ED471F">
      <w:pPr>
        <w:autoSpaceDE w:val="0"/>
        <w:autoSpaceDN w:val="0"/>
        <w:adjustRightInd w:val="0"/>
        <w:ind w:left="426"/>
        <w:rPr>
          <w:szCs w:val="22"/>
        </w:rPr>
      </w:pPr>
      <w:r>
        <w:rPr>
          <w:szCs w:val="22"/>
        </w:rPr>
        <w:tab/>
      </w:r>
      <w:r>
        <w:rPr>
          <w:szCs w:val="22"/>
        </w:rPr>
        <w:tab/>
      </w:r>
      <w:r>
        <w:rPr>
          <w:szCs w:val="22"/>
        </w:rPr>
        <w:tab/>
      </w:r>
      <w:r>
        <w:rPr>
          <w:szCs w:val="22"/>
        </w:rPr>
        <w:tab/>
      </w:r>
      <w:r>
        <w:rPr>
          <w:szCs w:val="22"/>
        </w:rPr>
        <w:tab/>
      </w:r>
      <w:r>
        <w:rPr>
          <w:szCs w:val="22"/>
        </w:rPr>
        <w:tab/>
      </w:r>
      <w:r>
        <w:rPr>
          <w:szCs w:val="22"/>
        </w:rPr>
        <w:tab/>
      </w:r>
    </w:p>
    <w:p w:rsidR="00EC4928" w:rsidRPr="00535FFD" w:rsidRDefault="00EC4928" w:rsidP="00ED471F">
      <w:pPr>
        <w:autoSpaceDE w:val="0"/>
        <w:autoSpaceDN w:val="0"/>
        <w:adjustRightInd w:val="0"/>
        <w:ind w:left="4674" w:firstLine="282"/>
        <w:rPr>
          <w:i/>
          <w:szCs w:val="22"/>
        </w:rPr>
      </w:pPr>
      <w:r w:rsidRPr="00535FFD">
        <w:rPr>
          <w:i/>
          <w:szCs w:val="22"/>
        </w:rPr>
        <w:t>za zhotovitele</w:t>
      </w:r>
    </w:p>
    <w:p w:rsidR="00EC4928" w:rsidRDefault="00EC4928" w:rsidP="00ED471F">
      <w:pPr>
        <w:autoSpaceDE w:val="0"/>
        <w:autoSpaceDN w:val="0"/>
        <w:adjustRightInd w:val="0"/>
        <w:ind w:left="426"/>
        <w:rPr>
          <w:szCs w:val="22"/>
        </w:rPr>
      </w:pPr>
    </w:p>
    <w:p w:rsidR="00EC4928" w:rsidRDefault="00EC4928" w:rsidP="00ED471F">
      <w:pPr>
        <w:autoSpaceDE w:val="0"/>
        <w:autoSpaceDN w:val="0"/>
        <w:adjustRightInd w:val="0"/>
        <w:ind w:left="426"/>
        <w:rPr>
          <w:szCs w:val="22"/>
        </w:rPr>
      </w:pPr>
    </w:p>
    <w:p w:rsidR="009D1181" w:rsidRDefault="009D1181" w:rsidP="00ED471F">
      <w:pPr>
        <w:tabs>
          <w:tab w:val="left" w:pos="4820"/>
        </w:tabs>
        <w:autoSpaceDE w:val="0"/>
        <w:autoSpaceDN w:val="0"/>
        <w:adjustRightInd w:val="0"/>
        <w:ind w:left="284"/>
        <w:rPr>
          <w:rFonts w:cs="Arial"/>
          <w:szCs w:val="22"/>
        </w:rPr>
      </w:pP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71B" w:rsidRDefault="0079071B">
      <w:r>
        <w:separator/>
      </w:r>
    </w:p>
  </w:endnote>
  <w:endnote w:type="continuationSeparator" w:id="0">
    <w:p w:rsidR="0079071B" w:rsidRDefault="0079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rsidR="00F639F1" w:rsidRPr="008D51A5" w:rsidRDefault="00F639F1" w:rsidP="00476A4A">
    <w:pPr>
      <w:pStyle w:val="Zpat"/>
      <w:jc w:val="right"/>
      <w:rPr>
        <w:rFonts w:cs="Arial"/>
        <w:sz w:val="18"/>
        <w:szCs w:val="18"/>
      </w:rPr>
    </w:pPr>
  </w:p>
  <w:p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71B" w:rsidRDefault="0079071B">
      <w:r>
        <w:separator/>
      </w:r>
    </w:p>
  </w:footnote>
  <w:footnote w:type="continuationSeparator" w:id="0">
    <w:p w:rsidR="0079071B" w:rsidRDefault="0079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4F497D">
      <w:rPr>
        <w:rFonts w:cs="Arial"/>
        <w:sz w:val="18"/>
        <w:szCs w:val="18"/>
      </w:rPr>
      <w:t>198</w:t>
    </w:r>
    <w:r w:rsidR="00002566">
      <w:rPr>
        <w:rFonts w:cs="Arial"/>
        <w:sz w:val="18"/>
        <w:szCs w:val="18"/>
      </w:rPr>
      <w:t>/2021</w:t>
    </w:r>
  </w:p>
  <w:p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8"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0"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3"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1"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0"/>
  </w:num>
  <w:num w:numId="4">
    <w:abstractNumId w:val="25"/>
  </w:num>
  <w:num w:numId="5">
    <w:abstractNumId w:val="6"/>
  </w:num>
  <w:num w:numId="6">
    <w:abstractNumId w:val="29"/>
  </w:num>
  <w:num w:numId="7">
    <w:abstractNumId w:val="30"/>
  </w:num>
  <w:num w:numId="8">
    <w:abstractNumId w:val="2"/>
  </w:num>
  <w:num w:numId="9">
    <w:abstractNumId w:val="1"/>
  </w:num>
  <w:num w:numId="10">
    <w:abstractNumId w:val="35"/>
  </w:num>
  <w:num w:numId="11">
    <w:abstractNumId w:val="26"/>
  </w:num>
  <w:num w:numId="12">
    <w:abstractNumId w:val="31"/>
  </w:num>
  <w:num w:numId="13">
    <w:abstractNumId w:val="10"/>
  </w:num>
  <w:num w:numId="14">
    <w:abstractNumId w:val="27"/>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28"/>
  </w:num>
  <w:num w:numId="26">
    <w:abstractNumId w:val="14"/>
  </w:num>
  <w:num w:numId="27">
    <w:abstractNumId w:val="9"/>
  </w:num>
  <w:num w:numId="28">
    <w:abstractNumId w:val="33"/>
  </w:num>
  <w:num w:numId="29">
    <w:abstractNumId w:val="18"/>
  </w:num>
  <w:num w:numId="30">
    <w:abstractNumId w:val="23"/>
  </w:num>
  <w:num w:numId="31">
    <w:abstractNumId w:val="34"/>
  </w:num>
  <w:num w:numId="32">
    <w:abstractNumId w:val="32"/>
  </w:num>
  <w:num w:numId="33">
    <w:abstractNumId w:val="5"/>
  </w:num>
  <w:num w:numId="34">
    <w:abstractNumId w:val="3"/>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9"/>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732F"/>
    <w:rsid w:val="00160643"/>
    <w:rsid w:val="00161E22"/>
    <w:rsid w:val="00162FED"/>
    <w:rsid w:val="00163376"/>
    <w:rsid w:val="00166045"/>
    <w:rsid w:val="00171631"/>
    <w:rsid w:val="00174636"/>
    <w:rsid w:val="001749C3"/>
    <w:rsid w:val="00185265"/>
    <w:rsid w:val="00195227"/>
    <w:rsid w:val="001A1BF6"/>
    <w:rsid w:val="001A47CD"/>
    <w:rsid w:val="001B20E9"/>
    <w:rsid w:val="001B402B"/>
    <w:rsid w:val="001B6C4B"/>
    <w:rsid w:val="001B76AD"/>
    <w:rsid w:val="001C17C3"/>
    <w:rsid w:val="001C3DCD"/>
    <w:rsid w:val="001C3EB3"/>
    <w:rsid w:val="001D077E"/>
    <w:rsid w:val="001D129D"/>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D0328"/>
    <w:rsid w:val="002D192B"/>
    <w:rsid w:val="002E66D4"/>
    <w:rsid w:val="002E7B0A"/>
    <w:rsid w:val="002F1369"/>
    <w:rsid w:val="002F15CB"/>
    <w:rsid w:val="002F241D"/>
    <w:rsid w:val="002F6AB0"/>
    <w:rsid w:val="002F77ED"/>
    <w:rsid w:val="003000F1"/>
    <w:rsid w:val="00300D6D"/>
    <w:rsid w:val="0030624A"/>
    <w:rsid w:val="00311B26"/>
    <w:rsid w:val="00313116"/>
    <w:rsid w:val="00314B40"/>
    <w:rsid w:val="00316C20"/>
    <w:rsid w:val="00320F2F"/>
    <w:rsid w:val="00322AB4"/>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3295"/>
    <w:rsid w:val="003D6285"/>
    <w:rsid w:val="003D75A6"/>
    <w:rsid w:val="003F236C"/>
    <w:rsid w:val="00404FA3"/>
    <w:rsid w:val="004100F6"/>
    <w:rsid w:val="00411E9C"/>
    <w:rsid w:val="00414DA0"/>
    <w:rsid w:val="0042126F"/>
    <w:rsid w:val="00422AFF"/>
    <w:rsid w:val="004252EB"/>
    <w:rsid w:val="00425797"/>
    <w:rsid w:val="00426E85"/>
    <w:rsid w:val="004313FB"/>
    <w:rsid w:val="00440DE8"/>
    <w:rsid w:val="004479F4"/>
    <w:rsid w:val="00454738"/>
    <w:rsid w:val="00454954"/>
    <w:rsid w:val="00463CB8"/>
    <w:rsid w:val="00470AE1"/>
    <w:rsid w:val="00476A4A"/>
    <w:rsid w:val="004779E6"/>
    <w:rsid w:val="00487108"/>
    <w:rsid w:val="00487F0A"/>
    <w:rsid w:val="00490189"/>
    <w:rsid w:val="004919DA"/>
    <w:rsid w:val="00492030"/>
    <w:rsid w:val="00493010"/>
    <w:rsid w:val="00495C0F"/>
    <w:rsid w:val="004A2FD4"/>
    <w:rsid w:val="004A4786"/>
    <w:rsid w:val="004A4A8A"/>
    <w:rsid w:val="004B6B87"/>
    <w:rsid w:val="004C0B09"/>
    <w:rsid w:val="004C304B"/>
    <w:rsid w:val="004C396C"/>
    <w:rsid w:val="004C50D3"/>
    <w:rsid w:val="004D1CF5"/>
    <w:rsid w:val="004D29F2"/>
    <w:rsid w:val="004D3F48"/>
    <w:rsid w:val="004E0013"/>
    <w:rsid w:val="004E4E40"/>
    <w:rsid w:val="004E69FF"/>
    <w:rsid w:val="004F076C"/>
    <w:rsid w:val="004F497D"/>
    <w:rsid w:val="004F576E"/>
    <w:rsid w:val="004F78FB"/>
    <w:rsid w:val="00501673"/>
    <w:rsid w:val="00504E42"/>
    <w:rsid w:val="0050601E"/>
    <w:rsid w:val="00522424"/>
    <w:rsid w:val="0052371F"/>
    <w:rsid w:val="0052468C"/>
    <w:rsid w:val="005257D4"/>
    <w:rsid w:val="00527558"/>
    <w:rsid w:val="00531101"/>
    <w:rsid w:val="0053391A"/>
    <w:rsid w:val="005368F8"/>
    <w:rsid w:val="0055206D"/>
    <w:rsid w:val="00561238"/>
    <w:rsid w:val="00566190"/>
    <w:rsid w:val="00570C17"/>
    <w:rsid w:val="00576944"/>
    <w:rsid w:val="0058265B"/>
    <w:rsid w:val="0058552C"/>
    <w:rsid w:val="00590B52"/>
    <w:rsid w:val="00590FCA"/>
    <w:rsid w:val="00594B1E"/>
    <w:rsid w:val="005A6E12"/>
    <w:rsid w:val="005C3E55"/>
    <w:rsid w:val="005C644A"/>
    <w:rsid w:val="005D5110"/>
    <w:rsid w:val="005E2FD1"/>
    <w:rsid w:val="005F18F6"/>
    <w:rsid w:val="005F1F2B"/>
    <w:rsid w:val="00605814"/>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692"/>
    <w:rsid w:val="006C5F61"/>
    <w:rsid w:val="006C602E"/>
    <w:rsid w:val="006D0F7D"/>
    <w:rsid w:val="006D3D75"/>
    <w:rsid w:val="006E062C"/>
    <w:rsid w:val="006E0D2A"/>
    <w:rsid w:val="006E6E68"/>
    <w:rsid w:val="006F73E2"/>
    <w:rsid w:val="006F77BF"/>
    <w:rsid w:val="006F7D2E"/>
    <w:rsid w:val="00704C92"/>
    <w:rsid w:val="007132AE"/>
    <w:rsid w:val="007173C2"/>
    <w:rsid w:val="00717462"/>
    <w:rsid w:val="00720841"/>
    <w:rsid w:val="00721E48"/>
    <w:rsid w:val="00724D18"/>
    <w:rsid w:val="0072521F"/>
    <w:rsid w:val="00725DD1"/>
    <w:rsid w:val="007317EB"/>
    <w:rsid w:val="00744967"/>
    <w:rsid w:val="00755BCA"/>
    <w:rsid w:val="00762E4F"/>
    <w:rsid w:val="00776584"/>
    <w:rsid w:val="00776B6D"/>
    <w:rsid w:val="00780F56"/>
    <w:rsid w:val="0078134D"/>
    <w:rsid w:val="00781B6E"/>
    <w:rsid w:val="00783045"/>
    <w:rsid w:val="00784C5B"/>
    <w:rsid w:val="007856A3"/>
    <w:rsid w:val="00787C8A"/>
    <w:rsid w:val="00787FDA"/>
    <w:rsid w:val="0079071B"/>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1A4C"/>
    <w:rsid w:val="007F2D48"/>
    <w:rsid w:val="00800E6D"/>
    <w:rsid w:val="00820923"/>
    <w:rsid w:val="00822518"/>
    <w:rsid w:val="00822F3C"/>
    <w:rsid w:val="00824A92"/>
    <w:rsid w:val="0082518C"/>
    <w:rsid w:val="008338EB"/>
    <w:rsid w:val="00837762"/>
    <w:rsid w:val="00840DA5"/>
    <w:rsid w:val="00841258"/>
    <w:rsid w:val="008432CA"/>
    <w:rsid w:val="008432E7"/>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51A5"/>
    <w:rsid w:val="008D773C"/>
    <w:rsid w:val="008D78CB"/>
    <w:rsid w:val="008D79EB"/>
    <w:rsid w:val="008E004D"/>
    <w:rsid w:val="008E3236"/>
    <w:rsid w:val="008F1139"/>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0EE"/>
    <w:rsid w:val="00953219"/>
    <w:rsid w:val="009577CF"/>
    <w:rsid w:val="009620D9"/>
    <w:rsid w:val="00967069"/>
    <w:rsid w:val="009673EF"/>
    <w:rsid w:val="00967830"/>
    <w:rsid w:val="00976896"/>
    <w:rsid w:val="009819FA"/>
    <w:rsid w:val="00982625"/>
    <w:rsid w:val="009832DA"/>
    <w:rsid w:val="009843D6"/>
    <w:rsid w:val="009853B6"/>
    <w:rsid w:val="0098649E"/>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D1181"/>
    <w:rsid w:val="009D1968"/>
    <w:rsid w:val="009D3592"/>
    <w:rsid w:val="009D78F9"/>
    <w:rsid w:val="009F4251"/>
    <w:rsid w:val="009F42F0"/>
    <w:rsid w:val="009F4727"/>
    <w:rsid w:val="009F6E2C"/>
    <w:rsid w:val="00A0137D"/>
    <w:rsid w:val="00A0281B"/>
    <w:rsid w:val="00A057BF"/>
    <w:rsid w:val="00A058DF"/>
    <w:rsid w:val="00A075C1"/>
    <w:rsid w:val="00A16062"/>
    <w:rsid w:val="00A1615F"/>
    <w:rsid w:val="00A17BE4"/>
    <w:rsid w:val="00A206AE"/>
    <w:rsid w:val="00A208DC"/>
    <w:rsid w:val="00A304FA"/>
    <w:rsid w:val="00A31015"/>
    <w:rsid w:val="00A31E98"/>
    <w:rsid w:val="00A36D6C"/>
    <w:rsid w:val="00A411F0"/>
    <w:rsid w:val="00A415F1"/>
    <w:rsid w:val="00A451E8"/>
    <w:rsid w:val="00A46384"/>
    <w:rsid w:val="00A53B62"/>
    <w:rsid w:val="00A55FD5"/>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6F90"/>
    <w:rsid w:val="00AF777B"/>
    <w:rsid w:val="00AF7E28"/>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0DB8"/>
    <w:rsid w:val="00B739FD"/>
    <w:rsid w:val="00B76263"/>
    <w:rsid w:val="00B7669F"/>
    <w:rsid w:val="00B77113"/>
    <w:rsid w:val="00B840BD"/>
    <w:rsid w:val="00B86729"/>
    <w:rsid w:val="00B92C56"/>
    <w:rsid w:val="00B94105"/>
    <w:rsid w:val="00B9577A"/>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8716C"/>
    <w:rsid w:val="00C90695"/>
    <w:rsid w:val="00C92369"/>
    <w:rsid w:val="00C942E3"/>
    <w:rsid w:val="00C9450E"/>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01CC"/>
    <w:rsid w:val="00E343DF"/>
    <w:rsid w:val="00E436F4"/>
    <w:rsid w:val="00E55D9E"/>
    <w:rsid w:val="00E5610F"/>
    <w:rsid w:val="00E57C8B"/>
    <w:rsid w:val="00E57D22"/>
    <w:rsid w:val="00E6189E"/>
    <w:rsid w:val="00E623BD"/>
    <w:rsid w:val="00E648D5"/>
    <w:rsid w:val="00E73A70"/>
    <w:rsid w:val="00E754C9"/>
    <w:rsid w:val="00E7626D"/>
    <w:rsid w:val="00E7713D"/>
    <w:rsid w:val="00E81FC9"/>
    <w:rsid w:val="00E83007"/>
    <w:rsid w:val="00EA2209"/>
    <w:rsid w:val="00EA36D5"/>
    <w:rsid w:val="00EA48DF"/>
    <w:rsid w:val="00EA6C7C"/>
    <w:rsid w:val="00EB40F3"/>
    <w:rsid w:val="00EC4928"/>
    <w:rsid w:val="00EC5B72"/>
    <w:rsid w:val="00EC62BB"/>
    <w:rsid w:val="00ED1B27"/>
    <w:rsid w:val="00ED461C"/>
    <w:rsid w:val="00ED471F"/>
    <w:rsid w:val="00EE2F0F"/>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C4F9D"/>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D4B99"/>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2905</Words>
  <Characters>17146</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Jorová Jaroslava</cp:lastModifiedBy>
  <cp:revision>3</cp:revision>
  <cp:lastPrinted>2019-10-09T08:09:00Z</cp:lastPrinted>
  <dcterms:created xsi:type="dcterms:W3CDTF">2021-02-15T14:19:00Z</dcterms:created>
  <dcterms:modified xsi:type="dcterms:W3CDTF">2021-02-15T14:20:00Z</dcterms:modified>
</cp:coreProperties>
</file>