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13EABA0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8B1F99">
      <w:pPr>
        <w:spacing w:after="0" w:line="276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38FB8FB" w14:textId="77777777" w:rsidR="008B1F99" w:rsidRDefault="004E48E2" w:rsidP="008B1F99">
      <w:pPr>
        <w:spacing w:after="0" w:line="276" w:lineRule="auto"/>
        <w:rPr>
          <w:rFonts w:cstheme="minorHAnsi"/>
        </w:rPr>
      </w:pPr>
      <w:r w:rsidRPr="004E48E2">
        <w:rPr>
          <w:rFonts w:cstheme="minorHAnsi"/>
        </w:rPr>
        <w:t>a</w:t>
      </w:r>
    </w:p>
    <w:p w14:paraId="46C31506" w14:textId="656EE4B1" w:rsidR="005D17DF" w:rsidRPr="00B109EF" w:rsidRDefault="008B1F99" w:rsidP="008B1F99">
      <w:pPr>
        <w:spacing w:after="0" w:line="276" w:lineRule="auto"/>
        <w:rPr>
          <w:rFonts w:cstheme="minorHAnsi"/>
          <w:b/>
        </w:rPr>
      </w:pPr>
      <w:r w:rsidRPr="00B109EF">
        <w:rPr>
          <w:rFonts w:cstheme="minorHAnsi"/>
          <w:b/>
          <w:shd w:val="clear" w:color="auto" w:fill="FFFFFF"/>
        </w:rPr>
        <w:t>Stavební a malířská, s.r.o.</w:t>
      </w:r>
    </w:p>
    <w:p w14:paraId="0E271FCF" w14:textId="5252FA80" w:rsidR="00141652" w:rsidRPr="00B109EF" w:rsidRDefault="003A584C" w:rsidP="008B1F99">
      <w:pPr>
        <w:spacing w:after="0" w:line="276" w:lineRule="auto"/>
        <w:rPr>
          <w:rFonts w:cstheme="minorHAnsi"/>
        </w:rPr>
      </w:pPr>
      <w:r w:rsidRPr="00B109EF">
        <w:rPr>
          <w:rFonts w:cstheme="minorHAnsi"/>
        </w:rPr>
        <w:t xml:space="preserve">se sídlem: </w:t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  <w:r w:rsidR="008B1F99" w:rsidRPr="00B109EF">
        <w:rPr>
          <w:rFonts w:cstheme="minorHAnsi"/>
          <w:shd w:val="clear" w:color="auto" w:fill="FFFFFF"/>
        </w:rPr>
        <w:t>Horácká 225, 250 84 Křenice</w:t>
      </w:r>
    </w:p>
    <w:p w14:paraId="0DFBF3E3" w14:textId="6C4AE6D3" w:rsidR="00141652" w:rsidRPr="00B109EF" w:rsidRDefault="00141652" w:rsidP="005D17DF">
      <w:pPr>
        <w:spacing w:after="0" w:line="276" w:lineRule="auto"/>
        <w:rPr>
          <w:rStyle w:val="platne1"/>
          <w:rFonts w:cstheme="minorHAnsi"/>
        </w:rPr>
      </w:pPr>
      <w:r w:rsidRPr="00B109EF">
        <w:rPr>
          <w:rFonts w:cstheme="minorHAnsi"/>
        </w:rPr>
        <w:t>zastoupená:</w:t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</w:p>
    <w:p w14:paraId="15C7FAF9" w14:textId="5E6F6684" w:rsidR="00141652" w:rsidRPr="00B109EF" w:rsidRDefault="00141652" w:rsidP="005D17D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76" w:lineRule="auto"/>
        <w:rPr>
          <w:rFonts w:cstheme="minorHAnsi"/>
          <w:bCs/>
        </w:rPr>
      </w:pPr>
      <w:r w:rsidRPr="00B109EF">
        <w:rPr>
          <w:rFonts w:cstheme="minorHAnsi"/>
        </w:rPr>
        <w:t xml:space="preserve">IČ:  </w:t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  <w:r w:rsidRPr="00B109EF">
        <w:rPr>
          <w:rFonts w:cstheme="minorHAnsi"/>
        </w:rPr>
        <w:tab/>
      </w:r>
      <w:r w:rsidR="008B1F99" w:rsidRPr="00B109EF">
        <w:rPr>
          <w:rFonts w:cstheme="minorHAnsi"/>
        </w:rPr>
        <w:t>27124185</w:t>
      </w:r>
    </w:p>
    <w:p w14:paraId="4F67F5AB" w14:textId="277AC54A" w:rsidR="00141652" w:rsidRPr="00B109EF" w:rsidRDefault="00D772A0" w:rsidP="005D17DF">
      <w:pPr>
        <w:spacing w:after="0" w:line="276" w:lineRule="auto"/>
        <w:rPr>
          <w:rFonts w:cstheme="minorHAnsi"/>
          <w:bCs/>
        </w:rPr>
      </w:pPr>
      <w:r w:rsidRPr="00B109EF">
        <w:rPr>
          <w:rFonts w:cstheme="minorHAnsi"/>
          <w:bCs/>
        </w:rPr>
        <w:t>DIČ</w:t>
      </w:r>
      <w:r w:rsidR="00141652" w:rsidRPr="00B109EF">
        <w:rPr>
          <w:rFonts w:cstheme="minorHAnsi"/>
          <w:bCs/>
        </w:rPr>
        <w:t>:</w:t>
      </w:r>
      <w:r w:rsidR="00141652" w:rsidRPr="00B109EF">
        <w:rPr>
          <w:rFonts w:cstheme="minorHAnsi"/>
          <w:bCs/>
        </w:rPr>
        <w:tab/>
      </w:r>
      <w:r w:rsidR="00141652" w:rsidRPr="00B109EF">
        <w:rPr>
          <w:rFonts w:cstheme="minorHAnsi"/>
          <w:bCs/>
        </w:rPr>
        <w:tab/>
      </w:r>
      <w:r w:rsidR="00141652" w:rsidRPr="00B109EF">
        <w:rPr>
          <w:rFonts w:cstheme="minorHAnsi"/>
          <w:bCs/>
        </w:rPr>
        <w:tab/>
      </w:r>
      <w:r w:rsidR="009F7126" w:rsidRPr="00B109EF">
        <w:rPr>
          <w:rFonts w:cstheme="minorHAnsi"/>
          <w:bCs/>
        </w:rPr>
        <w:t>CZ</w:t>
      </w:r>
      <w:r w:rsidR="008B1F99" w:rsidRPr="00B109EF">
        <w:rPr>
          <w:rFonts w:cstheme="minorHAnsi"/>
        </w:rPr>
        <w:t xml:space="preserve"> </w:t>
      </w:r>
      <w:r w:rsidR="008B1F99" w:rsidRPr="00B109EF">
        <w:rPr>
          <w:rFonts w:cstheme="minorHAnsi"/>
          <w:bCs/>
        </w:rPr>
        <w:t>27124185</w:t>
      </w:r>
    </w:p>
    <w:p w14:paraId="6248891F" w14:textId="377260D5" w:rsidR="00141652" w:rsidRPr="005D17DF" w:rsidRDefault="00B109EF" w:rsidP="00B109EF">
      <w:pPr>
        <w:tabs>
          <w:tab w:val="left" w:pos="271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17D060AA" w:rsidR="00291245" w:rsidRDefault="00870018" w:rsidP="006E46E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6E46EA">
        <w:t>objednávky č. OBJ20/</w:t>
      </w:r>
      <w:r w:rsidR="00731454">
        <w:t>596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731454">
        <w:rPr>
          <w:rFonts w:ascii="Calibri" w:eastAsia="Calibri" w:hAnsi="Calibri" w:cs="Calibri"/>
        </w:rPr>
        <w:t>29.7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</w:t>
      </w:r>
      <w:r w:rsidR="00731454">
        <w:t xml:space="preserve"> opravu </w:t>
      </w:r>
      <w:r w:rsidR="00731454" w:rsidRPr="00731454">
        <w:t>prasklých zdí s odpadlým obkladem na</w:t>
      </w:r>
      <w:r w:rsidR="00731454">
        <w:t xml:space="preserve"> </w:t>
      </w:r>
      <w:r w:rsidR="00731454" w:rsidRPr="00731454">
        <w:t>WC, včetně následné výmalby</w:t>
      </w:r>
      <w:r w:rsidR="00CB37ED">
        <w:t xml:space="preserve"> </w:t>
      </w:r>
      <w:r w:rsidR="00731454" w:rsidRPr="00731454">
        <w:t>- oddělení koťátka a berušky</w:t>
      </w:r>
      <w:r w:rsidR="00CB37ED" w:rsidRPr="00CB37ED">
        <w:t xml:space="preserve"> </w:t>
      </w:r>
      <w:r w:rsidR="00CB37ED">
        <w:t>ve škole ul. Křejpského 1503</w:t>
      </w:r>
      <w:r w:rsidR="00731454" w:rsidRPr="00731454">
        <w:t xml:space="preserve">, dle </w:t>
      </w:r>
      <w:r w:rsidR="00CB37ED">
        <w:t>cenové nabídky ze dne 26.7.2020</w:t>
      </w:r>
      <w:r w:rsidR="003556F2">
        <w:t xml:space="preserve"> </w:t>
      </w:r>
      <w:r w:rsidR="00D86D84">
        <w:t xml:space="preserve">za </w:t>
      </w:r>
      <w:r w:rsidR="00257AC6">
        <w:t xml:space="preserve">cenu </w:t>
      </w:r>
      <w:r w:rsidR="00731454">
        <w:t>60161</w:t>
      </w:r>
      <w:r w:rsidR="00257AC6">
        <w:t xml:space="preserve"> Kč </w:t>
      </w:r>
      <w:r w:rsidR="006E46EA">
        <w:t xml:space="preserve">bez DPH.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27512153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CB37ED">
        <w:rPr>
          <w:i/>
        </w:rPr>
        <w:t>/596</w:t>
      </w:r>
      <w:r w:rsidR="00407C2A">
        <w:rPr>
          <w:i/>
        </w:rPr>
        <w:t xml:space="preserve"> ze d</w:t>
      </w:r>
      <w:r w:rsidR="003116BE">
        <w:rPr>
          <w:i/>
        </w:rPr>
        <w:t>ne</w:t>
      </w:r>
      <w:r w:rsidR="00CB37ED">
        <w:rPr>
          <w:i/>
        </w:rPr>
        <w:t xml:space="preserve"> 29</w:t>
      </w:r>
      <w:r w:rsidR="00D86D84">
        <w:rPr>
          <w:i/>
        </w:rPr>
        <w:t>.</w:t>
      </w:r>
      <w:r w:rsidR="00CB37ED">
        <w:rPr>
          <w:i/>
        </w:rPr>
        <w:t>7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500D7262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452E6D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                            </w:t>
      </w:r>
      <w:r w:rsidR="00452E6D">
        <w:rPr>
          <w:rFonts w:ascii="Calibri" w:hAnsi="Calibri" w:cs="Calibri"/>
        </w:rPr>
        <w:t xml:space="preserve">                    </w:t>
      </w:r>
      <w:bookmarkStart w:id="0" w:name="_GoBack"/>
      <w:bookmarkEnd w:id="0"/>
      <w:r w:rsidR="00452E6D">
        <w:rPr>
          <w:rFonts w:ascii="Calibri" w:hAnsi="Calibri" w:cs="Calibri"/>
        </w:rPr>
        <w:t>V Praze dne 3.3.2021</w:t>
      </w:r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05C51D1A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r w:rsidR="00B109EF">
        <w:rPr>
          <w:rFonts w:ascii="Calibri" w:hAnsi="Calibri" w:cs="Calibri"/>
        </w:rPr>
        <w:t xml:space="preserve">Stavební </w:t>
      </w:r>
      <w:r w:rsidR="00E77377">
        <w:rPr>
          <w:rFonts w:ascii="Calibri" w:hAnsi="Calibri" w:cs="Calibri"/>
        </w:rPr>
        <w:t>malířská</w:t>
      </w:r>
      <w:r w:rsidR="00B109EF">
        <w:rPr>
          <w:rFonts w:ascii="Calibri" w:hAnsi="Calibri" w:cs="Calibri"/>
        </w:rPr>
        <w:t>, s.r.o.</w:t>
      </w:r>
    </w:p>
    <w:p w14:paraId="3A833CD1" w14:textId="02C7A986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57AC6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52E6D"/>
    <w:rsid w:val="00470A57"/>
    <w:rsid w:val="004D163E"/>
    <w:rsid w:val="004E48E2"/>
    <w:rsid w:val="00502C51"/>
    <w:rsid w:val="00531126"/>
    <w:rsid w:val="00543F5D"/>
    <w:rsid w:val="005B23DB"/>
    <w:rsid w:val="005D17DF"/>
    <w:rsid w:val="00671855"/>
    <w:rsid w:val="00684C14"/>
    <w:rsid w:val="006D5BE6"/>
    <w:rsid w:val="006E46EA"/>
    <w:rsid w:val="006E6CE7"/>
    <w:rsid w:val="006F6549"/>
    <w:rsid w:val="006F6DC2"/>
    <w:rsid w:val="00713BFC"/>
    <w:rsid w:val="00731454"/>
    <w:rsid w:val="007935F6"/>
    <w:rsid w:val="007B4A0B"/>
    <w:rsid w:val="007D0040"/>
    <w:rsid w:val="007E2116"/>
    <w:rsid w:val="00830BE1"/>
    <w:rsid w:val="00847D36"/>
    <w:rsid w:val="008514A1"/>
    <w:rsid w:val="00870018"/>
    <w:rsid w:val="00885211"/>
    <w:rsid w:val="008A4E8F"/>
    <w:rsid w:val="008B1F99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109EF"/>
    <w:rsid w:val="00B4004C"/>
    <w:rsid w:val="00B70347"/>
    <w:rsid w:val="00B92249"/>
    <w:rsid w:val="00BF750C"/>
    <w:rsid w:val="00C17672"/>
    <w:rsid w:val="00C71F65"/>
    <w:rsid w:val="00CB37ED"/>
    <w:rsid w:val="00CD408F"/>
    <w:rsid w:val="00D072F9"/>
    <w:rsid w:val="00D30B16"/>
    <w:rsid w:val="00D31818"/>
    <w:rsid w:val="00D37640"/>
    <w:rsid w:val="00D53C3E"/>
    <w:rsid w:val="00D772A0"/>
    <w:rsid w:val="00D8469E"/>
    <w:rsid w:val="00D86D84"/>
    <w:rsid w:val="00D97625"/>
    <w:rsid w:val="00DF6457"/>
    <w:rsid w:val="00E02558"/>
    <w:rsid w:val="00E0515B"/>
    <w:rsid w:val="00E77377"/>
    <w:rsid w:val="00EB159C"/>
    <w:rsid w:val="00F52268"/>
    <w:rsid w:val="00F967AA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2021-03-03T09:09:00Z</dcterms:created>
  <dcterms:modified xsi:type="dcterms:W3CDTF">2021-03-03T09:09:00Z</dcterms:modified>
</cp:coreProperties>
</file>