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8B" w:rsidRDefault="001C0E8B" w:rsidP="00212612">
      <w:pPr>
        <w:spacing w:after="0" w:line="259" w:lineRule="auto"/>
        <w:ind w:left="567" w:right="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5041D" w:rsidRDefault="00866F00" w:rsidP="00212612">
      <w:pPr>
        <w:spacing w:after="0" w:line="259" w:lineRule="auto"/>
        <w:ind w:left="567" w:right="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4B4D">
        <w:rPr>
          <w:rFonts w:ascii="Times New Roman" w:hAnsi="Times New Roman" w:cs="Times New Roman"/>
          <w:b/>
          <w:sz w:val="23"/>
          <w:szCs w:val="23"/>
        </w:rPr>
        <w:t>Dohoda o vypořádání bezdůvodného obohacení a o započtení</w:t>
      </w:r>
    </w:p>
    <w:p w:rsidR="004F2063" w:rsidRPr="00C34B4D" w:rsidRDefault="004F2063" w:rsidP="00212612">
      <w:pPr>
        <w:spacing w:after="0" w:line="259" w:lineRule="auto"/>
        <w:ind w:left="567" w:right="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866F00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Níže uvedeného dne, měsíce a roku uzavřely níže uvedené smluvní strany:</w:t>
      </w: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192E14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  <w:b/>
        </w:rPr>
        <w:t>Město Nový Jičín</w:t>
      </w:r>
      <w:r w:rsidRPr="00C34B4D">
        <w:rPr>
          <w:rFonts w:ascii="Times New Roman" w:hAnsi="Times New Roman" w:cs="Times New Roman"/>
        </w:rPr>
        <w:t>, se sídlem Masarykovo nám. 1/1, Nový Jičín, PSČ 741 01</w:t>
      </w:r>
    </w:p>
    <w:p w:rsidR="00192E14" w:rsidRPr="00C34B4D" w:rsidRDefault="004E6D93" w:rsidP="00212612">
      <w:pPr>
        <w:pStyle w:val="Bezmezer"/>
        <w:ind w:left="567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92E14" w:rsidRPr="00C34B4D">
        <w:rPr>
          <w:rFonts w:ascii="Times New Roman" w:hAnsi="Times New Roman" w:cs="Times New Roman"/>
        </w:rPr>
        <w:t>astoupeno Mgr. Radkou Bobkovou, MBA, vedoucí organizační složky Návštěvnické centrum Nový Jičín – město klobouků</w:t>
      </w:r>
    </w:p>
    <w:p w:rsidR="00192E14" w:rsidRPr="00C34B4D" w:rsidRDefault="00192E14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IČO: 00298212</w:t>
      </w:r>
    </w:p>
    <w:p w:rsidR="00192E14" w:rsidRPr="00C34B4D" w:rsidRDefault="00192E14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DIČ: CZ00298212</w:t>
      </w:r>
    </w:p>
    <w:p w:rsidR="00192E14" w:rsidRPr="00C34B4D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F7905">
        <w:rPr>
          <w:rFonts w:ascii="Times New Roman" w:hAnsi="Times New Roman" w:cs="Times New Roman"/>
        </w:rPr>
        <w:t xml:space="preserve">ankovní spojení: </w:t>
      </w:r>
      <w:proofErr w:type="spellStart"/>
      <w:r w:rsidR="00DF7905">
        <w:rPr>
          <w:rFonts w:ascii="Times New Roman" w:hAnsi="Times New Roman" w:cs="Times New Roman"/>
        </w:rPr>
        <w:t>xxxxxxxxxxxxxx</w:t>
      </w:r>
      <w:proofErr w:type="spellEnd"/>
    </w:p>
    <w:p w:rsidR="00192E14" w:rsidRPr="00C34B4D" w:rsidRDefault="00DF7905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xxxxxxxxxxxxx</w:t>
      </w:r>
      <w:proofErr w:type="spellEnd"/>
    </w:p>
    <w:p w:rsidR="00192E14" w:rsidRPr="00C34B4D" w:rsidRDefault="00192E14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(dále též „Objednatel“)</w:t>
      </w:r>
    </w:p>
    <w:p w:rsidR="00192E14" w:rsidRPr="00C34B4D" w:rsidRDefault="00192E14" w:rsidP="00212612">
      <w:pPr>
        <w:ind w:left="567" w:right="567"/>
        <w:rPr>
          <w:rFonts w:ascii="Times New Roman" w:hAnsi="Times New Roman" w:cs="Times New Roman"/>
        </w:rPr>
      </w:pPr>
    </w:p>
    <w:p w:rsidR="0035041D" w:rsidRPr="00C34B4D" w:rsidRDefault="00866F00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a</w:t>
      </w: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  <w:b/>
        </w:rPr>
      </w:pPr>
      <w:r w:rsidRPr="00360C2B">
        <w:rPr>
          <w:rFonts w:ascii="Times New Roman" w:hAnsi="Times New Roman" w:cs="Times New Roman"/>
          <w:b/>
        </w:rPr>
        <w:t xml:space="preserve">TONAK a.s. </w:t>
      </w: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>se sídlem Zborovská 823</w:t>
      </w:r>
      <w:r w:rsidR="00E96DFD" w:rsidRPr="00360C2B">
        <w:rPr>
          <w:rFonts w:ascii="Times New Roman" w:hAnsi="Times New Roman" w:cs="Times New Roman"/>
        </w:rPr>
        <w:t>/65</w:t>
      </w:r>
      <w:r w:rsidRPr="00360C2B">
        <w:rPr>
          <w:rFonts w:ascii="Times New Roman" w:hAnsi="Times New Roman" w:cs="Times New Roman"/>
        </w:rPr>
        <w:t xml:space="preserve">, 741 01 Nový Jičín </w:t>
      </w: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 xml:space="preserve">zastoupená Ing. Jiřím </w:t>
      </w:r>
      <w:proofErr w:type="spellStart"/>
      <w:r w:rsidRPr="00360C2B">
        <w:rPr>
          <w:rFonts w:ascii="Times New Roman" w:hAnsi="Times New Roman" w:cs="Times New Roman"/>
        </w:rPr>
        <w:t>Tourkem</w:t>
      </w:r>
      <w:proofErr w:type="spellEnd"/>
      <w:r w:rsidRPr="00360C2B">
        <w:rPr>
          <w:rFonts w:ascii="Times New Roman" w:hAnsi="Times New Roman" w:cs="Times New Roman"/>
        </w:rPr>
        <w:t xml:space="preserve">, </w:t>
      </w:r>
      <w:r w:rsidR="00E96DFD" w:rsidRPr="00360C2B">
        <w:rPr>
          <w:rFonts w:ascii="Times New Roman" w:hAnsi="Times New Roman" w:cs="Times New Roman"/>
        </w:rPr>
        <w:t xml:space="preserve">členem Správní rady </w:t>
      </w: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>IČO: 00013226</w:t>
      </w: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>DIČ: CZ00013226</w:t>
      </w: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>zapsaná u Krajského soudu v</w:t>
      </w:r>
      <w:r w:rsidR="00E96DFD" w:rsidRPr="00360C2B">
        <w:rPr>
          <w:rFonts w:ascii="Times New Roman" w:hAnsi="Times New Roman" w:cs="Times New Roman"/>
        </w:rPr>
        <w:t> </w:t>
      </w:r>
      <w:r w:rsidRPr="00360C2B">
        <w:rPr>
          <w:rFonts w:ascii="Times New Roman" w:hAnsi="Times New Roman" w:cs="Times New Roman"/>
        </w:rPr>
        <w:t>Ostravě</w:t>
      </w:r>
      <w:r w:rsidR="00E96DFD" w:rsidRPr="00360C2B">
        <w:rPr>
          <w:rFonts w:ascii="Times New Roman" w:hAnsi="Times New Roman" w:cs="Times New Roman"/>
        </w:rPr>
        <w:t xml:space="preserve"> pod </w:t>
      </w:r>
      <w:proofErr w:type="spellStart"/>
      <w:r w:rsidR="00E96DFD" w:rsidRPr="00360C2B">
        <w:rPr>
          <w:rFonts w:ascii="Times New Roman" w:hAnsi="Times New Roman" w:cs="Times New Roman"/>
        </w:rPr>
        <w:t>sp</w:t>
      </w:r>
      <w:proofErr w:type="spellEnd"/>
      <w:r w:rsidR="00E96DFD" w:rsidRPr="00360C2B">
        <w:rPr>
          <w:rFonts w:ascii="Times New Roman" w:hAnsi="Times New Roman" w:cs="Times New Roman"/>
        </w:rPr>
        <w:t xml:space="preserve">. zn. </w:t>
      </w:r>
      <w:r w:rsidRPr="00360C2B">
        <w:rPr>
          <w:rFonts w:ascii="Times New Roman" w:hAnsi="Times New Roman" w:cs="Times New Roman"/>
        </w:rPr>
        <w:t>B 110</w:t>
      </w:r>
    </w:p>
    <w:p w:rsidR="004E6D93" w:rsidRPr="00360C2B" w:rsidRDefault="004E6D93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 xml:space="preserve">bankovní spojení: </w:t>
      </w:r>
      <w:proofErr w:type="spellStart"/>
      <w:r w:rsidR="00DF7905">
        <w:rPr>
          <w:rFonts w:ascii="Times New Roman" w:hAnsi="Times New Roman" w:cs="Times New Roman"/>
        </w:rPr>
        <w:t>xxxxxxxxxxxxxxxxxxxxxx</w:t>
      </w:r>
      <w:proofErr w:type="spellEnd"/>
    </w:p>
    <w:p w:rsidR="004E6D93" w:rsidRPr="00360C2B" w:rsidRDefault="004E6D93" w:rsidP="00B4693B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proofErr w:type="spellStart"/>
      <w:proofErr w:type="gramStart"/>
      <w:r w:rsidRPr="00360C2B">
        <w:rPr>
          <w:rFonts w:ascii="Times New Roman" w:hAnsi="Times New Roman" w:cs="Times New Roman"/>
        </w:rPr>
        <w:t>č.ú</w:t>
      </w:r>
      <w:proofErr w:type="spellEnd"/>
      <w:r w:rsidRPr="00360C2B">
        <w:rPr>
          <w:rFonts w:ascii="Times New Roman" w:hAnsi="Times New Roman" w:cs="Times New Roman"/>
        </w:rPr>
        <w:t>:</w:t>
      </w:r>
      <w:proofErr w:type="gramEnd"/>
      <w:r w:rsidRPr="00360C2B">
        <w:rPr>
          <w:rFonts w:ascii="Times New Roman" w:hAnsi="Times New Roman" w:cs="Times New Roman"/>
        </w:rPr>
        <w:t xml:space="preserve"> </w:t>
      </w:r>
      <w:proofErr w:type="spellStart"/>
      <w:r w:rsidR="00DF7905">
        <w:rPr>
          <w:rFonts w:ascii="Times New Roman" w:hAnsi="Times New Roman" w:cs="Times New Roman"/>
        </w:rPr>
        <w:t>xxxxxxxxxxxx</w:t>
      </w:r>
      <w:proofErr w:type="spellEnd"/>
    </w:p>
    <w:p w:rsidR="00192E14" w:rsidRPr="00C34B4D" w:rsidRDefault="006E5F8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r w:rsidRPr="00360C2B">
        <w:rPr>
          <w:rFonts w:ascii="Times New Roman" w:hAnsi="Times New Roman" w:cs="Times New Roman"/>
        </w:rPr>
        <w:t>(dále též „Prodávající</w:t>
      </w:r>
      <w:r w:rsidR="00192E14" w:rsidRPr="00360C2B">
        <w:rPr>
          <w:rFonts w:ascii="Times New Roman" w:hAnsi="Times New Roman" w:cs="Times New Roman"/>
        </w:rPr>
        <w:t>“)</w:t>
      </w:r>
    </w:p>
    <w:p w:rsidR="00B4693B" w:rsidRDefault="00B4693B" w:rsidP="00B4693B">
      <w:pPr>
        <w:ind w:left="0" w:right="567" w:firstLine="0"/>
        <w:rPr>
          <w:rFonts w:ascii="Times New Roman" w:hAnsi="Times New Roman" w:cs="Times New Roman"/>
        </w:rPr>
      </w:pPr>
    </w:p>
    <w:p w:rsidR="0035041D" w:rsidRPr="00C34B4D" w:rsidRDefault="005D0CDF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tuto</w:t>
      </w:r>
    </w:p>
    <w:p w:rsidR="0035041D" w:rsidRPr="00C34B4D" w:rsidRDefault="00C20F93" w:rsidP="00B4693B">
      <w:pPr>
        <w:ind w:left="0" w:right="567" w:firstLine="0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 xml:space="preserve">                                 </w:t>
      </w:r>
      <w:r w:rsidR="00B4693B">
        <w:rPr>
          <w:rFonts w:ascii="Times New Roman" w:hAnsi="Times New Roman" w:cs="Times New Roman"/>
        </w:rPr>
        <w:tab/>
      </w:r>
      <w:r w:rsidR="00B4693B">
        <w:rPr>
          <w:rFonts w:ascii="Times New Roman" w:hAnsi="Times New Roman" w:cs="Times New Roman"/>
        </w:rPr>
        <w:tab/>
      </w:r>
      <w:r w:rsidR="00866F00" w:rsidRPr="00C34B4D">
        <w:rPr>
          <w:rFonts w:ascii="Times New Roman" w:hAnsi="Times New Roman" w:cs="Times New Roman"/>
        </w:rPr>
        <w:t>Dohodu o vypořádání bezdůvodného obohacení a o započtení</w:t>
      </w:r>
    </w:p>
    <w:p w:rsidR="0035041D" w:rsidRPr="00C34B4D" w:rsidRDefault="0035041D" w:rsidP="001C0E8B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</w:p>
    <w:p w:rsidR="0035041D" w:rsidRPr="00C34B4D" w:rsidRDefault="001C0E8B" w:rsidP="001C0E8B">
      <w:pPr>
        <w:pStyle w:val="Nadpis1"/>
        <w:numPr>
          <w:ilvl w:val="0"/>
          <w:numId w:val="0"/>
        </w:numPr>
        <w:ind w:left="10" w:right="510" w:hanging="10"/>
        <w:rPr>
          <w:rFonts w:ascii="Times New Roman" w:hAnsi="Times New Roman" w:cs="Times New Roman"/>
          <w:b/>
        </w:rPr>
      </w:pPr>
      <w:r w:rsidRPr="00C34B4D">
        <w:rPr>
          <w:rFonts w:ascii="Times New Roman" w:hAnsi="Times New Roman" w:cs="Times New Roman"/>
          <w:b/>
        </w:rPr>
        <w:t xml:space="preserve">         </w:t>
      </w:r>
      <w:r w:rsidR="00C20F93" w:rsidRPr="00C34B4D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C34B4D">
        <w:rPr>
          <w:rFonts w:ascii="Times New Roman" w:hAnsi="Times New Roman" w:cs="Times New Roman"/>
          <w:b/>
        </w:rPr>
        <w:t xml:space="preserve"> I. </w:t>
      </w:r>
      <w:r w:rsidR="00866F00" w:rsidRPr="00C34B4D">
        <w:rPr>
          <w:rFonts w:ascii="Times New Roman" w:hAnsi="Times New Roman" w:cs="Times New Roman"/>
          <w:b/>
        </w:rPr>
        <w:t>Úvodní ustanovení</w:t>
      </w:r>
    </w:p>
    <w:p w:rsidR="00167CC8" w:rsidRPr="00C34B4D" w:rsidRDefault="00167CC8" w:rsidP="00212612">
      <w:pPr>
        <w:ind w:left="567" w:right="567"/>
        <w:rPr>
          <w:rFonts w:ascii="Times New Roman" w:hAnsi="Times New Roman" w:cs="Times New Roman"/>
        </w:rPr>
      </w:pPr>
    </w:p>
    <w:p w:rsidR="00167CC8" w:rsidRPr="00C34B4D" w:rsidRDefault="00167CC8" w:rsidP="005F285A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 xml:space="preserve">Dne </w:t>
      </w:r>
      <w:proofErr w:type="gramStart"/>
      <w:r w:rsidR="005F285A">
        <w:rPr>
          <w:rFonts w:ascii="Times New Roman" w:hAnsi="Times New Roman" w:cs="Times New Roman"/>
        </w:rPr>
        <w:t>06.02.2019</w:t>
      </w:r>
      <w:proofErr w:type="gramEnd"/>
      <w:r w:rsidRPr="00C34B4D">
        <w:rPr>
          <w:rFonts w:ascii="Times New Roman" w:hAnsi="Times New Roman" w:cs="Times New Roman"/>
        </w:rPr>
        <w:t xml:space="preserve"> </w:t>
      </w:r>
      <w:r w:rsidR="00D617E0">
        <w:rPr>
          <w:rFonts w:ascii="Times New Roman" w:hAnsi="Times New Roman" w:cs="Times New Roman"/>
        </w:rPr>
        <w:t>Objednatel</w:t>
      </w:r>
      <w:r w:rsidR="00D617E0" w:rsidRPr="00C34B4D" w:rsidDel="00D617E0">
        <w:rPr>
          <w:rFonts w:ascii="Times New Roman" w:hAnsi="Times New Roman" w:cs="Times New Roman"/>
        </w:rPr>
        <w:t xml:space="preserve"> </w:t>
      </w:r>
      <w:r w:rsidR="005F285A">
        <w:rPr>
          <w:rFonts w:ascii="Times New Roman" w:hAnsi="Times New Roman" w:cs="Times New Roman"/>
        </w:rPr>
        <w:t>vyhotovil a Prodávajícímu</w:t>
      </w:r>
      <w:r w:rsidR="00D617E0">
        <w:rPr>
          <w:rFonts w:ascii="Times New Roman" w:hAnsi="Times New Roman" w:cs="Times New Roman"/>
        </w:rPr>
        <w:t xml:space="preserve"> odeslal </w:t>
      </w:r>
      <w:r w:rsidRPr="00C34B4D">
        <w:rPr>
          <w:rFonts w:ascii="Times New Roman" w:hAnsi="Times New Roman" w:cs="Times New Roman"/>
        </w:rPr>
        <w:t>Objednávku,</w:t>
      </w:r>
      <w:r w:rsidR="005F285A">
        <w:rPr>
          <w:rFonts w:ascii="Times New Roman" w:hAnsi="Times New Roman" w:cs="Times New Roman"/>
        </w:rPr>
        <w:t xml:space="preserve"> evidovanou pod číslem 223/2019</w:t>
      </w:r>
      <w:r w:rsidR="00C43781" w:rsidRPr="00C34B4D">
        <w:rPr>
          <w:rFonts w:ascii="Times New Roman" w:hAnsi="Times New Roman" w:cs="Times New Roman"/>
        </w:rPr>
        <w:t>/NCNJ</w:t>
      </w:r>
      <w:r w:rsidRPr="00C34B4D">
        <w:rPr>
          <w:rFonts w:ascii="Times New Roman" w:hAnsi="Times New Roman" w:cs="Times New Roman"/>
        </w:rPr>
        <w:t>, jejímž předmětem byl</w:t>
      </w:r>
      <w:r w:rsidR="005F285A">
        <w:rPr>
          <w:rFonts w:ascii="Times New Roman" w:hAnsi="Times New Roman" w:cs="Times New Roman"/>
        </w:rPr>
        <w:t>o</w:t>
      </w:r>
      <w:r w:rsidRPr="00C34B4D">
        <w:rPr>
          <w:rFonts w:ascii="Times New Roman" w:hAnsi="Times New Roman" w:cs="Times New Roman"/>
        </w:rPr>
        <w:t xml:space="preserve"> </w:t>
      </w:r>
      <w:r w:rsidR="005F285A">
        <w:rPr>
          <w:rFonts w:ascii="Times New Roman" w:hAnsi="Times New Roman" w:cs="Times New Roman"/>
        </w:rPr>
        <w:t xml:space="preserve">dodání 600 ks polotovarů (klobouků šišáků) na výrobu </w:t>
      </w:r>
      <w:proofErr w:type="spellStart"/>
      <w:r w:rsidR="005F285A">
        <w:rPr>
          <w:rFonts w:ascii="Times New Roman" w:hAnsi="Times New Roman" w:cs="Times New Roman"/>
        </w:rPr>
        <w:t>minikloboučků</w:t>
      </w:r>
      <w:proofErr w:type="spellEnd"/>
      <w:r w:rsidR="005F285A">
        <w:rPr>
          <w:rFonts w:ascii="Times New Roman" w:hAnsi="Times New Roman" w:cs="Times New Roman"/>
        </w:rPr>
        <w:t xml:space="preserve">. </w:t>
      </w:r>
      <w:r w:rsidR="00D617E0" w:rsidRPr="00C34B4D">
        <w:rPr>
          <w:rFonts w:ascii="Times New Roman" w:hAnsi="Times New Roman" w:cs="Times New Roman"/>
        </w:rPr>
        <w:t>Výše uvedená objedn</w:t>
      </w:r>
      <w:r w:rsidR="005F285A">
        <w:rPr>
          <w:rFonts w:ascii="Times New Roman" w:hAnsi="Times New Roman" w:cs="Times New Roman"/>
        </w:rPr>
        <w:t>ávka byla vystavena na částku 65.000 Kč včetně 21%</w:t>
      </w:r>
      <w:r w:rsidR="00D617E0" w:rsidRPr="00C34B4D">
        <w:rPr>
          <w:rFonts w:ascii="Times New Roman" w:hAnsi="Times New Roman" w:cs="Times New Roman"/>
        </w:rPr>
        <w:t xml:space="preserve"> DPH</w:t>
      </w:r>
      <w:r w:rsidR="00D617E0">
        <w:rPr>
          <w:rFonts w:ascii="Times New Roman" w:hAnsi="Times New Roman" w:cs="Times New Roman"/>
        </w:rPr>
        <w:t xml:space="preserve">. </w:t>
      </w:r>
      <w:r w:rsidR="006B5DE8">
        <w:rPr>
          <w:rFonts w:ascii="Times New Roman" w:hAnsi="Times New Roman" w:cs="Times New Roman"/>
        </w:rPr>
        <w:t>Přijetím objednávky Prodávajícím</w:t>
      </w:r>
      <w:r w:rsidR="00D617E0">
        <w:rPr>
          <w:rFonts w:ascii="Times New Roman" w:hAnsi="Times New Roman" w:cs="Times New Roman"/>
        </w:rPr>
        <w:t xml:space="preserve"> byla uzavřena </w:t>
      </w:r>
      <w:r w:rsidR="005F285A">
        <w:rPr>
          <w:rFonts w:ascii="Times New Roman" w:hAnsi="Times New Roman" w:cs="Times New Roman"/>
        </w:rPr>
        <w:t>kupní smlouva</w:t>
      </w:r>
      <w:r w:rsidR="00D617E0">
        <w:rPr>
          <w:rFonts w:ascii="Times New Roman" w:hAnsi="Times New Roman" w:cs="Times New Roman"/>
        </w:rPr>
        <w:t xml:space="preserve">. Objednávka nebyla uveřejněna v registru smluv. </w:t>
      </w:r>
    </w:p>
    <w:p w:rsidR="00167CC8" w:rsidRPr="00C34B4D" w:rsidRDefault="00167CC8" w:rsidP="00212612">
      <w:pPr>
        <w:ind w:left="567" w:right="567"/>
        <w:rPr>
          <w:rFonts w:ascii="Times New Roman" w:hAnsi="Times New Roman" w:cs="Times New Roman"/>
        </w:rPr>
      </w:pPr>
    </w:p>
    <w:p w:rsidR="0035041D" w:rsidRPr="00C34B4D" w:rsidRDefault="0035041D" w:rsidP="00167CC8">
      <w:pPr>
        <w:spacing w:after="0" w:line="259" w:lineRule="auto"/>
        <w:ind w:left="0" w:right="567" w:firstLine="0"/>
        <w:rPr>
          <w:rFonts w:ascii="Times New Roman" w:hAnsi="Times New Roman" w:cs="Times New Roman"/>
        </w:rPr>
      </w:pPr>
    </w:p>
    <w:p w:rsidR="0035041D" w:rsidRPr="00C34B4D" w:rsidRDefault="001C0E8B" w:rsidP="001C0E8B">
      <w:pPr>
        <w:pStyle w:val="Nadpis1"/>
        <w:numPr>
          <w:ilvl w:val="0"/>
          <w:numId w:val="0"/>
        </w:numPr>
        <w:ind w:right="567"/>
        <w:rPr>
          <w:rFonts w:ascii="Times New Roman" w:hAnsi="Times New Roman" w:cs="Times New Roman"/>
          <w:b/>
        </w:rPr>
      </w:pPr>
      <w:r w:rsidRPr="00C34B4D">
        <w:rPr>
          <w:rFonts w:ascii="Times New Roman" w:hAnsi="Times New Roman" w:cs="Times New Roman"/>
          <w:b/>
        </w:rPr>
        <w:t xml:space="preserve">         </w:t>
      </w:r>
      <w:r w:rsidR="00C20F93" w:rsidRPr="00C34B4D"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C34B4D">
        <w:rPr>
          <w:rFonts w:ascii="Times New Roman" w:hAnsi="Times New Roman" w:cs="Times New Roman"/>
          <w:b/>
        </w:rPr>
        <w:t xml:space="preserve"> II. </w:t>
      </w:r>
      <w:r w:rsidR="00866F00" w:rsidRPr="00C34B4D">
        <w:rPr>
          <w:rFonts w:ascii="Times New Roman" w:hAnsi="Times New Roman" w:cs="Times New Roman"/>
          <w:b/>
        </w:rPr>
        <w:t>Vznik bezdůvodného obohacení</w:t>
      </w:r>
    </w:p>
    <w:p w:rsidR="00167CC8" w:rsidRPr="00C34B4D" w:rsidRDefault="00167CC8" w:rsidP="00167CC8"/>
    <w:p w:rsidR="00E06315" w:rsidRPr="00DF58A4" w:rsidRDefault="00417BE4" w:rsidP="00300DCC">
      <w:pPr>
        <w:ind w:left="567" w:right="547" w:firstLine="0"/>
        <w:rPr>
          <w:rFonts w:ascii="Times New Roman" w:hAnsi="Times New Roman" w:cs="Times New Roman"/>
          <w:i/>
        </w:rPr>
      </w:pPr>
      <w:r w:rsidRPr="00C34B4D">
        <w:rPr>
          <w:rFonts w:ascii="Times New Roman" w:hAnsi="Times New Roman" w:cs="Times New Roman"/>
        </w:rPr>
        <w:t>Dle zákona č. 340/2015 Sb. o registru smluv, ve znění pozdějších předpisů (dále jen „ZRS“) podléhají</w:t>
      </w:r>
      <w:r w:rsidR="00DF58A4">
        <w:rPr>
          <w:rFonts w:ascii="Times New Roman" w:hAnsi="Times New Roman" w:cs="Times New Roman"/>
          <w:i/>
        </w:rPr>
        <w:t xml:space="preserve"> </w:t>
      </w:r>
      <w:r w:rsidRPr="00C34B4D">
        <w:rPr>
          <w:rFonts w:ascii="Times New Roman" w:hAnsi="Times New Roman" w:cs="Times New Roman"/>
        </w:rPr>
        <w:t>smlouvy</w:t>
      </w:r>
      <w:r w:rsidR="00D617E0">
        <w:rPr>
          <w:rFonts w:ascii="Times New Roman" w:hAnsi="Times New Roman" w:cs="Times New Roman"/>
        </w:rPr>
        <w:t>, jejichž hodnota přesahuje částku</w:t>
      </w:r>
      <w:r w:rsidRPr="00C34B4D">
        <w:rPr>
          <w:rFonts w:ascii="Times New Roman" w:hAnsi="Times New Roman" w:cs="Times New Roman"/>
        </w:rPr>
        <w:t xml:space="preserve"> 50.000 Kč bez DPH</w:t>
      </w:r>
      <w:r w:rsidR="00D617E0">
        <w:rPr>
          <w:rFonts w:ascii="Times New Roman" w:hAnsi="Times New Roman" w:cs="Times New Roman"/>
        </w:rPr>
        <w:t>,</w:t>
      </w:r>
      <w:r w:rsidRPr="00C34B4D">
        <w:rPr>
          <w:rFonts w:ascii="Times New Roman" w:hAnsi="Times New Roman" w:cs="Times New Roman"/>
        </w:rPr>
        <w:t xml:space="preserve"> uveřejnění v registru </w:t>
      </w:r>
      <w:r w:rsidR="00C43781" w:rsidRPr="00C34B4D">
        <w:rPr>
          <w:rFonts w:ascii="Times New Roman" w:hAnsi="Times New Roman" w:cs="Times New Roman"/>
        </w:rPr>
        <w:t>smluv.</w:t>
      </w:r>
      <w:r w:rsidR="00AC15B7" w:rsidRPr="00C34B4D">
        <w:rPr>
          <w:rFonts w:ascii="Times New Roman" w:hAnsi="Times New Roman" w:cs="Times New Roman"/>
        </w:rPr>
        <w:t xml:space="preserve"> </w:t>
      </w:r>
      <w:r w:rsidR="00D617E0">
        <w:rPr>
          <w:rFonts w:ascii="Times New Roman" w:hAnsi="Times New Roman" w:cs="Times New Roman"/>
        </w:rPr>
        <w:t>Neuveřejněním objednávky tedy d</w:t>
      </w:r>
      <w:r w:rsidR="00AC15B7" w:rsidRPr="00C34B4D">
        <w:rPr>
          <w:rFonts w:ascii="Times New Roman" w:hAnsi="Times New Roman" w:cs="Times New Roman"/>
        </w:rPr>
        <w:t>ošlo k porušení zákona č. 340/2015 Sb. o registru smluv, ve znění pozdějších předpisů (dále jen „ZRS“)</w:t>
      </w:r>
      <w:r w:rsidR="00D617E0">
        <w:rPr>
          <w:rFonts w:ascii="Times New Roman" w:hAnsi="Times New Roman" w:cs="Times New Roman"/>
        </w:rPr>
        <w:t xml:space="preserve"> a následně </w:t>
      </w:r>
      <w:r w:rsidR="00872274" w:rsidRPr="00C34B4D">
        <w:rPr>
          <w:rFonts w:ascii="Times New Roman" w:hAnsi="Times New Roman" w:cs="Times New Roman"/>
        </w:rPr>
        <w:t xml:space="preserve">dle § 7 </w:t>
      </w:r>
      <w:r w:rsidR="00E06315" w:rsidRPr="00C34B4D">
        <w:rPr>
          <w:rFonts w:ascii="Times New Roman" w:hAnsi="Times New Roman" w:cs="Times New Roman"/>
        </w:rPr>
        <w:t>odst. 1 ZRS ke zrušení neuveřejněné smlouvy v registru smluv od samého počátku, neboť tato chyba byla odhalena po uplynutí tříměsíční lhůty uvedené v § 7 odst. 1 ZRS. V důsledku této nesprávnosti v uveřejnění vzniklo výše uvedeným smluvním stranám bezdůvodné obohacení, které je nutné vypořádat.</w:t>
      </w:r>
    </w:p>
    <w:p w:rsidR="00167CC8" w:rsidRPr="00C34B4D" w:rsidRDefault="00167CC8" w:rsidP="00417BE4"/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Default="001C0E8B" w:rsidP="001C0E8B">
      <w:pPr>
        <w:pStyle w:val="Nadpis1"/>
        <w:numPr>
          <w:ilvl w:val="0"/>
          <w:numId w:val="0"/>
        </w:numPr>
        <w:ind w:right="567"/>
        <w:rPr>
          <w:rFonts w:ascii="Times New Roman" w:hAnsi="Times New Roman" w:cs="Times New Roman"/>
          <w:b/>
        </w:rPr>
      </w:pPr>
      <w:r w:rsidRPr="00C34B4D">
        <w:rPr>
          <w:rFonts w:ascii="Times New Roman" w:hAnsi="Times New Roman" w:cs="Times New Roman"/>
          <w:b/>
        </w:rPr>
        <w:t xml:space="preserve">          </w:t>
      </w:r>
      <w:r w:rsidR="003B6222" w:rsidRPr="00C34B4D">
        <w:rPr>
          <w:rFonts w:ascii="Times New Roman" w:hAnsi="Times New Roman" w:cs="Times New Roman"/>
          <w:b/>
        </w:rPr>
        <w:t xml:space="preserve">                                            </w:t>
      </w:r>
      <w:r w:rsidRPr="00C34B4D">
        <w:rPr>
          <w:rFonts w:ascii="Times New Roman" w:hAnsi="Times New Roman" w:cs="Times New Roman"/>
          <w:b/>
        </w:rPr>
        <w:t xml:space="preserve">III. </w:t>
      </w:r>
      <w:r w:rsidR="00866F00" w:rsidRPr="00C34B4D">
        <w:rPr>
          <w:rFonts w:ascii="Times New Roman" w:hAnsi="Times New Roman" w:cs="Times New Roman"/>
          <w:b/>
        </w:rPr>
        <w:t>Vypořádání bezdůvodného obohacení a započtení</w:t>
      </w:r>
    </w:p>
    <w:p w:rsidR="00094DB7" w:rsidRPr="00094DB7" w:rsidRDefault="00094DB7" w:rsidP="00094DB7"/>
    <w:p w:rsidR="0038461D" w:rsidRDefault="0038461D" w:rsidP="00406830">
      <w:pPr>
        <w:ind w:left="567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Bezdůvodným obohacením jsou</w:t>
      </w:r>
      <w:r w:rsidR="005B33AF" w:rsidRPr="00C34B4D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 straně Objednatele přijaté polotovary (klobouky šišáky) v celkovém nákladu 600 ks na výrobu </w:t>
      </w:r>
      <w:proofErr w:type="spellStart"/>
      <w:r>
        <w:rPr>
          <w:rFonts w:ascii="Times New Roman" w:hAnsi="Times New Roman" w:cs="Times New Roman"/>
        </w:rPr>
        <w:t>minikloboučků</w:t>
      </w:r>
      <w:proofErr w:type="spellEnd"/>
      <w:r>
        <w:rPr>
          <w:rFonts w:ascii="Times New Roman" w:hAnsi="Times New Roman" w:cs="Times New Roman"/>
        </w:rPr>
        <w:t xml:space="preserve"> v hodnotě 65.340 Kč včetně 21% DPH. </w:t>
      </w:r>
    </w:p>
    <w:p w:rsidR="0038461D" w:rsidRDefault="0038461D" w:rsidP="00406830">
      <w:pPr>
        <w:ind w:left="567" w:right="567"/>
        <w:rPr>
          <w:rFonts w:ascii="Times New Roman" w:hAnsi="Times New Roman" w:cs="Times New Roman"/>
        </w:rPr>
      </w:pPr>
    </w:p>
    <w:p w:rsidR="0038461D" w:rsidRDefault="0038461D" w:rsidP="00406830">
      <w:pPr>
        <w:ind w:left="567" w:right="567"/>
        <w:rPr>
          <w:rFonts w:ascii="Times New Roman" w:hAnsi="Times New Roman" w:cs="Times New Roman"/>
        </w:rPr>
      </w:pPr>
    </w:p>
    <w:p w:rsidR="0038461D" w:rsidRDefault="0038461D" w:rsidP="00406830">
      <w:pPr>
        <w:ind w:left="567" w:right="567"/>
        <w:rPr>
          <w:rFonts w:ascii="Times New Roman" w:hAnsi="Times New Roman" w:cs="Times New Roman"/>
        </w:rPr>
      </w:pPr>
    </w:p>
    <w:p w:rsidR="0038461D" w:rsidRDefault="0038461D" w:rsidP="00406830">
      <w:pPr>
        <w:ind w:left="567" w:right="567"/>
        <w:rPr>
          <w:rFonts w:ascii="Times New Roman" w:hAnsi="Times New Roman" w:cs="Times New Roman"/>
        </w:rPr>
      </w:pPr>
    </w:p>
    <w:p w:rsidR="0035041D" w:rsidRPr="00C34B4D" w:rsidRDefault="0038461D" w:rsidP="00406830">
      <w:pPr>
        <w:ind w:left="567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straně Prod</w:t>
      </w:r>
      <w:r w:rsidR="00360C2B">
        <w:rPr>
          <w:rFonts w:ascii="Times New Roman" w:hAnsi="Times New Roman" w:cs="Times New Roman"/>
        </w:rPr>
        <w:t>ávajícíh</w:t>
      </w:r>
      <w:r w:rsidR="00E96DFD">
        <w:rPr>
          <w:rFonts w:ascii="Times New Roman" w:hAnsi="Times New Roman" w:cs="Times New Roman"/>
        </w:rPr>
        <w:t>o</w:t>
      </w:r>
      <w:r w:rsidR="001C0E8B" w:rsidRPr="00C34B4D">
        <w:rPr>
          <w:rFonts w:ascii="Times New Roman" w:hAnsi="Times New Roman" w:cs="Times New Roman"/>
        </w:rPr>
        <w:t xml:space="preserve"> je pak bezdůvodným obohacením úplata ve výši </w:t>
      </w:r>
      <w:r>
        <w:rPr>
          <w:rFonts w:ascii="Times New Roman" w:hAnsi="Times New Roman" w:cs="Times New Roman"/>
        </w:rPr>
        <w:t>65.340</w:t>
      </w:r>
      <w:r w:rsidR="00253839" w:rsidRPr="00C34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Kč včetně 21% </w:t>
      </w:r>
      <w:r w:rsidR="00C43781" w:rsidRPr="00C34B4D">
        <w:rPr>
          <w:rFonts w:ascii="Times New Roman" w:hAnsi="Times New Roman" w:cs="Times New Roman"/>
        </w:rPr>
        <w:t xml:space="preserve">DPH, </w:t>
      </w:r>
      <w:r w:rsidR="00E96DFD">
        <w:rPr>
          <w:rFonts w:ascii="Times New Roman" w:hAnsi="Times New Roman" w:cs="Times New Roman"/>
        </w:rPr>
        <w:t>kterou Prodávající za poskytnuté zboží vyúčtoval.</w:t>
      </w:r>
      <w:r w:rsidR="00866F00" w:rsidRPr="00C34B4D">
        <w:rPr>
          <w:rFonts w:ascii="Times New Roman" w:hAnsi="Times New Roman" w:cs="Times New Roman"/>
        </w:rPr>
        <w:t xml:space="preserve"> Objednatele</w:t>
      </w:r>
      <w:r w:rsidR="00253839" w:rsidRPr="00C34B4D">
        <w:rPr>
          <w:rFonts w:ascii="Times New Roman" w:hAnsi="Times New Roman" w:cs="Times New Roman"/>
        </w:rPr>
        <w:t xml:space="preserve">m byla výše uvedená cena </w:t>
      </w:r>
      <w:r w:rsidR="00514B43">
        <w:rPr>
          <w:rFonts w:ascii="Times New Roman" w:hAnsi="Times New Roman" w:cs="Times New Roman"/>
        </w:rPr>
        <w:t>polotovarů</w:t>
      </w:r>
      <w:r w:rsidR="00866F00" w:rsidRPr="00C34B4D">
        <w:rPr>
          <w:rFonts w:ascii="Times New Roman" w:hAnsi="Times New Roman" w:cs="Times New Roman"/>
        </w:rPr>
        <w:t xml:space="preserve"> uhrazena </w:t>
      </w:r>
      <w:r w:rsidR="003B1556">
        <w:rPr>
          <w:rFonts w:ascii="Times New Roman" w:hAnsi="Times New Roman" w:cs="Times New Roman"/>
        </w:rPr>
        <w:t>na základě faktury číslo</w:t>
      </w:r>
      <w:r w:rsidR="00D617E0">
        <w:rPr>
          <w:rFonts w:ascii="Times New Roman" w:hAnsi="Times New Roman" w:cs="Times New Roman"/>
        </w:rPr>
        <w:t xml:space="preserve"> </w:t>
      </w:r>
      <w:r w:rsidR="003B1556">
        <w:rPr>
          <w:rFonts w:ascii="Times New Roman" w:hAnsi="Times New Roman" w:cs="Times New Roman"/>
        </w:rPr>
        <w:t xml:space="preserve">FP </w:t>
      </w:r>
      <w:r w:rsidR="00514B43">
        <w:rPr>
          <w:rFonts w:ascii="Times New Roman" w:hAnsi="Times New Roman" w:cs="Times New Roman"/>
        </w:rPr>
        <w:t>676-19</w:t>
      </w:r>
      <w:r w:rsidR="003B1556">
        <w:rPr>
          <w:rFonts w:ascii="Times New Roman" w:hAnsi="Times New Roman" w:cs="Times New Roman"/>
        </w:rPr>
        <w:t xml:space="preserve"> </w:t>
      </w:r>
      <w:r w:rsidR="00866F00" w:rsidRPr="00C34B4D">
        <w:rPr>
          <w:rFonts w:ascii="Times New Roman" w:hAnsi="Times New Roman" w:cs="Times New Roman"/>
        </w:rPr>
        <w:t xml:space="preserve">dne </w:t>
      </w:r>
      <w:proofErr w:type="gramStart"/>
      <w:r w:rsidR="00514B43">
        <w:rPr>
          <w:rFonts w:ascii="Times New Roman" w:hAnsi="Times New Roman" w:cs="Times New Roman"/>
        </w:rPr>
        <w:t>15.03.2019</w:t>
      </w:r>
      <w:proofErr w:type="gramEnd"/>
      <w:r w:rsidR="00866F00" w:rsidRPr="00C34B4D">
        <w:rPr>
          <w:rFonts w:ascii="Times New Roman" w:hAnsi="Times New Roman" w:cs="Times New Roman"/>
        </w:rPr>
        <w:t>, z</w:t>
      </w:r>
      <w:r w:rsidR="00920D78">
        <w:rPr>
          <w:rFonts w:ascii="Times New Roman" w:hAnsi="Times New Roman" w:cs="Times New Roman"/>
        </w:rPr>
        <w:t xml:space="preserve"> bankovního </w:t>
      </w:r>
      <w:r w:rsidR="00DF7905">
        <w:rPr>
          <w:rFonts w:ascii="Times New Roman" w:hAnsi="Times New Roman" w:cs="Times New Roman"/>
        </w:rPr>
        <w:t xml:space="preserve">účtu číslo </w:t>
      </w:r>
      <w:proofErr w:type="spellStart"/>
      <w:r w:rsidR="00DF7905">
        <w:rPr>
          <w:rFonts w:ascii="Times New Roman" w:hAnsi="Times New Roman" w:cs="Times New Roman"/>
        </w:rPr>
        <w:t>xxxxxxxxxxx</w:t>
      </w:r>
      <w:proofErr w:type="spellEnd"/>
      <w:r w:rsidR="00B717EF" w:rsidRPr="00C34B4D">
        <w:rPr>
          <w:rFonts w:ascii="Times New Roman" w:hAnsi="Times New Roman" w:cs="Times New Roman"/>
        </w:rPr>
        <w:t>, veden</w:t>
      </w:r>
      <w:r w:rsidR="0060293F" w:rsidRPr="00C34B4D">
        <w:rPr>
          <w:rFonts w:ascii="Times New Roman" w:hAnsi="Times New Roman" w:cs="Times New Roman"/>
        </w:rPr>
        <w:t>ého</w:t>
      </w:r>
      <w:r w:rsidR="00DF7905">
        <w:rPr>
          <w:rFonts w:ascii="Times New Roman" w:hAnsi="Times New Roman" w:cs="Times New Roman"/>
        </w:rPr>
        <w:t xml:space="preserve"> u </w:t>
      </w:r>
      <w:proofErr w:type="spellStart"/>
      <w:r w:rsidR="00DF7905">
        <w:rPr>
          <w:rFonts w:ascii="Times New Roman" w:hAnsi="Times New Roman" w:cs="Times New Roman"/>
        </w:rPr>
        <w:t>xxxxxxxxxx</w:t>
      </w:r>
      <w:proofErr w:type="spellEnd"/>
      <w:r w:rsidR="00B717EF" w:rsidRPr="00C34B4D">
        <w:rPr>
          <w:rFonts w:ascii="Times New Roman" w:hAnsi="Times New Roman" w:cs="Times New Roman"/>
        </w:rPr>
        <w:t xml:space="preserve">. </w:t>
      </w:r>
      <w:r w:rsidR="00866F00" w:rsidRPr="00C34B4D">
        <w:rPr>
          <w:rFonts w:ascii="Times New Roman" w:hAnsi="Times New Roman" w:cs="Times New Roman"/>
        </w:rPr>
        <w:t>Smluvní strany při vypořádání bezdůvodného obohacení postupovaly podle § 2999 odst. 2 OZ, neboť vydání předmětu bezdůvodného obohacení Objednatelem není dobře možné. So</w:t>
      </w:r>
      <w:r w:rsidR="00817738">
        <w:rPr>
          <w:rFonts w:ascii="Times New Roman" w:hAnsi="Times New Roman" w:cs="Times New Roman"/>
        </w:rPr>
        <w:t>učasně ochuzený, tedy Prodávající</w:t>
      </w:r>
      <w:r w:rsidR="00866F00" w:rsidRPr="00C34B4D">
        <w:rPr>
          <w:rFonts w:ascii="Times New Roman" w:hAnsi="Times New Roman" w:cs="Times New Roman"/>
        </w:rPr>
        <w:t>, plnil za úplatu, přičemž mu náleží náhrada ve výši této ú</w:t>
      </w:r>
      <w:r w:rsidR="008D506B" w:rsidRPr="00C34B4D">
        <w:rPr>
          <w:rFonts w:ascii="Times New Roman" w:hAnsi="Times New Roman" w:cs="Times New Roman"/>
        </w:rPr>
        <w:t>platy</w:t>
      </w:r>
      <w:r w:rsidR="004E5C04">
        <w:rPr>
          <w:rFonts w:ascii="Times New Roman" w:hAnsi="Times New Roman" w:cs="Times New Roman"/>
        </w:rPr>
        <w:t>. Prodávající</w:t>
      </w:r>
      <w:r w:rsidR="00866F00" w:rsidRPr="00C34B4D">
        <w:rPr>
          <w:rFonts w:ascii="Times New Roman" w:hAnsi="Times New Roman" w:cs="Times New Roman"/>
        </w:rPr>
        <w:t xml:space="preserve"> musí přitom Objednateli vydat bezdůvodné obohacení ve výši úplaty </w:t>
      </w:r>
      <w:r w:rsidR="00E96DFD">
        <w:rPr>
          <w:rFonts w:ascii="Times New Roman" w:hAnsi="Times New Roman" w:cs="Times New Roman"/>
        </w:rPr>
        <w:t>vyúčtované na základě výše uvedené</w:t>
      </w:r>
      <w:r w:rsidR="008D506B" w:rsidRPr="00C34B4D">
        <w:rPr>
          <w:rFonts w:ascii="Times New Roman" w:hAnsi="Times New Roman" w:cs="Times New Roman"/>
        </w:rPr>
        <w:t xml:space="preserve"> smlouv</w:t>
      </w:r>
      <w:r w:rsidR="00E96DFD">
        <w:rPr>
          <w:rFonts w:ascii="Times New Roman" w:hAnsi="Times New Roman" w:cs="Times New Roman"/>
        </w:rPr>
        <w:t>y</w:t>
      </w:r>
      <w:r w:rsidR="00866F00" w:rsidRPr="00C34B4D">
        <w:rPr>
          <w:rFonts w:ascii="Times New Roman" w:hAnsi="Times New Roman" w:cs="Times New Roman"/>
        </w:rPr>
        <w:t xml:space="preserve">. Protože si výše uvedené smluvní strany dluží plnění stejného druhu (peněžité plnění) a ve stejné výši (tedy ve výši úplaty), vypořádávají bezdůvodné obohacení vzájemným započtením pohledávek v souladu s § 1982 odst. 1 OZ, přičemž obě pohledávky se </w:t>
      </w:r>
      <w:r w:rsidR="007E4073" w:rsidRPr="00C34B4D">
        <w:rPr>
          <w:rFonts w:ascii="Times New Roman" w:hAnsi="Times New Roman" w:cs="Times New Roman"/>
        </w:rPr>
        <w:t xml:space="preserve">dle § 1982 odst. 2 OZ </w:t>
      </w:r>
      <w:r w:rsidR="00866F00" w:rsidRPr="00C34B4D">
        <w:rPr>
          <w:rFonts w:ascii="Times New Roman" w:hAnsi="Times New Roman" w:cs="Times New Roman"/>
        </w:rPr>
        <w:t>tímto zcela ruší.</w:t>
      </w:r>
      <w:r w:rsidR="00406830">
        <w:rPr>
          <w:rFonts w:ascii="Times New Roman" w:hAnsi="Times New Roman" w:cs="Times New Roman"/>
        </w:rPr>
        <w:t xml:space="preserve"> </w:t>
      </w:r>
      <w:r w:rsidR="00866F00" w:rsidRPr="00C34B4D">
        <w:rPr>
          <w:rFonts w:ascii="Times New Roman" w:hAnsi="Times New Roman" w:cs="Times New Roman"/>
        </w:rPr>
        <w:t>T</w:t>
      </w:r>
      <w:r w:rsidR="007E4073" w:rsidRPr="00C34B4D">
        <w:rPr>
          <w:rFonts w:ascii="Times New Roman" w:hAnsi="Times New Roman" w:cs="Times New Roman"/>
        </w:rPr>
        <w:t>outo dohodou</w:t>
      </w:r>
      <w:r w:rsidR="00866F00" w:rsidRPr="00C34B4D">
        <w:rPr>
          <w:rFonts w:ascii="Times New Roman" w:hAnsi="Times New Roman" w:cs="Times New Roman"/>
        </w:rPr>
        <w:t xml:space="preserve"> pokládají obě smluvní strany výše uvedené bezdůvodné obohacení za zcela vypořádané.</w:t>
      </w: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Default="001C0E8B" w:rsidP="001C0E8B">
      <w:pPr>
        <w:pStyle w:val="Nadpis1"/>
        <w:numPr>
          <w:ilvl w:val="0"/>
          <w:numId w:val="0"/>
        </w:numPr>
        <w:ind w:left="10" w:right="567" w:hanging="10"/>
        <w:rPr>
          <w:rFonts w:ascii="Times New Roman" w:hAnsi="Times New Roman" w:cs="Times New Roman"/>
          <w:b/>
        </w:rPr>
      </w:pPr>
      <w:r w:rsidRPr="00C34B4D">
        <w:rPr>
          <w:rFonts w:ascii="Times New Roman" w:hAnsi="Times New Roman" w:cs="Times New Roman"/>
          <w:b/>
        </w:rPr>
        <w:t xml:space="preserve">         </w:t>
      </w:r>
      <w:r w:rsidR="003B6222" w:rsidRPr="00C34B4D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C34B4D">
        <w:rPr>
          <w:rFonts w:ascii="Times New Roman" w:hAnsi="Times New Roman" w:cs="Times New Roman"/>
          <w:b/>
        </w:rPr>
        <w:t xml:space="preserve"> IV. </w:t>
      </w:r>
      <w:r w:rsidR="00866F00" w:rsidRPr="00C34B4D">
        <w:rPr>
          <w:rFonts w:ascii="Times New Roman" w:hAnsi="Times New Roman" w:cs="Times New Roman"/>
          <w:b/>
        </w:rPr>
        <w:t>Závěrečná ujednání</w:t>
      </w:r>
    </w:p>
    <w:p w:rsidR="00094DB7" w:rsidRDefault="00094DB7" w:rsidP="00094DB7"/>
    <w:p w:rsidR="0035041D" w:rsidRPr="00C34B4D" w:rsidRDefault="00866F00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Práva a povinnosti touto dohodou výslovně neupravená se řídí O</w:t>
      </w:r>
      <w:r w:rsidR="00E96DFD">
        <w:rPr>
          <w:rFonts w:ascii="Times New Roman" w:hAnsi="Times New Roman" w:cs="Times New Roman"/>
        </w:rPr>
        <w:t>bčanským zákoníkem</w:t>
      </w:r>
      <w:r w:rsidRPr="00C34B4D">
        <w:rPr>
          <w:rFonts w:ascii="Times New Roman" w:hAnsi="Times New Roman" w:cs="Times New Roman"/>
        </w:rPr>
        <w:t xml:space="preserve"> a právními předpisy souvisejícími.</w:t>
      </w:r>
    </w:p>
    <w:p w:rsidR="0035041D" w:rsidRPr="00C34B4D" w:rsidRDefault="00866F00" w:rsidP="00212612">
      <w:pPr>
        <w:spacing w:line="250" w:lineRule="auto"/>
        <w:ind w:left="567" w:right="567" w:hanging="11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Veškeré změny a doplňky dohody mohou být provedeny pouze písemnou dohodou stran, označenou výslovně jako její dodatek.</w:t>
      </w:r>
    </w:p>
    <w:p w:rsidR="0035041D" w:rsidRPr="00C34B4D" w:rsidRDefault="00866F00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Tato dohoda nabývá platnosti dnem jejího podpisu oběma smluvními stranami. Účinnosti nabývá až řádným uveřejněním v registru smluv, přičemž toto uveřejnění zajistí Objednatel.</w:t>
      </w:r>
    </w:p>
    <w:p w:rsidR="0035041D" w:rsidRPr="00C34B4D" w:rsidRDefault="00866F00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Tato dohoda je vyhotovena ve dvou stejnopisech, z nichž jeden obdrží Objednatel a jeden Zhotovitel.</w:t>
      </w:r>
    </w:p>
    <w:p w:rsidR="0035041D" w:rsidRPr="00C34B4D" w:rsidRDefault="00866F00" w:rsidP="00212612">
      <w:pPr>
        <w:ind w:left="567" w:right="567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Výše uvedené smluvní strany prohlašují, že si tuto dohodu přečetly, že vyjadřuje obsah jejich pravé a svobodné vůle a že není uzavírána v tísni, na důkaz čehož připojují podpisy svých oprávněných zástupců.</w:t>
      </w: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094DB7" w:rsidRDefault="00094DB7" w:rsidP="00212612">
      <w:pPr>
        <w:tabs>
          <w:tab w:val="center" w:pos="2052"/>
          <w:tab w:val="center" w:pos="3540"/>
          <w:tab w:val="center" w:pos="4248"/>
          <w:tab w:val="center" w:pos="4957"/>
          <w:tab w:val="center" w:pos="5727"/>
          <w:tab w:val="center" w:pos="6373"/>
          <w:tab w:val="center" w:pos="7717"/>
        </w:tabs>
        <w:ind w:left="567" w:right="567" w:firstLine="0"/>
        <w:rPr>
          <w:rFonts w:ascii="Times New Roman" w:hAnsi="Times New Roman" w:cs="Times New Roman"/>
        </w:rPr>
      </w:pPr>
    </w:p>
    <w:p w:rsidR="00094DB7" w:rsidRDefault="00094DB7" w:rsidP="00212612">
      <w:pPr>
        <w:tabs>
          <w:tab w:val="center" w:pos="2052"/>
          <w:tab w:val="center" w:pos="3540"/>
          <w:tab w:val="center" w:pos="4248"/>
          <w:tab w:val="center" w:pos="4957"/>
          <w:tab w:val="center" w:pos="5727"/>
          <w:tab w:val="center" w:pos="6373"/>
          <w:tab w:val="center" w:pos="7717"/>
        </w:tabs>
        <w:ind w:left="567" w:right="567" w:firstLine="0"/>
        <w:rPr>
          <w:rFonts w:ascii="Times New Roman" w:hAnsi="Times New Roman" w:cs="Times New Roman"/>
        </w:rPr>
      </w:pPr>
    </w:p>
    <w:p w:rsidR="00094DB7" w:rsidRDefault="00094DB7" w:rsidP="00212612">
      <w:pPr>
        <w:tabs>
          <w:tab w:val="center" w:pos="2052"/>
          <w:tab w:val="center" w:pos="3540"/>
          <w:tab w:val="center" w:pos="4248"/>
          <w:tab w:val="center" w:pos="4957"/>
          <w:tab w:val="center" w:pos="5727"/>
          <w:tab w:val="center" w:pos="6373"/>
          <w:tab w:val="center" w:pos="7717"/>
        </w:tabs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866F00" w:rsidP="00212612">
      <w:pPr>
        <w:tabs>
          <w:tab w:val="center" w:pos="2052"/>
          <w:tab w:val="center" w:pos="3540"/>
          <w:tab w:val="center" w:pos="4248"/>
          <w:tab w:val="center" w:pos="4957"/>
          <w:tab w:val="center" w:pos="5727"/>
          <w:tab w:val="center" w:pos="6373"/>
          <w:tab w:val="center" w:pos="7717"/>
        </w:tabs>
        <w:ind w:left="567" w:right="567" w:firstLine="0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V</w:t>
      </w:r>
      <w:r w:rsidR="00041EDC" w:rsidRPr="00C34B4D">
        <w:rPr>
          <w:rFonts w:ascii="Times New Roman" w:hAnsi="Times New Roman" w:cs="Times New Roman"/>
        </w:rPr>
        <w:t xml:space="preserve"> Novém Jičíně </w:t>
      </w:r>
      <w:r w:rsidRPr="00C34B4D">
        <w:rPr>
          <w:rFonts w:ascii="Times New Roman" w:hAnsi="Times New Roman" w:cs="Times New Roman"/>
        </w:rPr>
        <w:t>dne</w:t>
      </w:r>
      <w:r w:rsidR="00514B43">
        <w:rPr>
          <w:rFonts w:ascii="Times New Roman" w:hAnsi="Times New Roman" w:cs="Times New Roman"/>
        </w:rPr>
        <w:t xml:space="preserve"> </w:t>
      </w:r>
      <w:proofErr w:type="gramStart"/>
      <w:r w:rsidR="00DF7905">
        <w:rPr>
          <w:rFonts w:ascii="Times New Roman" w:hAnsi="Times New Roman" w:cs="Times New Roman"/>
        </w:rPr>
        <w:t>02.03.2021</w:t>
      </w:r>
      <w:proofErr w:type="gramEnd"/>
      <w:r w:rsidR="00041EDC" w:rsidRPr="00C34B4D">
        <w:rPr>
          <w:rFonts w:ascii="Times New Roman" w:hAnsi="Times New Roman" w:cs="Times New Roman"/>
        </w:rPr>
        <w:tab/>
      </w:r>
      <w:r w:rsidRPr="00C34B4D">
        <w:rPr>
          <w:rFonts w:ascii="Times New Roman" w:hAnsi="Times New Roman" w:cs="Times New Roman"/>
        </w:rPr>
        <w:tab/>
        <w:t xml:space="preserve"> </w:t>
      </w:r>
      <w:r w:rsidRPr="00C34B4D">
        <w:rPr>
          <w:rFonts w:ascii="Times New Roman" w:hAnsi="Times New Roman" w:cs="Times New Roman"/>
        </w:rPr>
        <w:tab/>
        <w:t xml:space="preserve"> </w:t>
      </w:r>
      <w:r w:rsidRPr="00C34B4D">
        <w:rPr>
          <w:rFonts w:ascii="Times New Roman" w:hAnsi="Times New Roman" w:cs="Times New Roman"/>
        </w:rPr>
        <w:tab/>
        <w:t xml:space="preserve"> </w:t>
      </w:r>
      <w:r w:rsidRPr="00C34B4D">
        <w:rPr>
          <w:rFonts w:ascii="Times New Roman" w:hAnsi="Times New Roman" w:cs="Times New Roman"/>
        </w:rPr>
        <w:tab/>
      </w:r>
      <w:r w:rsidR="00DF7905">
        <w:rPr>
          <w:rFonts w:ascii="Times New Roman" w:hAnsi="Times New Roman" w:cs="Times New Roman"/>
        </w:rPr>
        <w:t xml:space="preserve">                  V Novém Jičíně </w:t>
      </w:r>
      <w:r w:rsidRPr="00C34B4D">
        <w:rPr>
          <w:rFonts w:ascii="Times New Roman" w:hAnsi="Times New Roman" w:cs="Times New Roman"/>
        </w:rPr>
        <w:t>dne</w:t>
      </w:r>
      <w:r w:rsidR="00DF7905">
        <w:rPr>
          <w:rFonts w:ascii="Times New Roman" w:hAnsi="Times New Roman" w:cs="Times New Roman"/>
        </w:rPr>
        <w:t xml:space="preserve"> 01.03.2021</w:t>
      </w: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35041D" w:rsidRPr="00C34B4D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6E4DDC" w:rsidRPr="00C34B4D" w:rsidRDefault="006E4DDC" w:rsidP="00212612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 xml:space="preserve">        </w:t>
      </w:r>
    </w:p>
    <w:p w:rsidR="006E4DDC" w:rsidRPr="00C34B4D" w:rsidRDefault="006E4DDC" w:rsidP="00212612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 xml:space="preserve">      </w:t>
      </w:r>
    </w:p>
    <w:p w:rsidR="00471556" w:rsidRPr="00C34B4D" w:rsidRDefault="006E4DDC" w:rsidP="00212612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 xml:space="preserve">       </w:t>
      </w:r>
    </w:p>
    <w:p w:rsidR="00471556" w:rsidRPr="00C34B4D" w:rsidRDefault="00177D2D" w:rsidP="00212612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>………………………………</w:t>
      </w:r>
      <w:r w:rsidR="00CE2E3A">
        <w:rPr>
          <w:rFonts w:ascii="Times New Roman" w:hAnsi="Times New Roman" w:cs="Times New Roman"/>
        </w:rPr>
        <w:tab/>
      </w:r>
      <w:r w:rsidR="00CE2E3A">
        <w:rPr>
          <w:rFonts w:ascii="Times New Roman" w:hAnsi="Times New Roman" w:cs="Times New Roman"/>
        </w:rPr>
        <w:tab/>
      </w:r>
      <w:r w:rsidR="00CE2E3A">
        <w:rPr>
          <w:rFonts w:ascii="Times New Roman" w:hAnsi="Times New Roman" w:cs="Times New Roman"/>
        </w:rPr>
        <w:tab/>
      </w:r>
      <w:r w:rsidR="00CE2E3A">
        <w:rPr>
          <w:rFonts w:ascii="Times New Roman" w:hAnsi="Times New Roman" w:cs="Times New Roman"/>
        </w:rPr>
        <w:tab/>
      </w:r>
      <w:r w:rsidR="00CE2E3A">
        <w:rPr>
          <w:rFonts w:ascii="Times New Roman" w:hAnsi="Times New Roman" w:cs="Times New Roman"/>
        </w:rPr>
        <w:tab/>
        <w:t xml:space="preserve">         </w:t>
      </w:r>
      <w:r w:rsidRPr="00C34B4D">
        <w:rPr>
          <w:rFonts w:ascii="Times New Roman" w:hAnsi="Times New Roman" w:cs="Times New Roman"/>
        </w:rPr>
        <w:t>……………………………</w:t>
      </w:r>
      <w:r w:rsidR="00CE2E3A">
        <w:rPr>
          <w:rFonts w:ascii="Times New Roman" w:hAnsi="Times New Roman" w:cs="Times New Roman"/>
        </w:rPr>
        <w:t>…….</w:t>
      </w:r>
    </w:p>
    <w:p w:rsidR="00471556" w:rsidRPr="00C34B4D" w:rsidRDefault="00471556" w:rsidP="00212612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</w:p>
    <w:p w:rsidR="0035041D" w:rsidRPr="001C0E8B" w:rsidRDefault="00471556" w:rsidP="00212612">
      <w:pPr>
        <w:spacing w:after="0" w:line="259" w:lineRule="auto"/>
        <w:ind w:left="567" w:right="567" w:firstLine="0"/>
        <w:jc w:val="left"/>
        <w:rPr>
          <w:rFonts w:ascii="Times New Roman" w:hAnsi="Times New Roman" w:cs="Times New Roman"/>
        </w:rPr>
      </w:pPr>
      <w:r w:rsidRPr="00C34B4D">
        <w:rPr>
          <w:rFonts w:ascii="Times New Roman" w:hAnsi="Times New Roman" w:cs="Times New Roman"/>
        </w:rPr>
        <w:t xml:space="preserve">         </w:t>
      </w:r>
      <w:r w:rsidR="00041EDC" w:rsidRPr="00C34B4D">
        <w:rPr>
          <w:rFonts w:ascii="Times New Roman" w:hAnsi="Times New Roman" w:cs="Times New Roman"/>
        </w:rPr>
        <w:t xml:space="preserve">Město Nový Jičín </w:t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6E4DDC" w:rsidRPr="00C34B4D">
        <w:rPr>
          <w:rFonts w:ascii="Times New Roman" w:hAnsi="Times New Roman" w:cs="Times New Roman"/>
        </w:rPr>
        <w:t xml:space="preserve">   </w:t>
      </w:r>
      <w:r w:rsidR="00514B43">
        <w:rPr>
          <w:rFonts w:ascii="Times New Roman" w:hAnsi="Times New Roman" w:cs="Times New Roman"/>
        </w:rPr>
        <w:t xml:space="preserve">        TONAK a.s. </w:t>
      </w:r>
      <w:r w:rsidR="00041EDC" w:rsidRPr="00C34B4D">
        <w:rPr>
          <w:rFonts w:ascii="Times New Roman" w:hAnsi="Times New Roman" w:cs="Times New Roman"/>
        </w:rPr>
        <w:br/>
      </w:r>
      <w:r w:rsidR="0052205F">
        <w:rPr>
          <w:rFonts w:ascii="Times New Roman" w:hAnsi="Times New Roman" w:cs="Times New Roman"/>
        </w:rPr>
        <w:t xml:space="preserve"> </w:t>
      </w:r>
      <w:r w:rsidR="00041EDC" w:rsidRPr="00C34B4D">
        <w:rPr>
          <w:rFonts w:ascii="Times New Roman" w:hAnsi="Times New Roman" w:cs="Times New Roman"/>
        </w:rPr>
        <w:t xml:space="preserve">Mgr. Radka Bobková, MBA </w:t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041EDC" w:rsidRPr="00C34B4D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 xml:space="preserve">          Ing. Jiří </w:t>
      </w:r>
      <w:proofErr w:type="spellStart"/>
      <w:r w:rsidR="00514B43">
        <w:rPr>
          <w:rFonts w:ascii="Times New Roman" w:hAnsi="Times New Roman" w:cs="Times New Roman"/>
        </w:rPr>
        <w:t>Tourek</w:t>
      </w:r>
      <w:proofErr w:type="spellEnd"/>
      <w:r w:rsidR="00514B43">
        <w:rPr>
          <w:rFonts w:ascii="Times New Roman" w:hAnsi="Times New Roman" w:cs="Times New Roman"/>
        </w:rPr>
        <w:t xml:space="preserve"> </w:t>
      </w:r>
      <w:r w:rsidR="00041EDC" w:rsidRPr="00C34B4D">
        <w:rPr>
          <w:rFonts w:ascii="Times New Roman" w:hAnsi="Times New Roman" w:cs="Times New Roman"/>
        </w:rPr>
        <w:br/>
      </w:r>
      <w:r w:rsidR="006E4DDC" w:rsidRPr="00C34B4D">
        <w:rPr>
          <w:rFonts w:ascii="Times New Roman" w:hAnsi="Times New Roman" w:cs="Times New Roman"/>
        </w:rPr>
        <w:t xml:space="preserve">            </w:t>
      </w:r>
      <w:r w:rsidR="00177D2D" w:rsidRPr="00C34B4D">
        <w:rPr>
          <w:rFonts w:ascii="Times New Roman" w:hAnsi="Times New Roman" w:cs="Times New Roman"/>
        </w:rPr>
        <w:t>O</w:t>
      </w:r>
      <w:r w:rsidR="00041EDC" w:rsidRPr="00C34B4D">
        <w:rPr>
          <w:rFonts w:ascii="Times New Roman" w:hAnsi="Times New Roman" w:cs="Times New Roman"/>
        </w:rPr>
        <w:t>bjednatel</w:t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</w:r>
      <w:r w:rsidR="00514B43">
        <w:rPr>
          <w:rFonts w:ascii="Times New Roman" w:hAnsi="Times New Roman" w:cs="Times New Roman"/>
        </w:rPr>
        <w:tab/>
        <w:t>Prodávající</w:t>
      </w:r>
    </w:p>
    <w:p w:rsidR="0035041D" w:rsidRPr="001C0E8B" w:rsidRDefault="0035041D" w:rsidP="00212612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</w:p>
    <w:p w:rsidR="001C0E8B" w:rsidRPr="001C0E8B" w:rsidRDefault="001C0E8B">
      <w:pPr>
        <w:spacing w:after="0" w:line="259" w:lineRule="auto"/>
        <w:ind w:left="567" w:right="567"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1C0E8B" w:rsidRPr="001C0E8B">
      <w:pgSz w:w="11900" w:h="16840"/>
      <w:pgMar w:top="744" w:right="710" w:bottom="83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69D5"/>
    <w:multiLevelType w:val="hybridMultilevel"/>
    <w:tmpl w:val="FD6A738E"/>
    <w:lvl w:ilvl="0" w:tplc="2AA0C436">
      <w:start w:val="1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CD3"/>
    <w:multiLevelType w:val="hybridMultilevel"/>
    <w:tmpl w:val="BEE28510"/>
    <w:lvl w:ilvl="0" w:tplc="8D4AF1BE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51EF78B8"/>
    <w:multiLevelType w:val="hybridMultilevel"/>
    <w:tmpl w:val="81B22752"/>
    <w:lvl w:ilvl="0" w:tplc="A178F842">
      <w:start w:val="1"/>
      <w:numFmt w:val="upperRoman"/>
      <w:lvlText w:val="%1."/>
      <w:lvlJc w:val="left"/>
      <w:pPr>
        <w:ind w:left="49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2" w:hanging="360"/>
      </w:pPr>
    </w:lvl>
    <w:lvl w:ilvl="2" w:tplc="0405001B" w:tentative="1">
      <w:start w:val="1"/>
      <w:numFmt w:val="lowerRoman"/>
      <w:lvlText w:val="%3."/>
      <w:lvlJc w:val="right"/>
      <w:pPr>
        <w:ind w:left="6052" w:hanging="180"/>
      </w:pPr>
    </w:lvl>
    <w:lvl w:ilvl="3" w:tplc="0405000F" w:tentative="1">
      <w:start w:val="1"/>
      <w:numFmt w:val="decimal"/>
      <w:lvlText w:val="%4."/>
      <w:lvlJc w:val="left"/>
      <w:pPr>
        <w:ind w:left="6772" w:hanging="360"/>
      </w:pPr>
    </w:lvl>
    <w:lvl w:ilvl="4" w:tplc="04050019" w:tentative="1">
      <w:start w:val="1"/>
      <w:numFmt w:val="lowerLetter"/>
      <w:lvlText w:val="%5."/>
      <w:lvlJc w:val="left"/>
      <w:pPr>
        <w:ind w:left="7492" w:hanging="360"/>
      </w:pPr>
    </w:lvl>
    <w:lvl w:ilvl="5" w:tplc="0405001B" w:tentative="1">
      <w:start w:val="1"/>
      <w:numFmt w:val="lowerRoman"/>
      <w:lvlText w:val="%6."/>
      <w:lvlJc w:val="right"/>
      <w:pPr>
        <w:ind w:left="8212" w:hanging="180"/>
      </w:pPr>
    </w:lvl>
    <w:lvl w:ilvl="6" w:tplc="0405000F" w:tentative="1">
      <w:start w:val="1"/>
      <w:numFmt w:val="decimal"/>
      <w:lvlText w:val="%7."/>
      <w:lvlJc w:val="left"/>
      <w:pPr>
        <w:ind w:left="8932" w:hanging="360"/>
      </w:pPr>
    </w:lvl>
    <w:lvl w:ilvl="7" w:tplc="04050019" w:tentative="1">
      <w:start w:val="1"/>
      <w:numFmt w:val="lowerLetter"/>
      <w:lvlText w:val="%8."/>
      <w:lvlJc w:val="left"/>
      <w:pPr>
        <w:ind w:left="9652" w:hanging="360"/>
      </w:pPr>
    </w:lvl>
    <w:lvl w:ilvl="8" w:tplc="0405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3" w15:restartNumberingAfterBreak="0">
    <w:nsid w:val="66033EFD"/>
    <w:multiLevelType w:val="hybridMultilevel"/>
    <w:tmpl w:val="BB821FA6"/>
    <w:lvl w:ilvl="0" w:tplc="000AEEB2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75946DB8"/>
    <w:multiLevelType w:val="hybridMultilevel"/>
    <w:tmpl w:val="D5D25BBA"/>
    <w:lvl w:ilvl="0" w:tplc="5BD68A64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267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4EE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094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8CD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256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DF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8EE4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0FB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1D"/>
    <w:rsid w:val="00016021"/>
    <w:rsid w:val="00035FDB"/>
    <w:rsid w:val="00041EDC"/>
    <w:rsid w:val="00094DB7"/>
    <w:rsid w:val="000E43AF"/>
    <w:rsid w:val="001419C7"/>
    <w:rsid w:val="00167CC8"/>
    <w:rsid w:val="00177D2D"/>
    <w:rsid w:val="00192E14"/>
    <w:rsid w:val="001B43AE"/>
    <w:rsid w:val="001C0E8B"/>
    <w:rsid w:val="00212612"/>
    <w:rsid w:val="00253839"/>
    <w:rsid w:val="00271E78"/>
    <w:rsid w:val="00300DCC"/>
    <w:rsid w:val="0035041D"/>
    <w:rsid w:val="00360C2B"/>
    <w:rsid w:val="003829C0"/>
    <w:rsid w:val="0038461D"/>
    <w:rsid w:val="003B1556"/>
    <w:rsid w:val="003B6222"/>
    <w:rsid w:val="003F08B8"/>
    <w:rsid w:val="00406830"/>
    <w:rsid w:val="0041042F"/>
    <w:rsid w:val="00417BE4"/>
    <w:rsid w:val="00471556"/>
    <w:rsid w:val="004E5C04"/>
    <w:rsid w:val="004E6D93"/>
    <w:rsid w:val="004F2063"/>
    <w:rsid w:val="00514B43"/>
    <w:rsid w:val="0052205F"/>
    <w:rsid w:val="00543DA0"/>
    <w:rsid w:val="00557151"/>
    <w:rsid w:val="005720D8"/>
    <w:rsid w:val="005B33AF"/>
    <w:rsid w:val="005D0CDF"/>
    <w:rsid w:val="005F285A"/>
    <w:rsid w:val="0060293F"/>
    <w:rsid w:val="006B47E4"/>
    <w:rsid w:val="006B5DE8"/>
    <w:rsid w:val="006E4DDC"/>
    <w:rsid w:val="006E5F8D"/>
    <w:rsid w:val="007166F4"/>
    <w:rsid w:val="007E4073"/>
    <w:rsid w:val="00817738"/>
    <w:rsid w:val="00866F00"/>
    <w:rsid w:val="00872274"/>
    <w:rsid w:val="008D506B"/>
    <w:rsid w:val="00920D78"/>
    <w:rsid w:val="009D0D48"/>
    <w:rsid w:val="00AC15B7"/>
    <w:rsid w:val="00B4693B"/>
    <w:rsid w:val="00B717EF"/>
    <w:rsid w:val="00C04CE9"/>
    <w:rsid w:val="00C20F93"/>
    <w:rsid w:val="00C32B63"/>
    <w:rsid w:val="00C34B4D"/>
    <w:rsid w:val="00C43781"/>
    <w:rsid w:val="00CD2DBC"/>
    <w:rsid w:val="00CE2E3A"/>
    <w:rsid w:val="00CF330B"/>
    <w:rsid w:val="00D617E0"/>
    <w:rsid w:val="00DB67DE"/>
    <w:rsid w:val="00DF58A4"/>
    <w:rsid w:val="00DF7905"/>
    <w:rsid w:val="00E06315"/>
    <w:rsid w:val="00E8378F"/>
    <w:rsid w:val="00E96DFD"/>
    <w:rsid w:val="00F126D6"/>
    <w:rsid w:val="00F66245"/>
    <w:rsid w:val="00F9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464CD-63F6-4B82-B33B-EAA3B542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10" w:right="4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E14"/>
    <w:rPr>
      <w:rFonts w:ascii="Segoe UI" w:eastAsia="Calibri" w:hAnsi="Segoe UI" w:cs="Segoe UI"/>
      <w:color w:val="000000"/>
      <w:sz w:val="18"/>
      <w:szCs w:val="18"/>
    </w:rPr>
  </w:style>
  <w:style w:type="paragraph" w:styleId="Bezmezer">
    <w:name w:val="No Spacing"/>
    <w:uiPriority w:val="1"/>
    <w:qFormat/>
    <w:rsid w:val="00B717E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Dohoda o vypořádání bezdůvodného obohacení ke smlouvě č. 3_úpravy</vt:lpstr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Dohoda o vypořádání bezdůvodného obohacení ke smlouvě č. 3_úpravy</dc:title>
  <dc:subject/>
  <dc:creator>Petr</dc:creator>
  <cp:keywords/>
  <cp:lastModifiedBy>Andrea Býmová</cp:lastModifiedBy>
  <cp:revision>4</cp:revision>
  <cp:lastPrinted>2020-12-18T13:12:00Z</cp:lastPrinted>
  <dcterms:created xsi:type="dcterms:W3CDTF">2021-02-26T08:59:00Z</dcterms:created>
  <dcterms:modified xsi:type="dcterms:W3CDTF">2021-03-02T15:11:00Z</dcterms:modified>
</cp:coreProperties>
</file>