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68" w:rsidRDefault="00DF4A68">
      <w:pPr>
        <w:pStyle w:val="Zkladntext"/>
        <w:framePr w:w="3360" w:h="259" w:wrap="none" w:vAnchor="text" w:hAnchor="margin" w:x="2" w:y="21"/>
        <w:shd w:val="clear" w:color="auto" w:fill="auto"/>
        <w:spacing w:after="0" w:line="240" w:lineRule="auto"/>
        <w:jc w:val="left"/>
      </w:pPr>
    </w:p>
    <w:p w:rsidR="00DF4A68" w:rsidRDefault="00DF4A68" w:rsidP="007F39FE">
      <w:pPr>
        <w:pStyle w:val="Bodytext20"/>
        <w:framePr w:w="2170" w:h="427" w:wrap="none" w:vAnchor="text" w:hAnchor="margin" w:x="606" w:y="222"/>
        <w:shd w:val="clear" w:color="auto" w:fill="auto"/>
        <w:spacing w:after="0"/>
        <w:jc w:val="left"/>
      </w:pPr>
    </w:p>
    <w:p w:rsidR="00DF4A68" w:rsidRDefault="00DF4A68">
      <w:pPr>
        <w:pStyle w:val="Bodytext20"/>
        <w:framePr w:w="5539" w:h="806" w:wrap="none" w:vAnchor="text" w:hAnchor="margin" w:x="2948" w:y="433"/>
        <w:shd w:val="clear" w:color="auto" w:fill="auto"/>
        <w:spacing w:after="80"/>
        <w:jc w:val="left"/>
      </w:pPr>
    </w:p>
    <w:p w:rsidR="00DF4A68" w:rsidRDefault="00EF40CE">
      <w:pPr>
        <w:pStyle w:val="Heading20"/>
        <w:keepNext/>
        <w:keepLines/>
        <w:framePr w:w="5539" w:h="806" w:wrap="none" w:vAnchor="text" w:hAnchor="margin" w:x="2948" w:y="433"/>
        <w:shd w:val="clear" w:color="auto" w:fill="auto"/>
      </w:pPr>
      <w:bookmarkStart w:id="0" w:name="bookmark0"/>
      <w:r>
        <w:rPr>
          <w:i w:val="0"/>
          <w:iCs w:val="0"/>
          <w:sz w:val="19"/>
          <w:szCs w:val="19"/>
        </w:rPr>
        <w:t>Nová příloha č. 2 pro rok 2021</w:t>
      </w:r>
      <w:r>
        <w:rPr>
          <w:i w:val="0"/>
          <w:iCs w:val="0"/>
          <w:sz w:val="19"/>
          <w:szCs w:val="19"/>
        </w:rPr>
        <w:br/>
      </w:r>
      <w:r>
        <w:t>Cenová ujednání a podmínky poskytování služby</w:t>
      </w:r>
      <w:bookmarkEnd w:id="0"/>
    </w:p>
    <w:p w:rsidR="00DF4A68" w:rsidRDefault="00DF4A68">
      <w:pPr>
        <w:pStyle w:val="Heading10"/>
        <w:keepNext/>
        <w:keepLines/>
        <w:framePr w:w="826" w:h="317" w:wrap="none" w:vAnchor="text" w:hAnchor="margin" w:x="8612" w:y="21"/>
        <w:shd w:val="clear" w:color="auto" w:fill="auto"/>
      </w:pPr>
    </w:p>
    <w:p w:rsidR="00DF4A68" w:rsidRDefault="00DF4A68">
      <w:pPr>
        <w:spacing w:line="360" w:lineRule="exact"/>
      </w:pPr>
    </w:p>
    <w:p w:rsidR="00DF4A68" w:rsidRDefault="00DF4A68">
      <w:pPr>
        <w:spacing w:line="360" w:lineRule="exact"/>
      </w:pPr>
    </w:p>
    <w:p w:rsidR="00DF4A68" w:rsidRDefault="00DF4A68">
      <w:pPr>
        <w:spacing w:line="518" w:lineRule="exact"/>
      </w:pPr>
    </w:p>
    <w:p w:rsidR="00DF4A68" w:rsidRDefault="00DF4A68">
      <w:pPr>
        <w:spacing w:line="14" w:lineRule="exact"/>
        <w:sectPr w:rsidR="00DF4A68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519" w:right="689" w:bottom="972" w:left="286" w:header="0" w:footer="3" w:gutter="0"/>
          <w:cols w:space="720"/>
          <w:noEndnote/>
          <w:titlePg/>
          <w:docGrid w:linePitch="360"/>
        </w:sectPr>
      </w:pPr>
    </w:p>
    <w:p w:rsidR="00DF4A68" w:rsidRDefault="00EF40CE">
      <w:pPr>
        <w:pStyle w:val="Zkladntext"/>
        <w:shd w:val="clear" w:color="auto" w:fill="auto"/>
        <w:spacing w:after="480" w:line="240" w:lineRule="auto"/>
        <w:jc w:val="center"/>
      </w:pPr>
      <w:r>
        <w:t>Služba č. 1 - Odběr průmyslových odpadů a druhotných surovin</w:t>
      </w:r>
    </w:p>
    <w:p w:rsidR="00DF4A68" w:rsidRDefault="00EF40CE">
      <w:pPr>
        <w:pStyle w:val="Heading30"/>
        <w:keepNext/>
        <w:keepLines/>
        <w:shd w:val="clear" w:color="auto" w:fill="auto"/>
      </w:pPr>
      <w:bookmarkStart w:id="1" w:name="bookmark2"/>
      <w:r>
        <w:t>Článek I.</w:t>
      </w:r>
      <w:bookmarkEnd w:id="1"/>
    </w:p>
    <w:p w:rsidR="00DF4A68" w:rsidRDefault="00EF40CE">
      <w:pPr>
        <w:pStyle w:val="Zkladntext"/>
        <w:shd w:val="clear" w:color="auto" w:fill="auto"/>
        <w:spacing w:line="240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Místo a způsob provádění služby</w:t>
      </w:r>
    </w:p>
    <w:p w:rsidR="00DF4A68" w:rsidRDefault="00EF40CE">
      <w:pPr>
        <w:pStyle w:val="Zkladntext"/>
        <w:numPr>
          <w:ilvl w:val="0"/>
          <w:numId w:val="1"/>
        </w:numPr>
        <w:shd w:val="clear" w:color="auto" w:fill="auto"/>
        <w:tabs>
          <w:tab w:val="left" w:pos="560"/>
        </w:tabs>
        <w:spacing w:line="264" w:lineRule="auto"/>
        <w:ind w:left="580" w:hanging="580"/>
      </w:pPr>
      <w:r>
        <w:t xml:space="preserve">Každý jednotlivý odběr (odvoz) odpadů bude proveden až na základě předchozí telefonické nebo písemné výzvy objednatele, </w:t>
      </w:r>
      <w:proofErr w:type="spellStart"/>
      <w:r>
        <w:t>kdý</w:t>
      </w:r>
      <w:proofErr w:type="spellEnd"/>
      <w:r>
        <w:t xml:space="preserve"> budou dohodnuty bližší podmínky (termín odběru, způsob dopravy, způsob nakládky, balení odpadu, vážení odpadu, vykládka </w:t>
      </w:r>
      <w:proofErr w:type="spellStart"/>
      <w:r>
        <w:rPr>
          <w:lang w:val="en-US" w:eastAsia="en-US" w:bidi="en-US"/>
        </w:rPr>
        <w:t>apod</w:t>
      </w:r>
      <w:proofErr w:type="spellEnd"/>
      <w:r>
        <w:rPr>
          <w:lang w:val="en-US" w:eastAsia="en-US" w:bidi="en-US"/>
        </w:rPr>
        <w:t xml:space="preserve">.). </w:t>
      </w:r>
      <w:r>
        <w:t xml:space="preserve">V </w:t>
      </w:r>
      <w:r>
        <w:t>případě plnění realizovaných průběžně budou odvozy odpadů prováděny pravidelně (bez opakované výzvy objednatele), v předem smluvených časových intervalech.</w:t>
      </w:r>
    </w:p>
    <w:p w:rsidR="00DF4A68" w:rsidRDefault="00EF40CE">
      <w:pPr>
        <w:pStyle w:val="Zkladntext"/>
        <w:numPr>
          <w:ilvl w:val="0"/>
          <w:numId w:val="1"/>
        </w:numPr>
        <w:shd w:val="clear" w:color="auto" w:fill="auto"/>
        <w:tabs>
          <w:tab w:val="left" w:pos="560"/>
        </w:tabs>
        <w:spacing w:line="269" w:lineRule="auto"/>
        <w:ind w:left="580" w:hanging="580"/>
      </w:pPr>
      <w:r>
        <w:t xml:space="preserve">Místem předání (převzetí) odpadů je areál firmy objednatele, pokud se účastníci vtom kterém případě </w:t>
      </w:r>
      <w:r>
        <w:t>nedohodnou jinak.</w:t>
      </w:r>
    </w:p>
    <w:p w:rsidR="00DF4A68" w:rsidRDefault="00EF40CE">
      <w:pPr>
        <w:pStyle w:val="Zkladntext"/>
        <w:numPr>
          <w:ilvl w:val="0"/>
          <w:numId w:val="1"/>
        </w:numPr>
        <w:shd w:val="clear" w:color="auto" w:fill="auto"/>
        <w:tabs>
          <w:tab w:val="left" w:pos="560"/>
        </w:tabs>
        <w:ind w:left="580" w:hanging="580"/>
      </w:pPr>
      <w:r>
        <w:t>Objednatel předá zhotoviteli odpady v obalech, specifikovaných v čl. 3. 1. této přílohy, případně v jiných obalech, dohodnutých smluvními stranami před konkrétním odvozem odpadu. Při předání musí být obaly objednatelem řádně označeny, v s</w:t>
      </w:r>
      <w:r>
        <w:t xml:space="preserve">ouladu s ustanoveními </w:t>
      </w:r>
      <w:r>
        <w:rPr>
          <w:b/>
          <w:bCs/>
          <w:sz w:val="19"/>
          <w:szCs w:val="19"/>
        </w:rPr>
        <w:t xml:space="preserve">zákona č. 541/2020 Sb., o odpadech, </w:t>
      </w:r>
      <w:r>
        <w:t>ve znění pozdějších předpisů a vyhláškou MŽP č. 383/2001 Sb., o podrobnostech nakládání s odpady a dle mezinárodní úmluvy o přepravě nebezpečných věcí ADR. Jednotlivé předávané nebezpečné odpady mus</w:t>
      </w:r>
      <w:r>
        <w:t>í objednatel (producent) opatřit také příslušnými identifikačními listy nebezpečných odpadů ve smyslu zákona č. 185/2001 Sb., v platném znění.</w:t>
      </w:r>
    </w:p>
    <w:p w:rsidR="00DF4A68" w:rsidRDefault="00EF40CE">
      <w:pPr>
        <w:pStyle w:val="Zkladntext"/>
        <w:numPr>
          <w:ilvl w:val="0"/>
          <w:numId w:val="1"/>
        </w:numPr>
        <w:shd w:val="clear" w:color="auto" w:fill="auto"/>
        <w:tabs>
          <w:tab w:val="left" w:pos="560"/>
        </w:tabs>
        <w:spacing w:after="340"/>
        <w:ind w:left="580" w:hanging="580"/>
      </w:pPr>
      <w:r>
        <w:t>Dokladem o předání/převzetí odpadu (provedení služby) je v případě^ nebezpečných odpadů „Ohlašovací list pro přep</w:t>
      </w:r>
      <w:r>
        <w:t>ravu nebezpečných odpadů po území ČR" a v případě ostatních odpadů „Dodací list" nebo „Průvodka".</w:t>
      </w:r>
    </w:p>
    <w:p w:rsidR="00DF4A68" w:rsidRDefault="00EF40CE">
      <w:pPr>
        <w:pStyle w:val="Heading30"/>
        <w:keepNext/>
        <w:keepLines/>
        <w:shd w:val="clear" w:color="auto" w:fill="auto"/>
      </w:pPr>
      <w:bookmarkStart w:id="2" w:name="bookmark3"/>
      <w:r>
        <w:t>Článek II.</w:t>
      </w:r>
      <w:bookmarkEnd w:id="2"/>
    </w:p>
    <w:p w:rsidR="00DF4A68" w:rsidRDefault="00EF40CE">
      <w:pPr>
        <w:pStyle w:val="Heading30"/>
        <w:keepNext/>
        <w:keepLines/>
        <w:shd w:val="clear" w:color="auto" w:fill="auto"/>
      </w:pPr>
      <w:bookmarkStart w:id="3" w:name="bookmark4"/>
      <w:r>
        <w:rPr>
          <w:u w:val="single"/>
        </w:rPr>
        <w:t>Platební podmínky</w:t>
      </w:r>
      <w:bookmarkEnd w:id="3"/>
    </w:p>
    <w:p w:rsidR="00DF4A68" w:rsidRDefault="00EF40CE">
      <w:pPr>
        <w:pStyle w:val="Zkladntext"/>
        <w:numPr>
          <w:ilvl w:val="0"/>
          <w:numId w:val="2"/>
        </w:numPr>
        <w:shd w:val="clear" w:color="auto" w:fill="auto"/>
        <w:tabs>
          <w:tab w:val="left" w:pos="560"/>
        </w:tabs>
        <w:spacing w:after="320" w:line="269" w:lineRule="auto"/>
        <w:ind w:left="580" w:hanging="580"/>
      </w:pPr>
      <w:r>
        <w:t>Cena za provedenou službu bude hrazena formou průběžné platby, dle Smlouvy o poskytování služeb v oblasti životního prostředí.</w:t>
      </w:r>
    </w:p>
    <w:p w:rsidR="00DF4A68" w:rsidRDefault="00EF40CE">
      <w:pPr>
        <w:pStyle w:val="Heading30"/>
        <w:keepNext/>
        <w:keepLines/>
        <w:shd w:val="clear" w:color="auto" w:fill="auto"/>
      </w:pPr>
      <w:bookmarkStart w:id="4" w:name="bookmark5"/>
      <w:r>
        <w:t>Článek III.</w:t>
      </w:r>
      <w:bookmarkEnd w:id="4"/>
    </w:p>
    <w:p w:rsidR="00DF4A68" w:rsidRDefault="00EF40CE">
      <w:pPr>
        <w:pStyle w:val="Heading30"/>
        <w:keepNext/>
        <w:keepLines/>
        <w:shd w:val="clear" w:color="auto" w:fill="auto"/>
      </w:pPr>
      <w:bookmarkStart w:id="5" w:name="bookmark6"/>
      <w:r>
        <w:rPr>
          <w:u w:val="single"/>
        </w:rPr>
        <w:t>Cenová ujednání</w:t>
      </w:r>
      <w:bookmarkEnd w:id="5"/>
    </w:p>
    <w:p w:rsidR="00DF4A68" w:rsidRDefault="00EF40CE">
      <w:pPr>
        <w:pStyle w:val="Zkladntext"/>
        <w:numPr>
          <w:ilvl w:val="0"/>
          <w:numId w:val="3"/>
        </w:numPr>
        <w:shd w:val="clear" w:color="auto" w:fill="auto"/>
        <w:tabs>
          <w:tab w:val="left" w:pos="560"/>
        </w:tabs>
        <w:spacing w:after="420" w:line="264" w:lineRule="auto"/>
        <w:ind w:left="580" w:hanging="580"/>
      </w:pPr>
      <w:r>
        <w:t>Ceny a podmínky odběru odpadů: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3226"/>
        <w:gridCol w:w="715"/>
        <w:gridCol w:w="1973"/>
        <w:gridCol w:w="542"/>
        <w:gridCol w:w="1075"/>
        <w:gridCol w:w="946"/>
      </w:tblGrid>
      <w:tr w:rsidR="00DF4A68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Katalog.</w:t>
            </w:r>
          </w:p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č.</w:t>
            </w:r>
          </w:p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odpadu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 odpadu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Kat.</w:t>
            </w:r>
          </w:p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odp.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Obal pro předání</w:t>
            </w:r>
          </w:p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odpadu</w:t>
            </w:r>
          </w:p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zhotoviteli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Kč/MJ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Pozn.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02 01 04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Odpadní plasty (kromě obalů)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Do kontejnerů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02 01 08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76" w:lineRule="auto"/>
            </w:pPr>
            <w:r>
              <w:t xml:space="preserve">Agrochemické odpady </w:t>
            </w:r>
            <w:r>
              <w:t>obsahující nebezpečné látky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Do kontejnerů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23250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08 01 11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6" w:lineRule="auto"/>
            </w:pPr>
            <w:r>
              <w:t>Odpadní barvy a laky obsahující organická rozpouštědla nebo jiné nebezpečné látky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sudy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11110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08 03 18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64" w:lineRule="auto"/>
            </w:pPr>
            <w:r>
              <w:t>Odpadní tiskařský toner neuvedený pod číslem 080317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after="80"/>
              <w:ind w:left="880"/>
            </w:pPr>
            <w:r>
              <w:t>*</w:t>
            </w:r>
          </w:p>
          <w:p w:rsidR="00DF4A68" w:rsidRDefault="00EF40CE">
            <w:pPr>
              <w:pStyle w:val="Other0"/>
              <w:shd w:val="clear" w:color="auto" w:fill="auto"/>
            </w:pPr>
            <w:r>
              <w:t>Krabice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</w:tbl>
    <w:p w:rsidR="00DF4A68" w:rsidRDefault="00EF40CE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221"/>
        <w:gridCol w:w="710"/>
        <w:gridCol w:w="1973"/>
        <w:gridCol w:w="538"/>
        <w:gridCol w:w="1075"/>
        <w:gridCol w:w="965"/>
      </w:tblGrid>
      <w:tr w:rsidR="00DF4A68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lastRenderedPageBreak/>
              <w:t xml:space="preserve">13 01 </w:t>
            </w:r>
            <w:r>
              <w:t>10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9" w:lineRule="auto"/>
            </w:pPr>
            <w:r>
              <w:t>Nechlorované hydraulické minerální oleje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sudy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13 02 05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6" w:lineRule="auto"/>
            </w:pPr>
            <w:r>
              <w:t xml:space="preserve">Nechlorované minerální motorové, převodové a mazací </w:t>
            </w:r>
            <w:proofErr w:type="gramStart"/>
            <w:r>
              <w:t>oleje - recyklovatelné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Sudy,</w:t>
            </w:r>
          </w:p>
          <w:p w:rsidR="00DF4A68" w:rsidRDefault="00EF40CE">
            <w:pPr>
              <w:pStyle w:val="Other0"/>
              <w:shd w:val="clear" w:color="auto" w:fill="auto"/>
            </w:pPr>
            <w:r>
              <w:t>kanystry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13 02 05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2" w:lineRule="auto"/>
            </w:pPr>
            <w:r>
              <w:t xml:space="preserve">Nechlorované minerální motorové, převodové a mazací </w:t>
            </w:r>
            <w:proofErr w:type="gramStart"/>
            <w:r>
              <w:t>oleje - nerecyklovatelné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Sudy,</w:t>
            </w:r>
          </w:p>
          <w:p w:rsidR="00DF4A68" w:rsidRDefault="00EF40CE">
            <w:pPr>
              <w:pStyle w:val="Other0"/>
              <w:shd w:val="clear" w:color="auto" w:fill="auto"/>
            </w:pPr>
            <w:r>
              <w:t>kanystry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9960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13 05 03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Kaly z lapáků nečistot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myčka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3260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13 05 07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Zaolejovaná voda z odlučovačů</w:t>
            </w:r>
          </w:p>
          <w:p w:rsidR="00DF4A68" w:rsidRDefault="00EF40CE">
            <w:pPr>
              <w:pStyle w:val="Other0"/>
              <w:shd w:val="clear" w:color="auto" w:fill="auto"/>
            </w:pPr>
            <w:r>
              <w:t>oleje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myčka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3260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15 01 10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62" w:lineRule="auto"/>
            </w:pPr>
            <w:r>
              <w:t>Obaly obsahující zbytky nebezpečných látek nebo obaly těmito látkami znečištěné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59" w:lineRule="auto"/>
            </w:pPr>
            <w:r>
              <w:t xml:space="preserve">Na paletě ovázané streč. </w:t>
            </w:r>
            <w:r>
              <w:t>folií, v sudech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11110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15 02 02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71" w:lineRule="auto"/>
            </w:pPr>
            <w:r>
              <w:t>Absorpční činidla, filtrační materiály, čisticí tkaniny a ochranné oděvy znečištěné nebezpečnými látkami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Sudy, kontejnery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11110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15 02 03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59" w:lineRule="auto"/>
            </w:pPr>
            <w:r>
              <w:t xml:space="preserve">Absorpční činidla, filtrační materiály, čisticí tkaniny a ochranné oděvy </w:t>
            </w:r>
            <w:r>
              <w:t>neuvedené pod číslem 15 02 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Sudy, kontejnery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16 01 07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Olejové filtry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sudy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11110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16 01 03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Pneumatiky osobní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Volně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2000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Pneumatiky nákladní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Volně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3310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Pneumatiky traktorové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volně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5300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16 03 05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59" w:lineRule="auto"/>
            </w:pPr>
            <w:r>
              <w:t xml:space="preserve">Organické odpady </w:t>
            </w:r>
            <w:r>
              <w:t>obsahující nebezpečné látky-formalínový roztok z mytí paznehtů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59" w:lineRule="auto"/>
            </w:pPr>
            <w:r>
              <w:t>V sudech, na paletách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13280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16 03 05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4" w:lineRule="auto"/>
            </w:pPr>
            <w:r>
              <w:t>Organické odpady obsahující nebezpečné látky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V sudech, na</w:t>
            </w:r>
          </w:p>
          <w:p w:rsidR="00DF4A68" w:rsidRDefault="00EF40CE">
            <w:pPr>
              <w:pStyle w:val="Other0"/>
              <w:shd w:val="clear" w:color="auto" w:fill="auto"/>
            </w:pPr>
            <w:r>
              <w:t>paletách,</w:t>
            </w:r>
          </w:p>
          <w:p w:rsidR="00DF4A68" w:rsidRDefault="00EF40CE">
            <w:pPr>
              <w:pStyle w:val="Other0"/>
              <w:shd w:val="clear" w:color="auto" w:fill="auto"/>
            </w:pPr>
            <w:r>
              <w:t>přepravkách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37430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16 05 06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6" w:lineRule="auto"/>
            </w:pPr>
            <w:r>
              <w:t xml:space="preserve">Laboratorní chemikálie a jejich směsi, které </w:t>
            </w:r>
            <w:r>
              <w:t>jsou nebo obsahují nebezpečné látky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-dtto-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37430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16 05 08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9" w:lineRule="auto"/>
              <w:jc w:val="both"/>
            </w:pPr>
            <w:r>
              <w:t>Vyřazené organické chemikálie a jejich směsi, které jsou nebo obsahují nebezpečné látky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-dtto-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37430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16 06 01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Olověné akumulátory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Volně na paletách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-5000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16 07 08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 xml:space="preserve">Odpady </w:t>
            </w:r>
            <w:r>
              <w:t>obsahující ropné látky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Sudy, sací vůz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3260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17 02 03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Plasty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69" w:lineRule="auto"/>
            </w:pPr>
            <w:r>
              <w:t>Do přistaveného kontejneru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ind w:left="80"/>
              <w:jc w:val="center"/>
            </w:pPr>
            <w:r>
              <w:t>17 02 04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66" w:lineRule="auto"/>
            </w:pPr>
            <w:r>
              <w:t>Sklo, plasty a dřevo obsahující nebezpečné látky nebo nebezpečnými látkami znečištěné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spacing w:line="264" w:lineRule="auto"/>
            </w:pPr>
            <w:r>
              <w:t>Do přistaveného kontejneru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11110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ind w:left="80"/>
              <w:jc w:val="center"/>
            </w:pPr>
            <w:r>
              <w:t>17 04 05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 xml:space="preserve">Železo </w:t>
            </w:r>
            <w:r>
              <w:t>a ocel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proofErr w:type="gramStart"/>
            <w:r>
              <w:t>Volně,-</w:t>
            </w:r>
            <w:proofErr w:type="gramEnd"/>
            <w:r>
              <w:t>kontejner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-2000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ind w:left="80"/>
              <w:jc w:val="center"/>
            </w:pPr>
            <w:r>
              <w:t>17 05 04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76" w:lineRule="auto"/>
            </w:pPr>
            <w:r>
              <w:t>Zemina a kamení neuvedené pod číslem 170503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Kontejner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ind w:left="80"/>
              <w:jc w:val="center"/>
            </w:pPr>
            <w:r>
              <w:t>18 02 02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spacing w:line="266" w:lineRule="auto"/>
            </w:pPr>
            <w:r>
              <w:t>Odpady, na jejichž sběr a odstraňování jsou kladeny zvláštní požadavky s ohledem na prevenci infekce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64" w:lineRule="auto"/>
            </w:pPr>
            <w:r>
              <w:t xml:space="preserve">Tak aby byly dodrženy všechny </w:t>
            </w:r>
            <w:r>
              <w:t>zákonné (i hygienické) předpisy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33230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</w:tr>
    </w:tbl>
    <w:p w:rsidR="00DF4A68" w:rsidRDefault="00DF4A68">
      <w:pPr>
        <w:spacing w:line="14" w:lineRule="exact"/>
        <w:sectPr w:rsidR="00DF4A68">
          <w:type w:val="continuous"/>
          <w:pgSz w:w="11900" w:h="16840"/>
          <w:pgMar w:top="1779" w:right="991" w:bottom="1227" w:left="110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3221"/>
        <w:gridCol w:w="715"/>
        <w:gridCol w:w="1973"/>
        <w:gridCol w:w="542"/>
        <w:gridCol w:w="1070"/>
        <w:gridCol w:w="941"/>
      </w:tblGrid>
      <w:tr w:rsidR="00DF4A6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lastRenderedPageBreak/>
              <w:t>20 03 07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Objemný odpad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4" w:lineRule="auto"/>
              <w:jc w:val="both"/>
            </w:pPr>
            <w:r>
              <w:t>Do přistaveného kontejneru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3600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20 01 21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9" w:lineRule="auto"/>
            </w:pPr>
            <w:r>
              <w:t>Zářivky a jiný odpad obsahující rtuť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both"/>
            </w:pPr>
            <w:r>
              <w:t>V krabicích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11,5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20 01 23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9" w:lineRule="auto"/>
            </w:pPr>
            <w:r>
              <w:t xml:space="preserve">Vyřazená zařízení obsahující </w:t>
            </w:r>
            <w:proofErr w:type="spellStart"/>
            <w:r>
              <w:t>chloroflurouhlovodíky</w:t>
            </w:r>
            <w:proofErr w:type="spellEnd"/>
            <w:r>
              <w:t>-lednice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both"/>
            </w:pPr>
            <w:r>
              <w:t>volně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730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20 01 35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62" w:lineRule="auto"/>
            </w:pPr>
            <w:r>
              <w:t>Vyřazené elektrické a elektronické zařízení obsahující nebezpečné látky neuvedené pod čísly 200121 a 200123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both"/>
            </w:pPr>
            <w:r>
              <w:t>volně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135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20 01 36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64" w:lineRule="auto"/>
            </w:pPr>
            <w:r>
              <w:t xml:space="preserve">Vyřazené elektrické a elektronické zařízení obsahující </w:t>
            </w:r>
            <w:r>
              <w:t>nebezpečné látky neuvedené pod čísly 200121,200123 a 200135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both"/>
            </w:pPr>
            <w:r>
              <w:t>volně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3600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D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64" w:lineRule="auto"/>
            </w:pPr>
            <w:r>
              <w:t>Veškerá elektronika-pokud zpětný odběr!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both"/>
            </w:pPr>
            <w:r>
              <w:t>volně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</w:tr>
    </w:tbl>
    <w:p w:rsidR="00DF4A68" w:rsidRDefault="00DF4A68">
      <w:pPr>
        <w:spacing w:after="446" w:line="14" w:lineRule="exact"/>
      </w:pPr>
    </w:p>
    <w:p w:rsidR="00DF4A68" w:rsidRDefault="00EF40CE">
      <w:pPr>
        <w:pStyle w:val="Zkladntext"/>
        <w:shd w:val="clear" w:color="auto" w:fill="auto"/>
        <w:spacing w:after="660" w:line="254" w:lineRule="auto"/>
        <w:rPr>
          <w:sz w:val="19"/>
          <w:szCs w:val="19"/>
        </w:rPr>
      </w:pPr>
      <w:proofErr w:type="gramStart"/>
      <w:r>
        <w:rPr>
          <w:b/>
          <w:bCs/>
          <w:sz w:val="19"/>
          <w:szCs w:val="19"/>
        </w:rPr>
        <w:t xml:space="preserve">D - </w:t>
      </w:r>
      <w:r>
        <w:t>u</w:t>
      </w:r>
      <w:proofErr w:type="gramEnd"/>
      <w:r>
        <w:t xml:space="preserve"> takto označených odpadů je v uvedené ceně zahrnuta doprava do místa vykládky a manipulace s nimi (</w:t>
      </w:r>
      <w:proofErr w:type="spellStart"/>
      <w:r>
        <w:t>nakiádka</w:t>
      </w:r>
      <w:proofErr w:type="spellEnd"/>
      <w:r>
        <w:t xml:space="preserve">/vykládka). </w:t>
      </w:r>
      <w:r>
        <w:rPr>
          <w:i/>
          <w:iCs/>
          <w:sz w:val="19"/>
          <w:szCs w:val="19"/>
        </w:rPr>
        <w:t>U ostatních odpadů bude účtována manipulace a doprava do místa vykládky dle čl. 3.2.</w:t>
      </w:r>
      <w:r>
        <w:rPr>
          <w:b/>
          <w:bCs/>
          <w:sz w:val="19"/>
          <w:szCs w:val="19"/>
        </w:rPr>
        <w:t xml:space="preserve"> Dále bude doprava účtována i u odpadů označených D </w:t>
      </w:r>
      <w:r>
        <w:rPr>
          <w:b/>
          <w:bCs/>
          <w:sz w:val="19"/>
          <w:szCs w:val="19"/>
        </w:rPr>
        <w:t>v případě, že se bude jednat o přistavení prázdného kontejneru na odpad.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4291"/>
        <w:gridCol w:w="3797"/>
      </w:tblGrid>
      <w:tr w:rsidR="00DF4A6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Katalog.č</w:t>
            </w:r>
            <w:proofErr w:type="spellEnd"/>
            <w:r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  <w:p w:rsidR="00DF4A68" w:rsidRDefault="00EF40CE">
            <w:pPr>
              <w:pStyle w:val="Other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</w:t>
            </w:r>
            <w:proofErr w:type="spellStart"/>
            <w:r>
              <w:rPr>
                <w:b/>
                <w:bCs/>
                <w:sz w:val="19"/>
                <w:szCs w:val="19"/>
              </w:rPr>
              <w:t>Kčzalt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není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317" w:lineRule="auto"/>
            </w:pPr>
            <w:r>
              <w:t>Odpadní voda s krví z jatek předčištěná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</w:pPr>
            <w:r>
              <w:t>1 840,-Kč/tunu včetně D</w:t>
            </w:r>
          </w:p>
        </w:tc>
      </w:tr>
    </w:tbl>
    <w:p w:rsidR="00DF4A68" w:rsidRDefault="00DF4A68">
      <w:pPr>
        <w:spacing w:line="14" w:lineRule="exact"/>
      </w:pPr>
    </w:p>
    <w:p w:rsidR="00DF4A68" w:rsidRDefault="00EF40CE">
      <w:pPr>
        <w:pStyle w:val="Tablecaption0"/>
        <w:shd w:val="clear" w:color="auto" w:fill="auto"/>
        <w:ind w:left="29"/>
      </w:pPr>
      <w:r>
        <w:t>3.2. Ceny dopravy a manipulace odpadů: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1435"/>
        <w:gridCol w:w="1070"/>
        <w:gridCol w:w="1248"/>
        <w:gridCol w:w="1517"/>
        <w:gridCol w:w="3370"/>
      </w:tblGrid>
      <w:tr w:rsidR="00DF4A68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Typ</w:t>
            </w:r>
          </w:p>
          <w:p w:rsidR="00DF4A68" w:rsidRDefault="00EF40CE">
            <w:pPr>
              <w:pStyle w:val="Other0"/>
              <w:shd w:val="clear" w:color="auto" w:fill="auto"/>
              <w:spacing w:line="223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vozidla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Typ a počet kontejnerů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Nosnost</w:t>
            </w:r>
          </w:p>
          <w:p w:rsidR="00DF4A68" w:rsidRDefault="00EF40CE">
            <w:pPr>
              <w:pStyle w:val="Other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(t)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Přeprava (</w:t>
            </w:r>
            <w:proofErr w:type="gramStart"/>
            <w:r>
              <w:rPr>
                <w:b/>
                <w:bCs/>
                <w:sz w:val="19"/>
                <w:szCs w:val="19"/>
              </w:rPr>
              <w:t>paušál - Kč</w:t>
            </w:r>
            <w:proofErr w:type="gramEnd"/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Manipulace (Kč/15 min)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68" w:rsidRDefault="00EF40CE">
            <w:pPr>
              <w:pStyle w:val="Other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Pozn.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Renault</w:t>
            </w:r>
          </w:p>
          <w:p w:rsidR="00DF4A68" w:rsidRDefault="00EF40CE">
            <w:pPr>
              <w:pStyle w:val="Other0"/>
              <w:shd w:val="clear" w:color="auto" w:fill="auto"/>
            </w:pPr>
            <w:r>
              <w:t>Master,</w:t>
            </w:r>
          </w:p>
          <w:p w:rsidR="00DF4A68" w:rsidRDefault="00EF40CE">
            <w:pPr>
              <w:pStyle w:val="Other0"/>
              <w:shd w:val="clear" w:color="auto" w:fill="auto"/>
            </w:pPr>
            <w:r>
              <w:t>valník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35 /km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170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4" w:lineRule="auto"/>
              <w:jc w:val="both"/>
            </w:pPr>
            <w:r>
              <w:t xml:space="preserve">Trasa: Vinoř-VUŽV-zařízení na </w:t>
            </w:r>
            <w:proofErr w:type="gramStart"/>
            <w:r>
              <w:t>odstranění -LCP</w:t>
            </w:r>
            <w:proofErr w:type="gramEnd"/>
            <w:r>
              <w:t xml:space="preserve"> Praha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</w:pPr>
            <w:r>
              <w:t>Renault</w:t>
            </w:r>
          </w:p>
          <w:p w:rsidR="00DF4A68" w:rsidRDefault="00EF40CE">
            <w:pPr>
              <w:pStyle w:val="Other0"/>
              <w:shd w:val="clear" w:color="auto" w:fill="auto"/>
            </w:pPr>
            <w:proofErr w:type="spellStart"/>
            <w:r>
              <w:t>Kerax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7-9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55 /km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230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jc w:val="both"/>
            </w:pPr>
            <w:r>
              <w:t>Trasa: Vinoř-VUŽV-zařízení na</w:t>
            </w:r>
          </w:p>
          <w:p w:rsidR="00DF4A68" w:rsidRDefault="00EF40CE">
            <w:pPr>
              <w:pStyle w:val="Other0"/>
              <w:shd w:val="clear" w:color="auto" w:fill="auto"/>
              <w:jc w:val="both"/>
            </w:pPr>
            <w:proofErr w:type="gramStart"/>
            <w:r>
              <w:t>odstranění - LCP</w:t>
            </w:r>
            <w:proofErr w:type="gramEnd"/>
            <w:r>
              <w:t xml:space="preserve"> Praha</w:t>
            </w:r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4" w:lineRule="auto"/>
            </w:pPr>
            <w:r>
              <w:t xml:space="preserve">Renault </w:t>
            </w:r>
            <w:proofErr w:type="spellStart"/>
            <w:r>
              <w:t>Kerax</w:t>
            </w:r>
            <w:proofErr w:type="spellEnd"/>
            <w:r>
              <w:t xml:space="preserve"> </w:t>
            </w:r>
            <w:r>
              <w:t>s vlekem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2-3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10-18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59 /km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230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spacing w:line="269" w:lineRule="auto"/>
              <w:jc w:val="both"/>
            </w:pPr>
            <w:r>
              <w:t xml:space="preserve">Trasa: LCP-VÚŽV-zařízení na </w:t>
            </w:r>
            <w:proofErr w:type="gramStart"/>
            <w:r>
              <w:t>odstranění - LCP</w:t>
            </w:r>
            <w:proofErr w:type="gramEnd"/>
          </w:p>
        </w:tc>
      </w:tr>
      <w:tr w:rsidR="00DF4A6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</w:pPr>
            <w:r>
              <w:t>Sací vůz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DF4A68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63 /km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A68" w:rsidRDefault="00EF40CE">
            <w:pPr>
              <w:pStyle w:val="Other0"/>
              <w:shd w:val="clear" w:color="auto" w:fill="auto"/>
              <w:jc w:val="right"/>
            </w:pPr>
            <w:r>
              <w:t>570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68" w:rsidRDefault="00EF40CE">
            <w:pPr>
              <w:pStyle w:val="Other0"/>
              <w:shd w:val="clear" w:color="auto" w:fill="auto"/>
              <w:jc w:val="both"/>
            </w:pPr>
            <w:r>
              <w:t xml:space="preserve">Trasa: </w:t>
            </w:r>
            <w:proofErr w:type="gramStart"/>
            <w:r>
              <w:t>LCP -VÚŽV</w:t>
            </w:r>
            <w:proofErr w:type="gramEnd"/>
            <w:r>
              <w:t>-zařízení na</w:t>
            </w:r>
          </w:p>
          <w:p w:rsidR="00DF4A68" w:rsidRDefault="00EF40CE">
            <w:pPr>
              <w:pStyle w:val="Other0"/>
              <w:shd w:val="clear" w:color="auto" w:fill="auto"/>
              <w:jc w:val="both"/>
            </w:pPr>
            <w:proofErr w:type="gramStart"/>
            <w:r>
              <w:t>odstranění - LCP</w:t>
            </w:r>
            <w:proofErr w:type="gramEnd"/>
          </w:p>
        </w:tc>
      </w:tr>
    </w:tbl>
    <w:p w:rsidR="00DF4A68" w:rsidRDefault="00DF4A68">
      <w:pPr>
        <w:spacing w:after="306" w:line="14" w:lineRule="exact"/>
      </w:pPr>
    </w:p>
    <w:p w:rsidR="00DF4A68" w:rsidRDefault="00EF40CE">
      <w:pPr>
        <w:pStyle w:val="Heading30"/>
        <w:keepNext/>
        <w:keepLines/>
        <w:shd w:val="clear" w:color="auto" w:fill="auto"/>
        <w:spacing w:after="380" w:line="254" w:lineRule="auto"/>
        <w:ind w:left="660" w:hanging="660"/>
        <w:jc w:val="left"/>
      </w:pPr>
      <w:bookmarkStart w:id="6" w:name="bookmark7"/>
      <w:r>
        <w:t xml:space="preserve">3.3. Ceny za pronájem kontejnerů: kontejnery nejsou dlouhodobě </w:t>
      </w:r>
      <w:proofErr w:type="spellStart"/>
      <w:r>
        <w:t>pronajmuty</w:t>
      </w:r>
      <w:proofErr w:type="spellEnd"/>
      <w:r>
        <w:t xml:space="preserve">, pokud by se tomu tak mělo stát, </w:t>
      </w:r>
      <w:r>
        <w:t>účtuje se za 1 den 60 Kč</w:t>
      </w:r>
      <w:bookmarkEnd w:id="6"/>
      <w:r>
        <w:br w:type="page"/>
      </w:r>
    </w:p>
    <w:p w:rsidR="00DF4A68" w:rsidRDefault="00EF40CE">
      <w:pPr>
        <w:pStyle w:val="Zkladntext"/>
        <w:numPr>
          <w:ilvl w:val="0"/>
          <w:numId w:val="4"/>
        </w:numPr>
        <w:shd w:val="clear" w:color="auto" w:fill="auto"/>
        <w:tabs>
          <w:tab w:val="left" w:pos="560"/>
        </w:tabs>
        <w:spacing w:after="0" w:line="396" w:lineRule="auto"/>
        <w:ind w:left="600" w:hanging="600"/>
      </w:pPr>
      <w:r>
        <w:lastRenderedPageBreak/>
        <w:t>Ceny za značení na obalové nádoby a OLPNO na odpady dle ADR:</w:t>
      </w:r>
    </w:p>
    <w:p w:rsidR="00DF4A68" w:rsidRDefault="00EF40CE">
      <w:pPr>
        <w:pStyle w:val="Zkladntext"/>
        <w:shd w:val="clear" w:color="auto" w:fill="auto"/>
        <w:spacing w:after="0" w:line="396" w:lineRule="auto"/>
        <w:ind w:left="600" w:hanging="600"/>
      </w:pPr>
      <w:r>
        <w:t>nákup 1 ks / 10,- Kč</w:t>
      </w:r>
    </w:p>
    <w:p w:rsidR="00DF4A68" w:rsidRDefault="00EF40CE">
      <w:pPr>
        <w:pStyle w:val="Zkladntext"/>
        <w:shd w:val="clear" w:color="auto" w:fill="auto"/>
        <w:spacing w:after="340" w:line="384" w:lineRule="auto"/>
        <w:jc w:val="left"/>
      </w:pPr>
      <w:r>
        <w:t xml:space="preserve">v případě označování pracovníkem zhotovitele dalších 10,-Kč / 1 vylepení na 1 nádobu </w:t>
      </w:r>
      <w:r>
        <w:rPr>
          <w:i/>
          <w:iCs/>
          <w:sz w:val="19"/>
          <w:szCs w:val="19"/>
        </w:rPr>
        <w:t xml:space="preserve">vystavení OLPNO 55 Kč/ </w:t>
      </w:r>
      <w:r>
        <w:rPr>
          <w:i/>
          <w:iCs/>
        </w:rPr>
        <w:t>1 ks</w:t>
      </w:r>
    </w:p>
    <w:p w:rsidR="00DF4A68" w:rsidRDefault="00EF40CE">
      <w:pPr>
        <w:pStyle w:val="Zkladntext"/>
        <w:numPr>
          <w:ilvl w:val="0"/>
          <w:numId w:val="4"/>
        </w:numPr>
        <w:shd w:val="clear" w:color="auto" w:fill="auto"/>
        <w:tabs>
          <w:tab w:val="left" w:pos="570"/>
        </w:tabs>
        <w:spacing w:after="460" w:line="259" w:lineRule="auto"/>
      </w:pPr>
      <w:r>
        <w:t xml:space="preserve">Ke všem cenám uvedeným v článku </w:t>
      </w:r>
      <w:r>
        <w:t>III. této přílohy bude připočtena platná DPH ve výši dle příslušných právních předpisů právně účinných ke dni data uskutečnění zdanitelného plnění.</w:t>
      </w:r>
    </w:p>
    <w:p w:rsidR="00DF4A68" w:rsidRDefault="00EF40CE">
      <w:pPr>
        <w:pStyle w:val="Heading30"/>
        <w:keepNext/>
        <w:keepLines/>
        <w:shd w:val="clear" w:color="auto" w:fill="auto"/>
        <w:spacing w:after="0" w:line="374" w:lineRule="auto"/>
      </w:pPr>
      <w:bookmarkStart w:id="7" w:name="bookmark8"/>
      <w:r>
        <w:t>Článek IV.</w:t>
      </w:r>
      <w:r>
        <w:br/>
      </w:r>
      <w:r>
        <w:rPr>
          <w:u w:val="single"/>
        </w:rPr>
        <w:t>Ostatní ujednání</w:t>
      </w:r>
      <w:bookmarkEnd w:id="7"/>
    </w:p>
    <w:p w:rsidR="00DF4A68" w:rsidRDefault="00EF40CE">
      <w:pPr>
        <w:pStyle w:val="Zkladntext"/>
        <w:numPr>
          <w:ilvl w:val="0"/>
          <w:numId w:val="5"/>
        </w:numPr>
        <w:shd w:val="clear" w:color="auto" w:fill="auto"/>
        <w:tabs>
          <w:tab w:val="left" w:pos="570"/>
        </w:tabs>
        <w:spacing w:after="100" w:line="276" w:lineRule="auto"/>
        <w:ind w:left="600" w:hanging="600"/>
      </w:pPr>
      <w:r>
        <w:t xml:space="preserve">Ostatní podmínky poskytování sjednané služby jsou stanoveny Smlouvou o </w:t>
      </w:r>
      <w:r>
        <w:t>poskytování služeb v oblasti životního prostředí.</w:t>
      </w:r>
    </w:p>
    <w:p w:rsidR="00DF4A68" w:rsidRDefault="00EF40CE">
      <w:pPr>
        <w:pStyle w:val="Zkladntext"/>
        <w:numPr>
          <w:ilvl w:val="0"/>
          <w:numId w:val="5"/>
        </w:numPr>
        <w:shd w:val="clear" w:color="auto" w:fill="auto"/>
        <w:tabs>
          <w:tab w:val="left" w:pos="570"/>
        </w:tabs>
        <w:spacing w:after="2800" w:line="240" w:lineRule="auto"/>
        <w:ind w:left="600" w:hanging="600"/>
        <w:rPr>
          <w:sz w:val="19"/>
          <w:szCs w:val="19"/>
        </w:rPr>
      </w:pPr>
      <w:r>
        <w:rPr>
          <w:i/>
          <w:iCs/>
          <w:sz w:val="19"/>
          <w:szCs w:val="19"/>
        </w:rPr>
        <w:t>Není-li stanoveno jinak, aktuálně platná cenová příloha nahrazuje v plném rozsahu cenovou přílohu časově předcházející včetně všech jejich dodatků, a to s účinností ode dne podpisu přílohy posledním z účast</w:t>
      </w:r>
      <w:r>
        <w:rPr>
          <w:i/>
          <w:iCs/>
          <w:sz w:val="19"/>
          <w:szCs w:val="19"/>
        </w:rPr>
        <w:t>níků.</w:t>
      </w:r>
    </w:p>
    <w:p w:rsidR="00DF4A68" w:rsidRDefault="007F39FE" w:rsidP="007F39FE">
      <w:pPr>
        <w:pStyle w:val="Zkladntext"/>
        <w:shd w:val="clear" w:color="auto" w:fill="auto"/>
        <w:tabs>
          <w:tab w:val="left" w:pos="5486"/>
          <w:tab w:val="left" w:pos="6658"/>
          <w:tab w:val="left" w:leader="dot" w:pos="7421"/>
        </w:tabs>
        <w:spacing w:after="0" w:line="240" w:lineRule="auto"/>
        <w:ind w:left="600"/>
      </w:pPr>
      <w:r>
        <w:t>V………</w:t>
      </w:r>
      <w:proofErr w:type="gramStart"/>
      <w:r>
        <w:t>…….</w:t>
      </w:r>
      <w:proofErr w:type="gramEnd"/>
      <w:r w:rsidR="00EF40CE">
        <w:t>dne</w:t>
      </w:r>
      <w:r>
        <w:t>…………</w:t>
      </w:r>
      <w:r w:rsidR="00EF40CE">
        <w:tab/>
      </w:r>
      <w:r>
        <w:t>V………………</w:t>
      </w:r>
      <w:r w:rsidR="00EF40CE">
        <w:t>dne</w:t>
      </w:r>
      <w:r>
        <w:t>………….</w:t>
      </w:r>
    </w:p>
    <w:p w:rsidR="007F39FE" w:rsidRDefault="007F39FE" w:rsidP="007F39FE">
      <w:pPr>
        <w:pStyle w:val="Heading30"/>
        <w:keepNext/>
        <w:keepLines/>
        <w:shd w:val="clear" w:color="auto" w:fill="auto"/>
        <w:spacing w:before="160" w:after="0"/>
        <w:ind w:left="2440"/>
        <w:jc w:val="left"/>
      </w:pPr>
      <w:bookmarkStart w:id="8" w:name="bookmark9"/>
      <w:r>
        <w:t xml:space="preserve">              </w:t>
      </w:r>
    </w:p>
    <w:p w:rsidR="007F39FE" w:rsidRDefault="007F39FE" w:rsidP="007F39FE">
      <w:pPr>
        <w:pStyle w:val="Heading30"/>
        <w:keepNext/>
        <w:keepLines/>
        <w:shd w:val="clear" w:color="auto" w:fill="auto"/>
        <w:spacing w:before="160" w:after="0"/>
        <w:jc w:val="left"/>
      </w:pPr>
    </w:p>
    <w:p w:rsidR="007F39FE" w:rsidRDefault="007F39FE" w:rsidP="007F39FE">
      <w:pPr>
        <w:pStyle w:val="Heading30"/>
        <w:keepNext/>
        <w:keepLines/>
        <w:shd w:val="clear" w:color="auto" w:fill="auto"/>
        <w:spacing w:before="160" w:after="0"/>
        <w:jc w:val="left"/>
      </w:pPr>
    </w:p>
    <w:p w:rsidR="007F39FE" w:rsidRDefault="007F39FE" w:rsidP="007F39FE">
      <w:pPr>
        <w:pStyle w:val="Heading30"/>
        <w:keepNext/>
        <w:keepLines/>
        <w:shd w:val="clear" w:color="auto" w:fill="auto"/>
        <w:spacing w:before="160" w:after="0"/>
        <w:jc w:val="left"/>
      </w:pPr>
      <w:r>
        <w:t xml:space="preserve">        Za </w:t>
      </w:r>
      <w:proofErr w:type="gramStart"/>
      <w:r>
        <w:t xml:space="preserve">zhotovitele:   </w:t>
      </w:r>
      <w:proofErr w:type="gramEnd"/>
      <w:r>
        <w:t xml:space="preserve">                                                </w:t>
      </w:r>
      <w:r>
        <w:t>Za objednatele:</w:t>
      </w:r>
    </w:p>
    <w:p w:rsidR="007F39FE" w:rsidRDefault="007F39FE" w:rsidP="007F39FE">
      <w:pPr>
        <w:pStyle w:val="Heading30"/>
        <w:keepNext/>
        <w:keepLines/>
        <w:shd w:val="clear" w:color="auto" w:fill="auto"/>
        <w:spacing w:before="160" w:after="0"/>
        <w:jc w:val="left"/>
        <w:rPr>
          <w:b w:val="0"/>
        </w:rPr>
      </w:pPr>
      <w:r>
        <w:t xml:space="preserve">        </w:t>
      </w:r>
      <w:r>
        <w:rPr>
          <w:b w:val="0"/>
        </w:rPr>
        <w:t xml:space="preserve">Miloš </w:t>
      </w:r>
      <w:proofErr w:type="spellStart"/>
      <w:r>
        <w:rPr>
          <w:b w:val="0"/>
        </w:rPr>
        <w:t>Krýda</w:t>
      </w:r>
      <w:proofErr w:type="spellEnd"/>
      <w:r>
        <w:rPr>
          <w:b w:val="0"/>
        </w:rPr>
        <w:t>, MBA</w:t>
      </w:r>
      <w:r w:rsidRPr="007F39FE">
        <w:t xml:space="preserve"> </w:t>
      </w:r>
      <w:r>
        <w:t xml:space="preserve">                                                 </w:t>
      </w:r>
      <w:proofErr w:type="gramStart"/>
      <w:r w:rsidRPr="007F39FE">
        <w:rPr>
          <w:b w:val="0"/>
        </w:rPr>
        <w:t>Doc.</w:t>
      </w:r>
      <w:proofErr w:type="gramEnd"/>
      <w:r w:rsidRPr="007F39FE">
        <w:rPr>
          <w:b w:val="0"/>
        </w:rPr>
        <w:t xml:space="preserve"> Ing. Petr Homolka CSc. PhD.</w:t>
      </w:r>
    </w:p>
    <w:p w:rsidR="00DF4A68" w:rsidRDefault="007F39FE" w:rsidP="007F39FE">
      <w:pPr>
        <w:pStyle w:val="Heading30"/>
        <w:keepNext/>
        <w:keepLines/>
        <w:shd w:val="clear" w:color="auto" w:fill="auto"/>
        <w:spacing w:before="160" w:after="0"/>
        <w:jc w:val="left"/>
      </w:pPr>
      <w:r>
        <w:t xml:space="preserve">        </w:t>
      </w:r>
      <w:r w:rsidRPr="007F39FE">
        <w:rPr>
          <w:b w:val="0"/>
        </w:rPr>
        <w:t>Oblastní manažer obchodu</w:t>
      </w:r>
      <w:r>
        <w:t xml:space="preserve">                                     </w:t>
      </w:r>
      <w:bookmarkEnd w:id="8"/>
      <w:r w:rsidRPr="007F39FE">
        <w:rPr>
          <w:b w:val="0"/>
        </w:rPr>
        <w:t>ředitel ústavu</w:t>
      </w:r>
    </w:p>
    <w:p w:rsidR="00DF4A68" w:rsidRDefault="007F39FE">
      <w:pPr>
        <w:pStyle w:val="Zkladntext"/>
        <w:shd w:val="clear" w:color="auto" w:fill="auto"/>
        <w:spacing w:after="0" w:line="264" w:lineRule="auto"/>
        <w:ind w:left="2440"/>
        <w:jc w:val="left"/>
        <w:sectPr w:rsidR="00DF4A68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779" w:right="991" w:bottom="1227" w:left="1108" w:header="0" w:footer="3" w:gutter="0"/>
          <w:cols w:space="720"/>
          <w:noEndnote/>
          <w:docGrid w:linePitch="360"/>
        </w:sectPr>
      </w:pPr>
      <w:r>
        <w:t xml:space="preserve">                                 </w:t>
      </w:r>
      <w:r w:rsidR="00EF40CE">
        <w:t xml:space="preserve"> </w:t>
      </w:r>
      <w:r>
        <w:t xml:space="preserve">                                    </w:t>
      </w:r>
    </w:p>
    <w:p w:rsidR="00DF4A68" w:rsidRDefault="00DF4A68" w:rsidP="007F39FE">
      <w:pPr>
        <w:tabs>
          <w:tab w:val="left" w:pos="1665"/>
        </w:tabs>
        <w:spacing w:before="43" w:after="43" w:line="240" w:lineRule="exact"/>
        <w:rPr>
          <w:sz w:val="19"/>
          <w:szCs w:val="19"/>
        </w:rPr>
      </w:pPr>
    </w:p>
    <w:p w:rsidR="00DF4A68" w:rsidRDefault="007F39FE" w:rsidP="007F39FE">
      <w:pPr>
        <w:tabs>
          <w:tab w:val="left" w:pos="1665"/>
        </w:tabs>
        <w:spacing w:line="14" w:lineRule="exact"/>
        <w:sectPr w:rsidR="00DF4A68">
          <w:type w:val="continuous"/>
          <w:pgSz w:w="11900" w:h="16840"/>
          <w:pgMar w:top="1514" w:right="0" w:bottom="991" w:left="0" w:header="0" w:footer="3" w:gutter="0"/>
          <w:cols w:space="720"/>
          <w:noEndnote/>
          <w:docGrid w:linePitch="360"/>
        </w:sectPr>
      </w:pPr>
      <w:r>
        <w:tab/>
      </w:r>
    </w:p>
    <w:p w:rsidR="00DF4A68" w:rsidRDefault="00DF4A68">
      <w:pPr>
        <w:pStyle w:val="Picturecaption0"/>
        <w:framePr w:w="1258" w:h="365" w:wrap="none" w:vAnchor="text" w:hAnchor="margin" w:x="1176" w:y="65"/>
        <w:shd w:val="clear" w:color="auto" w:fill="auto"/>
        <w:rPr>
          <w:sz w:val="18"/>
          <w:szCs w:val="18"/>
        </w:rPr>
      </w:pPr>
    </w:p>
    <w:p w:rsidR="00DF4A68" w:rsidRDefault="00DF4A68">
      <w:pPr>
        <w:pStyle w:val="Picturecaption0"/>
        <w:framePr w:w="1152" w:h="240" w:wrap="none" w:vAnchor="text" w:hAnchor="margin" w:x="3278" w:y="21"/>
        <w:shd w:val="clear" w:color="auto" w:fill="auto"/>
      </w:pPr>
    </w:p>
    <w:p w:rsidR="00DF4A68" w:rsidRDefault="00DF4A68">
      <w:pPr>
        <w:spacing w:line="360" w:lineRule="exact"/>
      </w:pPr>
    </w:p>
    <w:p w:rsidR="00DF4A68" w:rsidRDefault="00DF4A68">
      <w:pPr>
        <w:spacing w:line="528" w:lineRule="exact"/>
      </w:pPr>
    </w:p>
    <w:p w:rsidR="00DF4A68" w:rsidRDefault="00DF4A68">
      <w:pPr>
        <w:spacing w:line="14" w:lineRule="exact"/>
      </w:pPr>
      <w:bookmarkStart w:id="9" w:name="_GoBack"/>
      <w:bookmarkEnd w:id="9"/>
    </w:p>
    <w:sectPr w:rsidR="00DF4A68">
      <w:type w:val="continuous"/>
      <w:pgSz w:w="11900" w:h="16840"/>
      <w:pgMar w:top="1514" w:right="231" w:bottom="991" w:left="11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0CE" w:rsidRDefault="00EF40CE">
      <w:r>
        <w:separator/>
      </w:r>
    </w:p>
  </w:endnote>
  <w:endnote w:type="continuationSeparator" w:id="0">
    <w:p w:rsidR="00EF40CE" w:rsidRDefault="00EF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68" w:rsidRDefault="00EF40C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1186815</wp:posOffset>
              </wp:positionH>
              <wp:positionV relativeFrom="page">
                <wp:posOffset>10102850</wp:posOffset>
              </wp:positionV>
              <wp:extent cx="5291455" cy="10668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145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4A68" w:rsidRDefault="00EF40CE">
                          <w:pPr>
                            <w:pStyle w:val="Headerorfooter20"/>
                            <w:shd w:val="clear" w:color="auto" w:fill="auto"/>
                            <w:tabs>
                              <w:tab w:val="right" w:pos="8333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CZ a.s.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ab/>
                            <w:t>strana číslo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7" type="#_x0000_t202" style="position:absolute;margin-left:93.45pt;margin-top:795.5pt;width:416.65pt;height:8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" filled="f" stroked="f">
              <v:textbox style="mso-fit-shape-to-text:t" inset="0,0,0,0">
                <w:txbxContent>
                  <w:p w:rsidR="00DF4A68" w:rsidRDefault="00EF40CE">
                    <w:pPr>
                      <w:pStyle w:val="Headerorfooter20"/>
                      <w:shd w:val="clear" w:color="auto" w:fill="auto"/>
                      <w:tabs>
                        <w:tab w:val="right" w:pos="8333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CZ a.s.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ab/>
                      <w:t>strana číslo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817880</wp:posOffset>
              </wp:positionH>
              <wp:positionV relativeFrom="page">
                <wp:posOffset>10078720</wp:posOffset>
              </wp:positionV>
              <wp:extent cx="612648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4.400000000000006pt;margin-top:793.60000000000002pt;width:482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68" w:rsidRDefault="00EF40C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848995</wp:posOffset>
              </wp:positionH>
              <wp:positionV relativeFrom="page">
                <wp:posOffset>10139680</wp:posOffset>
              </wp:positionV>
              <wp:extent cx="5632450" cy="10668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24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4A68" w:rsidRDefault="00EF40CE">
                          <w:pPr>
                            <w:pStyle w:val="Headerorfooter20"/>
                            <w:shd w:val="clear" w:color="auto" w:fill="auto"/>
                            <w:tabs>
                              <w:tab w:val="right" w:pos="887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SUEZ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CZ a.s.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ab/>
                            <w:t>strana číslo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f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9" type="#_x0000_t202" style="position:absolute;margin-left:66.85pt;margin-top:798.4pt;width:443.5pt;height:8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" filled="f" stroked="f">
              <v:textbox style="mso-fit-shape-to-text:t" inset="0,0,0,0">
                <w:txbxContent>
                  <w:p w:rsidR="00DF4A68" w:rsidRDefault="00EF40CE">
                    <w:pPr>
                      <w:pStyle w:val="Headerorfooter20"/>
                      <w:shd w:val="clear" w:color="auto" w:fill="auto"/>
                      <w:tabs>
                        <w:tab w:val="right" w:pos="8870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 xml:space="preserve">SUEZ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CZ a.s.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ab/>
                      <w:t>strana číslo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818515</wp:posOffset>
              </wp:positionH>
              <wp:positionV relativeFrom="page">
                <wp:posOffset>10113645</wp:posOffset>
              </wp:positionV>
              <wp:extent cx="613283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4.450000000000003pt;margin-top:796.35000000000002pt;width:482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68" w:rsidRDefault="00EF40C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929005</wp:posOffset>
              </wp:positionH>
              <wp:positionV relativeFrom="page">
                <wp:posOffset>10148570</wp:posOffset>
              </wp:positionV>
              <wp:extent cx="5486400" cy="977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4A68" w:rsidRDefault="00EF40CE">
                          <w:pPr>
                            <w:pStyle w:val="Headerorfooter20"/>
                            <w:shd w:val="clear" w:color="auto" w:fill="auto"/>
                            <w:tabs>
                              <w:tab w:val="right" w:pos="864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IEZ CZ a.s.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ab/>
                            <w:t xml:space="preserve">strana číslo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1" type="#_x0000_t202" style="position:absolute;margin-left:73.15pt;margin-top:799.1pt;width:6in;height:7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" filled="f" stroked="f">
              <v:textbox style="mso-fit-shape-to-text:t" inset="0,0,0,0">
                <w:txbxContent>
                  <w:p w:rsidR="00DF4A68" w:rsidRDefault="00EF40CE">
                    <w:pPr>
                      <w:pStyle w:val="Headerorfooter20"/>
                      <w:shd w:val="clear" w:color="auto" w:fill="auto"/>
                      <w:tabs>
                        <w:tab w:val="right" w:pos="8640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IEZ CZ a.s.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ab/>
                      <w:t xml:space="preserve">strana číslo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10116185</wp:posOffset>
              </wp:positionV>
              <wp:extent cx="6123305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0.200000000000003pt;margin-top:796.54999999999995pt;width:482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68" w:rsidRDefault="00DF4A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0CE" w:rsidRDefault="00EF40CE"/>
  </w:footnote>
  <w:footnote w:type="continuationSeparator" w:id="0">
    <w:p w:rsidR="00EF40CE" w:rsidRDefault="00EF4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68" w:rsidRDefault="00EF40C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775335</wp:posOffset>
              </wp:positionH>
              <wp:positionV relativeFrom="page">
                <wp:posOffset>611505</wp:posOffset>
              </wp:positionV>
              <wp:extent cx="4989830" cy="2590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9830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4A68" w:rsidRDefault="00EF40CE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 xml:space="preserve">Příloha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 xml:space="preserve"> ke Smlouvě o poskytování služeb v oblasti životního prostředí č. 10000767</w:t>
                          </w:r>
                        </w:p>
                        <w:p w:rsidR="00DF4A68" w:rsidRDefault="00EF40CE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>„Odběr průmyslových odpadů a druhotných surovin"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61.05pt;margin-top:48.15pt;width:392.9pt;height:20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" filled="f" stroked="f">
              <v:textbox style="mso-fit-shape-to-text:t" inset="0,0,0,0">
                <w:txbxContent>
                  <w:p w:rsidR="00DF4A68" w:rsidRDefault="00EF40CE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 xml:space="preserve">Příloha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 xml:space="preserve"> ke Smlouvě o poskytování služeb v oblasti životního prostředí č. 10000767</w:t>
                    </w:r>
                  </w:p>
                  <w:p w:rsidR="00DF4A68" w:rsidRDefault="00EF40CE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>„Odběr průmyslových odpadů a druhotných surovin"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876300</wp:posOffset>
              </wp:positionV>
              <wp:extent cx="612330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0.299999999999997pt;margin-top:69.pt;width:482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68" w:rsidRDefault="00EF40C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727075</wp:posOffset>
              </wp:positionH>
              <wp:positionV relativeFrom="page">
                <wp:posOffset>641985</wp:posOffset>
              </wp:positionV>
              <wp:extent cx="5032375" cy="2590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237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4A68" w:rsidRDefault="00EF40CE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>Příloha č. 2 ke Smlouvě o poskytování služeb v obla</w:t>
                          </w: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>sti životního prostředí č. 10000767</w:t>
                          </w:r>
                        </w:p>
                        <w:p w:rsidR="00DF4A68" w:rsidRDefault="00EF40CE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>.„</w:t>
                          </w:r>
                          <w:proofErr w:type="spellStart"/>
                          <w:proofErr w:type="gramEnd"/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>Qdběr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 xml:space="preserve"> průmyslových odpadů a druhotných surovin"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57.25pt;margin-top:50.55pt;width:396.25pt;height:20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" filled="f" stroked="f">
              <v:textbox style="mso-fit-shape-to-text:t" inset="0,0,0,0">
                <w:txbxContent>
                  <w:p w:rsidR="00DF4A68" w:rsidRDefault="00EF40CE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>Příloha č. 2 ke Smlouvě o poskytování služeb v obla</w:t>
                    </w:r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>sti životního prostředí č. 10000767</w:t>
                    </w:r>
                  </w:p>
                  <w:p w:rsidR="00DF4A68" w:rsidRDefault="00EF40CE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>.„</w:t>
                    </w:r>
                    <w:proofErr w:type="spellStart"/>
                    <w:proofErr w:type="gramEnd"/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>Qdběr</w:t>
                    </w:r>
                    <w:proofErr w:type="spellEnd"/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 xml:space="preserve"> průmyslových odpadů a druhotných surovin"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757555</wp:posOffset>
              </wp:positionH>
              <wp:positionV relativeFrom="page">
                <wp:posOffset>907415</wp:posOffset>
              </wp:positionV>
              <wp:extent cx="613537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5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9.649999999999999pt;margin-top:71.450000000000003pt;width:48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68" w:rsidRDefault="00EF40CE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721995</wp:posOffset>
              </wp:positionH>
              <wp:positionV relativeFrom="page">
                <wp:posOffset>611505</wp:posOffset>
              </wp:positionV>
              <wp:extent cx="4989830" cy="25908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9830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4A68" w:rsidRDefault="00EF40CE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>Příloha č. 2 ke Smlouvě o poskytování služeb v oblasti životního prostředí č. 10000767</w:t>
                          </w:r>
                        </w:p>
                        <w:p w:rsidR="00DF4A68" w:rsidRDefault="00EF40CE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8"/>
                              <w:szCs w:val="18"/>
                            </w:rPr>
                            <w:t>„Odběr průmyslových odpadů a druhotných surovin"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0" type="#_x0000_t202" style="position:absolute;margin-left:56.85pt;margin-top:48.15pt;width:392.9pt;height:20.4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" filled="f" stroked="f">
              <v:textbox style="mso-fit-shape-to-text:t" inset="0,0,0,0">
                <w:txbxContent>
                  <w:p w:rsidR="00DF4A68" w:rsidRDefault="00EF40CE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>Příloha č. 2 ke Smlouvě o poskytování služeb v oblasti životního prostředí č. 10000767</w:t>
                    </w:r>
                  </w:p>
                  <w:p w:rsidR="00DF4A68" w:rsidRDefault="00EF40CE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i/>
                        <w:iCs/>
                        <w:sz w:val="18"/>
                        <w:szCs w:val="18"/>
                      </w:rPr>
                      <w:t>„Odběr průmyslových odpadů a druhotných surovin"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712470</wp:posOffset>
              </wp:positionH>
              <wp:positionV relativeFrom="page">
                <wp:posOffset>922020</wp:posOffset>
              </wp:positionV>
              <wp:extent cx="6126480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6.100000000000001pt;margin-top:72.599999999999994pt;width:482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68" w:rsidRDefault="00DF4A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4134A"/>
    <w:multiLevelType w:val="multilevel"/>
    <w:tmpl w:val="678CBBF8"/>
    <w:lvl w:ilvl="0">
      <w:start w:val="1"/>
      <w:numFmt w:val="decimal"/>
      <w:lvlText w:val="3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607A4"/>
    <w:multiLevelType w:val="multilevel"/>
    <w:tmpl w:val="C464B78A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553258"/>
    <w:multiLevelType w:val="multilevel"/>
    <w:tmpl w:val="2250D470"/>
    <w:lvl w:ilvl="0">
      <w:start w:val="1"/>
      <w:numFmt w:val="decimal"/>
      <w:lvlText w:val="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FB00BE"/>
    <w:multiLevelType w:val="multilevel"/>
    <w:tmpl w:val="31D2C9CA"/>
    <w:lvl w:ilvl="0">
      <w:start w:val="4"/>
      <w:numFmt w:val="decimal"/>
      <w:lvlText w:val="3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2B5B09"/>
    <w:multiLevelType w:val="multilevel"/>
    <w:tmpl w:val="7E6ED650"/>
    <w:lvl w:ilvl="0">
      <w:start w:val="1"/>
      <w:numFmt w:val="decimal"/>
      <w:lvlText w:val="4.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68"/>
    <w:rsid w:val="007F39FE"/>
    <w:rsid w:val="00DF4A68"/>
    <w:rsid w:val="00E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80E6"/>
  <w15:docId w15:val="{18E3C3D6-C595-4C5E-88E6-3768F659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CACC9"/>
      <w:sz w:val="17"/>
      <w:szCs w:val="17"/>
      <w:u w:val="none"/>
    </w:rPr>
  </w:style>
  <w:style w:type="character" w:customStyle="1" w:styleId="Heading2">
    <w:name w:val="Heading #2_"/>
    <w:basedOn w:val="Standardnpsmoodstavce"/>
    <w:link w:val="Heading20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20" w:line="262" w:lineRule="auto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0"/>
      <w:jc w:val="center"/>
    </w:pPr>
    <w:rPr>
      <w:rFonts w:ascii="Arial" w:eastAsia="Arial" w:hAnsi="Arial" w:cs="Arial"/>
      <w:color w:val="6CACC9"/>
      <w:sz w:val="17"/>
      <w:szCs w:val="17"/>
    </w:rPr>
  </w:style>
  <w:style w:type="paragraph" w:customStyle="1" w:styleId="Heading20">
    <w:name w:val="Heading #2"/>
    <w:basedOn w:val="Normln"/>
    <w:link w:val="Heading2"/>
    <w:pPr>
      <w:shd w:val="clear" w:color="auto" w:fill="FFFFFF"/>
      <w:jc w:val="center"/>
      <w:outlineLvl w:val="1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120"/>
      <w:jc w:val="center"/>
      <w:outlineLvl w:val="2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rFonts w:ascii="Verdana" w:eastAsia="Verdana" w:hAnsi="Verdana" w:cs="Verdana"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Verdana" w:eastAsia="Verdana" w:hAnsi="Verdana" w:cs="Verdana"/>
      <w:sz w:val="18"/>
      <w:szCs w:val="18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sz w:val="17"/>
      <w:szCs w:val="17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2021-03-01T13:29:00Z</dcterms:created>
  <dcterms:modified xsi:type="dcterms:W3CDTF">2021-03-01T13:35:00Z</dcterms:modified>
</cp:coreProperties>
</file>