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A004" w14:textId="33B4BF7F" w:rsidR="007677CB" w:rsidRPr="004013CD" w:rsidRDefault="000D6D26" w:rsidP="002C0EB0">
      <w:pPr>
        <w:spacing w:after="240"/>
        <w:rPr>
          <w:b/>
          <w:sz w:val="20"/>
          <w:szCs w:val="20"/>
        </w:rPr>
      </w:pPr>
      <w:r w:rsidRPr="004013CD">
        <w:rPr>
          <w:b/>
          <w:color w:val="00000A"/>
          <w:sz w:val="20"/>
          <w:szCs w:val="20"/>
        </w:rPr>
        <w:t xml:space="preserve"> </w:t>
      </w:r>
      <w:r w:rsidR="007677CB" w:rsidRPr="004013CD">
        <w:rPr>
          <w:b/>
          <w:sz w:val="20"/>
          <w:szCs w:val="20"/>
        </w:rPr>
        <w:t>Příloha č. 1</w:t>
      </w:r>
    </w:p>
    <w:p w14:paraId="407BF35E" w14:textId="77777777" w:rsidR="007677CB" w:rsidRPr="004013CD" w:rsidRDefault="007677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8"/>
          <w:szCs w:val="28"/>
        </w:rPr>
      </w:pPr>
    </w:p>
    <w:p w14:paraId="3BD3C9DE" w14:textId="77777777" w:rsidR="00EA27BA" w:rsidRPr="004013CD" w:rsidRDefault="00EA27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8"/>
          <w:szCs w:val="28"/>
        </w:rPr>
      </w:pPr>
    </w:p>
    <w:p w14:paraId="5213D41C" w14:textId="00A8A09F" w:rsidR="00EA27BA" w:rsidRPr="004013CD" w:rsidRDefault="00EA27BA" w:rsidP="00EA27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44"/>
          <w:szCs w:val="44"/>
        </w:rPr>
      </w:pPr>
      <w:r w:rsidRPr="004013CD">
        <w:rPr>
          <w:b/>
          <w:color w:val="00000A"/>
          <w:sz w:val="44"/>
          <w:szCs w:val="44"/>
        </w:rPr>
        <w:t>Rámcový obsah zakázky na grafický manuál vizuální identity Muzea umění Olomouc</w:t>
      </w:r>
      <w:r w:rsidRPr="004013CD">
        <w:rPr>
          <w:b/>
          <w:sz w:val="44"/>
          <w:szCs w:val="44"/>
        </w:rPr>
        <w:t xml:space="preserve"> </w:t>
      </w:r>
    </w:p>
    <w:p w14:paraId="3952B24E" w14:textId="18671E59" w:rsidR="00564BD2" w:rsidRPr="004013CD" w:rsidRDefault="00564B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8"/>
          <w:szCs w:val="28"/>
        </w:rPr>
      </w:pPr>
    </w:p>
    <w:p w14:paraId="348F3227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A"/>
          <w:sz w:val="20"/>
          <w:szCs w:val="20"/>
        </w:rPr>
      </w:pPr>
      <w:r w:rsidRPr="004013CD">
        <w:rPr>
          <w:color w:val="00000A"/>
          <w:sz w:val="20"/>
          <w:szCs w:val="20"/>
        </w:rPr>
        <w:t xml:space="preserve"> </w:t>
      </w:r>
    </w:p>
    <w:p w14:paraId="7483D782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0"/>
          <w:szCs w:val="20"/>
        </w:rPr>
      </w:pPr>
      <w:bookmarkStart w:id="0" w:name="_gjdgxs" w:colFirst="0" w:colLast="0"/>
      <w:bookmarkEnd w:id="0"/>
      <w:r w:rsidRPr="004013CD">
        <w:rPr>
          <w:sz w:val="20"/>
          <w:szCs w:val="20"/>
        </w:rPr>
        <w:t xml:space="preserve">Celková hodnota zakázky činí 445.000 Kč + případné DPH, je-li vítěz soutěže plátcem DPH. Zakázka sestává z několika částí, viz přílohu Licenční smlouvy č. 2 – harmonogram plnění smlouvy. Pro rozložení platby celkové hodnoty zakázky v čase byly stanoveny dílčí odměny za jednotlivé fáze zakázky. Součástí odměny je i zapracování připomínek k jednotlivým výstupům ze strany Objednatele. Grafický manuál se odevzdává v elektronické verzi bez dlouhých popisů k jednotlivým částem se zajištěním sdílení všech výstupů a nástrojů. Data budou zpracována pro další DTP zpracování a odevzdána v otevřených formátech programů Adobe InDesign či Adobe </w:t>
      </w:r>
      <w:proofErr w:type="spellStart"/>
      <w:r w:rsidRPr="004013CD">
        <w:rPr>
          <w:sz w:val="20"/>
          <w:szCs w:val="20"/>
        </w:rPr>
        <w:t>Illustrator</w:t>
      </w:r>
      <w:proofErr w:type="spellEnd"/>
      <w:r w:rsidRPr="004013CD">
        <w:rPr>
          <w:sz w:val="20"/>
          <w:szCs w:val="20"/>
        </w:rPr>
        <w:t>. Datové soubory musí umožňovat tisk ve vysoké kvalitě. Zhotovitel ve spolupráci s Muzeem umění Olomouc zváží, jaké řešení bude s ohledem na praktičnost i náklady nejvhodnější (</w:t>
      </w:r>
      <w:proofErr w:type="spellStart"/>
      <w:r w:rsidRPr="004013CD">
        <w:rPr>
          <w:sz w:val="20"/>
          <w:szCs w:val="20"/>
        </w:rPr>
        <w:t>cloudové</w:t>
      </w:r>
      <w:proofErr w:type="spellEnd"/>
      <w:r w:rsidRPr="004013CD">
        <w:rPr>
          <w:sz w:val="20"/>
          <w:szCs w:val="20"/>
        </w:rPr>
        <w:t xml:space="preserve"> úložiště, interaktivní </w:t>
      </w:r>
      <w:proofErr w:type="spellStart"/>
      <w:r w:rsidRPr="004013CD">
        <w:rPr>
          <w:sz w:val="20"/>
          <w:szCs w:val="20"/>
        </w:rPr>
        <w:t>pdf</w:t>
      </w:r>
      <w:proofErr w:type="spellEnd"/>
      <w:r w:rsidRPr="004013CD">
        <w:rPr>
          <w:sz w:val="20"/>
          <w:szCs w:val="20"/>
        </w:rPr>
        <w:t xml:space="preserve"> manuál apod.). Pro archivní účely bude kompletní grafický manuál odevzdán zhotovitelem také v 1 tištěném vyhotovení.</w:t>
      </w:r>
    </w:p>
    <w:p w14:paraId="00EF922A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A"/>
          <w:sz w:val="20"/>
          <w:szCs w:val="20"/>
        </w:rPr>
      </w:pPr>
      <w:r w:rsidRPr="004013CD">
        <w:rPr>
          <w:color w:val="00000A"/>
          <w:sz w:val="20"/>
          <w:szCs w:val="20"/>
        </w:rPr>
        <w:t xml:space="preserve"> </w:t>
      </w:r>
    </w:p>
    <w:p w14:paraId="01C6F329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>ČÁSTI ZAKÁZKY A POLOŽKOVÝ ROZPIS JEJICH JEDNOTLIVÝCH ČÁSTÍ:</w:t>
      </w:r>
    </w:p>
    <w:p w14:paraId="486B0B37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A"/>
          <w:sz w:val="20"/>
          <w:szCs w:val="20"/>
        </w:rPr>
      </w:pPr>
      <w:r w:rsidRPr="004013CD">
        <w:rPr>
          <w:color w:val="00000A"/>
          <w:sz w:val="20"/>
          <w:szCs w:val="20"/>
        </w:rPr>
        <w:t xml:space="preserve"> </w:t>
      </w:r>
    </w:p>
    <w:p w14:paraId="4D9A1F79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>Část 1 – Úvod k manuálu</w:t>
      </w:r>
    </w:p>
    <w:p w14:paraId="2CB6320F" w14:textId="77777777" w:rsidR="00564BD2" w:rsidRPr="004013CD" w:rsidRDefault="00564B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</w:p>
    <w:p w14:paraId="64AB3FC4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rFonts w:eastAsia="Arial Unicode MS"/>
          <w:sz w:val="20"/>
          <w:szCs w:val="20"/>
        </w:rPr>
        <w:t>→</w:t>
      </w:r>
      <w:r w:rsidRPr="004013CD">
        <w:rPr>
          <w:rFonts w:eastAsia="Arimo"/>
          <w:sz w:val="20"/>
          <w:szCs w:val="20"/>
        </w:rPr>
        <w:t xml:space="preserve"> principy, jak pracovat s manuálem</w:t>
      </w:r>
    </w:p>
    <w:p w14:paraId="18BA25A3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→ stručné představení konceptu a principu fungování vizuální identity, z čeho vychází, slovní popis</w:t>
      </w:r>
    </w:p>
    <w:p w14:paraId="3842931D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→ pravidla a způsob práce se systémem vizuální identity</w:t>
      </w:r>
    </w:p>
    <w:p w14:paraId="6D12A283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→ ukázka aplikací vizuální identity na tištěných materiálech</w:t>
      </w:r>
    </w:p>
    <w:p w14:paraId="7EF179C4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rFonts w:eastAsia="Arial Unicode MS"/>
          <w:sz w:val="20"/>
          <w:szCs w:val="20"/>
        </w:rPr>
        <w:t>→</w:t>
      </w:r>
      <w:r w:rsidRPr="004013CD">
        <w:rPr>
          <w:rFonts w:eastAsia="Arimo"/>
          <w:sz w:val="20"/>
          <w:szCs w:val="20"/>
        </w:rPr>
        <w:t xml:space="preserve"> ukázka aplikací vizuální identity na online materiálech</w:t>
      </w:r>
    </w:p>
    <w:p w14:paraId="10D94FEA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A"/>
          <w:sz w:val="20"/>
          <w:szCs w:val="20"/>
        </w:rPr>
      </w:pPr>
      <w:r w:rsidRPr="004013CD">
        <w:rPr>
          <w:color w:val="00000A"/>
          <w:sz w:val="20"/>
          <w:szCs w:val="20"/>
        </w:rPr>
        <w:t xml:space="preserve"> </w:t>
      </w:r>
    </w:p>
    <w:p w14:paraId="7BDB7349" w14:textId="20435874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>Část 2 – Základní manuál loga</w:t>
      </w:r>
    </w:p>
    <w:p w14:paraId="2CE2A8F6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 xml:space="preserve"> </w:t>
      </w:r>
    </w:p>
    <w:p w14:paraId="0E78BF82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>Logo</w:t>
      </w:r>
    </w:p>
    <w:p w14:paraId="4957A568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rFonts w:eastAsia="Arial Unicode MS"/>
          <w:sz w:val="20"/>
          <w:szCs w:val="20"/>
        </w:rPr>
        <w:t xml:space="preserve">→ </w:t>
      </w:r>
      <w:r w:rsidRPr="004013CD">
        <w:rPr>
          <w:rFonts w:eastAsia="Arimo"/>
          <w:sz w:val="20"/>
          <w:szCs w:val="20"/>
        </w:rPr>
        <w:t>varianty logotypu dle konceptu vizuální identity</w:t>
      </w:r>
    </w:p>
    <w:p w14:paraId="4271760D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→ čtvercová varianta loga, nejsou‐li základní loga čtvercová, pro použití na sociálních sítích</w:t>
      </w:r>
    </w:p>
    <w:p w14:paraId="15CAA073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→ černobílé/dvoubarevné a barevné varianty v pozitivu a negativu</w:t>
      </w:r>
    </w:p>
    <w:p w14:paraId="197A1972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→ barevné varianty na různých podkladových plochách (pokud budou součástí řešení barevné varianty)</w:t>
      </w:r>
    </w:p>
    <w:p w14:paraId="7C2EF0B2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→ rozměrová řada a minimální velikost loga, ochranná zóna</w:t>
      </w:r>
    </w:p>
    <w:p w14:paraId="2FD4C50A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→ provedení loga prostřednictvím různých technologických postupů (ražba, gravírování, pískování)</w:t>
      </w:r>
    </w:p>
    <w:p w14:paraId="1097EB86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→ systém “</w:t>
      </w:r>
      <w:proofErr w:type="spellStart"/>
      <w:r w:rsidRPr="004013CD">
        <w:rPr>
          <w:sz w:val="20"/>
          <w:szCs w:val="20"/>
        </w:rPr>
        <w:t>podznaček</w:t>
      </w:r>
      <w:proofErr w:type="spellEnd"/>
      <w:r w:rsidRPr="004013CD">
        <w:rPr>
          <w:sz w:val="20"/>
          <w:szCs w:val="20"/>
        </w:rPr>
        <w:t>” MUO, kombinace “</w:t>
      </w:r>
      <w:proofErr w:type="spellStart"/>
      <w:r w:rsidRPr="004013CD">
        <w:rPr>
          <w:sz w:val="20"/>
          <w:szCs w:val="20"/>
        </w:rPr>
        <w:t>podznaček</w:t>
      </w:r>
      <w:proofErr w:type="spellEnd"/>
      <w:r w:rsidRPr="004013CD">
        <w:rPr>
          <w:sz w:val="20"/>
          <w:szCs w:val="20"/>
        </w:rPr>
        <w:t>” a jejich případných zkratek s logem MUO</w:t>
      </w:r>
    </w:p>
    <w:p w14:paraId="2F3333D2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A"/>
          <w:sz w:val="20"/>
          <w:szCs w:val="20"/>
        </w:rPr>
      </w:pPr>
      <w:r w:rsidRPr="004013CD">
        <w:rPr>
          <w:color w:val="00000A"/>
          <w:sz w:val="20"/>
          <w:szCs w:val="20"/>
        </w:rPr>
        <w:t xml:space="preserve"> </w:t>
      </w:r>
    </w:p>
    <w:p w14:paraId="5A57C559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>Písmo</w:t>
      </w:r>
    </w:p>
    <w:p w14:paraId="5B0CDAEA" w14:textId="44E17AC5" w:rsidR="002038EE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Arimo"/>
          <w:sz w:val="20"/>
          <w:szCs w:val="20"/>
        </w:rPr>
      </w:pPr>
      <w:r w:rsidRPr="004013CD">
        <w:rPr>
          <w:rFonts w:eastAsia="Arial Unicode MS"/>
          <w:sz w:val="20"/>
          <w:szCs w:val="20"/>
        </w:rPr>
        <w:t xml:space="preserve">→ </w:t>
      </w:r>
      <w:r w:rsidRPr="004013CD">
        <w:rPr>
          <w:rFonts w:eastAsia="Arimo"/>
          <w:sz w:val="20"/>
          <w:szCs w:val="20"/>
        </w:rPr>
        <w:t>základní písmo</w:t>
      </w:r>
      <w:r w:rsidR="002038EE" w:rsidRPr="004013CD">
        <w:rPr>
          <w:rFonts w:eastAsia="Arimo"/>
          <w:sz w:val="20"/>
          <w:szCs w:val="20"/>
        </w:rPr>
        <w:t xml:space="preserve"> Rand</w:t>
      </w:r>
    </w:p>
    <w:p w14:paraId="0C1D31A7" w14:textId="17372B3C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→ doplňkové písmo (a doplňková písma pro operační systémy Windows a Mac)</w:t>
      </w:r>
    </w:p>
    <w:p w14:paraId="57068BCA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→ doporučená sazba, způsoby zvýrazňování a min. 2 úrovně nadpisu</w:t>
      </w:r>
    </w:p>
    <w:p w14:paraId="312DA019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→ příklady použití pro několik reálných výstupů</w:t>
      </w:r>
    </w:p>
    <w:p w14:paraId="0C2CF183" w14:textId="0D387FB8" w:rsidR="009C4B4C" w:rsidRPr="004013CD" w:rsidRDefault="009C4B4C" w:rsidP="009C4B4C">
      <w:pPr>
        <w:rPr>
          <w:rFonts w:eastAsiaTheme="minorHAnsi"/>
          <w:sz w:val="20"/>
          <w:szCs w:val="20"/>
        </w:rPr>
      </w:pPr>
      <w:r w:rsidRPr="004013CD">
        <w:rPr>
          <w:sz w:val="20"/>
          <w:szCs w:val="20"/>
        </w:rPr>
        <w:t xml:space="preserve">→ </w:t>
      </w:r>
      <w:r w:rsidRPr="004013CD">
        <w:rPr>
          <w:rFonts w:eastAsiaTheme="minorHAnsi"/>
          <w:sz w:val="20"/>
          <w:szCs w:val="20"/>
        </w:rPr>
        <w:t>písmo (font) inspirovaný písmy z období fraktur v rozsahu základní znakové sady verzálek a číslic</w:t>
      </w:r>
    </w:p>
    <w:p w14:paraId="3E639F25" w14:textId="3339F2B3" w:rsidR="00564BD2" w:rsidRPr="004013CD" w:rsidRDefault="00564B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A"/>
          <w:sz w:val="20"/>
          <w:szCs w:val="20"/>
        </w:rPr>
      </w:pPr>
    </w:p>
    <w:p w14:paraId="0EDD33E6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>Barevnost</w:t>
      </w:r>
    </w:p>
    <w:p w14:paraId="571CAFC8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rFonts w:eastAsia="Arial Unicode MS"/>
          <w:sz w:val="20"/>
          <w:szCs w:val="20"/>
        </w:rPr>
        <w:t xml:space="preserve">→ </w:t>
      </w:r>
      <w:r w:rsidRPr="004013CD">
        <w:rPr>
          <w:rFonts w:eastAsia="Arimo"/>
          <w:sz w:val="20"/>
          <w:szCs w:val="20"/>
        </w:rPr>
        <w:t>základní barvy loga a jednotného vizuálního stylu</w:t>
      </w:r>
    </w:p>
    <w:p w14:paraId="02907276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sz w:val="20"/>
          <w:szCs w:val="20"/>
        </w:rPr>
        <w:t>→ doplňkové barvy jednotného vizuálního stylu</w:t>
      </w:r>
    </w:p>
    <w:p w14:paraId="7A83D46F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 xml:space="preserve"> </w:t>
      </w:r>
    </w:p>
    <w:p w14:paraId="2E798FAD" w14:textId="77777777" w:rsidR="00564BD2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>Část 3 – Koncepce vizuálního stylu – vzorové aplikace</w:t>
      </w:r>
    </w:p>
    <w:p w14:paraId="3B8ECED2" w14:textId="77777777" w:rsidR="0012773A" w:rsidRDefault="001277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</w:p>
    <w:p w14:paraId="70A12F05" w14:textId="75EA79DF" w:rsidR="0012773A" w:rsidRDefault="001277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Kompletní abeceda + numerická řada</w:t>
      </w:r>
    </w:p>
    <w:p w14:paraId="7445E152" w14:textId="37E20340" w:rsidR="00C27838" w:rsidRDefault="0012773A" w:rsidP="00C27838">
      <w:pPr>
        <w:ind w:left="420" w:hanging="359"/>
        <w:rPr>
          <w:sz w:val="20"/>
          <w:szCs w:val="20"/>
        </w:rPr>
      </w:pPr>
      <w:r w:rsidRPr="004013CD">
        <w:rPr>
          <w:sz w:val="20"/>
          <w:szCs w:val="20"/>
        </w:rPr>
        <w:t>→</w:t>
      </w:r>
      <w:r w:rsidRPr="004013CD">
        <w:rPr>
          <w:sz w:val="20"/>
          <w:szCs w:val="20"/>
        </w:rPr>
        <w:tab/>
      </w:r>
      <w:r>
        <w:rPr>
          <w:sz w:val="20"/>
          <w:szCs w:val="20"/>
        </w:rPr>
        <w:t xml:space="preserve">ve stylu základní </w:t>
      </w:r>
      <w:r w:rsidR="00C27838">
        <w:rPr>
          <w:sz w:val="20"/>
          <w:szCs w:val="20"/>
        </w:rPr>
        <w:t>iniciály M z navrhovaného vizuálu MUO</w:t>
      </w:r>
    </w:p>
    <w:p w14:paraId="74979B85" w14:textId="77777777" w:rsidR="002C0EB0" w:rsidRDefault="002C0EB0" w:rsidP="00C27838">
      <w:pPr>
        <w:ind w:left="420" w:hanging="359"/>
        <w:rPr>
          <w:sz w:val="20"/>
          <w:szCs w:val="20"/>
        </w:rPr>
      </w:pPr>
    </w:p>
    <w:p w14:paraId="0889B93E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A"/>
          <w:sz w:val="20"/>
          <w:szCs w:val="20"/>
        </w:rPr>
      </w:pPr>
      <w:r w:rsidRPr="004013CD">
        <w:rPr>
          <w:color w:val="00000A"/>
          <w:sz w:val="20"/>
          <w:szCs w:val="20"/>
        </w:rPr>
        <w:t xml:space="preserve"> </w:t>
      </w:r>
    </w:p>
    <w:p w14:paraId="26942763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lastRenderedPageBreak/>
        <w:t>Interní grafické výstupy</w:t>
      </w:r>
    </w:p>
    <w:p w14:paraId="1CB7CCB8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0" w:hanging="359"/>
        <w:rPr>
          <w:sz w:val="20"/>
          <w:szCs w:val="20"/>
        </w:rPr>
      </w:pPr>
      <w:r w:rsidRPr="004013CD">
        <w:rPr>
          <w:sz w:val="20"/>
          <w:szCs w:val="20"/>
        </w:rPr>
        <w:t>→</w:t>
      </w:r>
      <w:r w:rsidRPr="004013CD">
        <w:rPr>
          <w:sz w:val="20"/>
          <w:szCs w:val="20"/>
        </w:rPr>
        <w:tab/>
        <w:t xml:space="preserve">hlavičkový papír – šablona pro </w:t>
      </w:r>
      <w:proofErr w:type="spellStart"/>
      <w:r w:rsidRPr="004013CD">
        <w:rPr>
          <w:sz w:val="20"/>
          <w:szCs w:val="20"/>
        </w:rPr>
        <w:t>word</w:t>
      </w:r>
      <w:proofErr w:type="spellEnd"/>
    </w:p>
    <w:p w14:paraId="52357AD2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0" w:hanging="359"/>
        <w:rPr>
          <w:sz w:val="20"/>
          <w:szCs w:val="20"/>
        </w:rPr>
      </w:pPr>
      <w:r w:rsidRPr="004013CD">
        <w:rPr>
          <w:rFonts w:eastAsia="Arial Unicode MS"/>
          <w:sz w:val="20"/>
          <w:szCs w:val="20"/>
        </w:rPr>
        <w:t>→</w:t>
      </w:r>
      <w:r w:rsidRPr="004013CD">
        <w:rPr>
          <w:rFonts w:eastAsia="Arimo"/>
          <w:sz w:val="20"/>
          <w:szCs w:val="20"/>
        </w:rPr>
        <w:tab/>
        <w:t xml:space="preserve">e-mailový podpis – textový dokument, </w:t>
      </w:r>
      <w:proofErr w:type="spellStart"/>
      <w:r w:rsidRPr="004013CD">
        <w:rPr>
          <w:rFonts w:eastAsia="Arimo"/>
          <w:sz w:val="20"/>
          <w:szCs w:val="20"/>
        </w:rPr>
        <w:t>png</w:t>
      </w:r>
      <w:proofErr w:type="spellEnd"/>
    </w:p>
    <w:p w14:paraId="68B5AB2B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0" w:hanging="359"/>
        <w:rPr>
          <w:sz w:val="20"/>
          <w:szCs w:val="20"/>
        </w:rPr>
      </w:pPr>
      <w:r w:rsidRPr="004013CD">
        <w:rPr>
          <w:sz w:val="20"/>
          <w:szCs w:val="20"/>
        </w:rPr>
        <w:t>→</w:t>
      </w:r>
      <w:r w:rsidRPr="004013CD">
        <w:rPr>
          <w:sz w:val="20"/>
          <w:szCs w:val="20"/>
        </w:rPr>
        <w:tab/>
        <w:t>dopisní obálky ve 2 rozměrech</w:t>
      </w:r>
    </w:p>
    <w:p w14:paraId="1C748B82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 xml:space="preserve"> </w:t>
      </w:r>
    </w:p>
    <w:p w14:paraId="3E18A982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>Externí grafické výstupy</w:t>
      </w:r>
    </w:p>
    <w:p w14:paraId="532BAB4E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0" w:hanging="359"/>
        <w:rPr>
          <w:sz w:val="20"/>
          <w:szCs w:val="20"/>
        </w:rPr>
      </w:pPr>
      <w:r w:rsidRPr="004013CD">
        <w:rPr>
          <w:sz w:val="20"/>
          <w:szCs w:val="20"/>
        </w:rPr>
        <w:t>→</w:t>
      </w:r>
      <w:r w:rsidRPr="004013CD">
        <w:rPr>
          <w:sz w:val="20"/>
          <w:szCs w:val="20"/>
        </w:rPr>
        <w:tab/>
        <w:t>ukázka principu práce s plakátem – řešení řady 3 plakátů k výstavám MUO</w:t>
      </w:r>
    </w:p>
    <w:p w14:paraId="4D57A953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0" w:hanging="359"/>
        <w:rPr>
          <w:sz w:val="20"/>
          <w:szCs w:val="20"/>
        </w:rPr>
      </w:pPr>
      <w:r w:rsidRPr="004013CD">
        <w:rPr>
          <w:sz w:val="20"/>
          <w:szCs w:val="20"/>
        </w:rPr>
        <w:t>→</w:t>
      </w:r>
      <w:r w:rsidRPr="004013CD">
        <w:rPr>
          <w:sz w:val="20"/>
          <w:szCs w:val="20"/>
        </w:rPr>
        <w:tab/>
        <w:t>leták – ukázka práce s 1 letákem k výstavě či expozici MUO</w:t>
      </w:r>
    </w:p>
    <w:p w14:paraId="3707B4C3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0" w:hanging="359"/>
        <w:rPr>
          <w:sz w:val="20"/>
          <w:szCs w:val="20"/>
        </w:rPr>
      </w:pPr>
      <w:r w:rsidRPr="004013CD">
        <w:rPr>
          <w:sz w:val="20"/>
          <w:szCs w:val="20"/>
        </w:rPr>
        <w:t>→</w:t>
      </w:r>
      <w:r w:rsidRPr="004013CD">
        <w:rPr>
          <w:sz w:val="20"/>
          <w:szCs w:val="20"/>
        </w:rPr>
        <w:tab/>
        <w:t>tištěná a elektronická pozvánka – ukázka principu práce s pozvánkou na 1 akci</w:t>
      </w:r>
    </w:p>
    <w:p w14:paraId="3DAE6DFD" w14:textId="1A512C6F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0" w:hanging="359"/>
        <w:rPr>
          <w:sz w:val="20"/>
          <w:szCs w:val="20"/>
        </w:rPr>
      </w:pPr>
      <w:r w:rsidRPr="004013CD">
        <w:rPr>
          <w:sz w:val="20"/>
          <w:szCs w:val="20"/>
        </w:rPr>
        <w:t>→</w:t>
      </w:r>
      <w:r w:rsidRPr="004013CD">
        <w:rPr>
          <w:sz w:val="20"/>
          <w:szCs w:val="20"/>
        </w:rPr>
        <w:tab/>
        <w:t xml:space="preserve">grafika pro sociální sítě – profilová a úvodní fotka, návrh </w:t>
      </w:r>
      <w:proofErr w:type="spellStart"/>
      <w:r w:rsidRPr="004013CD">
        <w:rPr>
          <w:sz w:val="20"/>
          <w:szCs w:val="20"/>
        </w:rPr>
        <w:t>templatu</w:t>
      </w:r>
      <w:proofErr w:type="spellEnd"/>
      <w:r w:rsidRPr="004013CD">
        <w:rPr>
          <w:sz w:val="20"/>
          <w:szCs w:val="20"/>
        </w:rPr>
        <w:t xml:space="preserve"> jednotné vizuální komunikace (FB, </w:t>
      </w:r>
      <w:proofErr w:type="gramStart"/>
      <w:r w:rsidRPr="004013CD">
        <w:rPr>
          <w:sz w:val="20"/>
          <w:szCs w:val="20"/>
        </w:rPr>
        <w:t>IG, ...)</w:t>
      </w:r>
      <w:proofErr w:type="gramEnd"/>
    </w:p>
    <w:p w14:paraId="61481222" w14:textId="064990DB" w:rsidR="000057B4" w:rsidRPr="004013CD" w:rsidRDefault="000057B4" w:rsidP="00005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0" w:hanging="359"/>
        <w:rPr>
          <w:sz w:val="20"/>
          <w:szCs w:val="20"/>
        </w:rPr>
      </w:pPr>
      <w:r w:rsidRPr="004013CD">
        <w:rPr>
          <w:sz w:val="20"/>
          <w:szCs w:val="20"/>
        </w:rPr>
        <w:t>→</w:t>
      </w:r>
      <w:r w:rsidRPr="004013CD">
        <w:rPr>
          <w:sz w:val="20"/>
          <w:szCs w:val="20"/>
        </w:rPr>
        <w:tab/>
        <w:t>programový (měsíční) plakát</w:t>
      </w:r>
    </w:p>
    <w:p w14:paraId="37224DAE" w14:textId="772AAED3" w:rsidR="000057B4" w:rsidRPr="004013CD" w:rsidRDefault="000057B4" w:rsidP="00005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0" w:hanging="359"/>
        <w:rPr>
          <w:sz w:val="20"/>
          <w:szCs w:val="20"/>
        </w:rPr>
      </w:pPr>
      <w:r w:rsidRPr="004013CD">
        <w:rPr>
          <w:sz w:val="20"/>
          <w:szCs w:val="20"/>
        </w:rPr>
        <w:t>→</w:t>
      </w:r>
      <w:r w:rsidRPr="004013CD">
        <w:rPr>
          <w:sz w:val="20"/>
          <w:szCs w:val="20"/>
        </w:rPr>
        <w:tab/>
        <w:t>měsíční program MUO</w:t>
      </w:r>
    </w:p>
    <w:p w14:paraId="3406B696" w14:textId="5176D8AB" w:rsidR="001E1DB3" w:rsidRPr="004013CD" w:rsidRDefault="001E1DB3" w:rsidP="00005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0" w:hanging="359"/>
        <w:rPr>
          <w:sz w:val="20"/>
          <w:szCs w:val="20"/>
        </w:rPr>
      </w:pPr>
      <w:r w:rsidRPr="004013CD">
        <w:rPr>
          <w:sz w:val="20"/>
          <w:szCs w:val="20"/>
        </w:rPr>
        <w:t>→</w:t>
      </w:r>
      <w:r w:rsidRPr="004013CD">
        <w:rPr>
          <w:sz w:val="20"/>
          <w:szCs w:val="20"/>
        </w:rPr>
        <w:tab/>
        <w:t>vizitky</w:t>
      </w:r>
    </w:p>
    <w:p w14:paraId="67BE51E2" w14:textId="77777777" w:rsidR="00564BD2" w:rsidRPr="004013CD" w:rsidRDefault="00564B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</w:p>
    <w:p w14:paraId="0B58362D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>Venkovní označení budov</w:t>
      </w:r>
    </w:p>
    <w:p w14:paraId="5223257A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sz w:val="20"/>
          <w:szCs w:val="20"/>
        </w:rPr>
        <w:t xml:space="preserve">→ návrh grafického řešení exteriérového označení 3 budov MUO (budova Arcidiecézního muzea Olomouc, 3 vstupy budovy SEFO, hlavní vstup budovy současného Muzea moderního umění, vstup do sálu </w:t>
      </w:r>
      <w:proofErr w:type="spellStart"/>
      <w:r w:rsidRPr="004013CD">
        <w:rPr>
          <w:sz w:val="20"/>
          <w:szCs w:val="20"/>
        </w:rPr>
        <w:t>Central</w:t>
      </w:r>
      <w:proofErr w:type="spellEnd"/>
      <w:r w:rsidRPr="004013CD">
        <w:rPr>
          <w:sz w:val="20"/>
          <w:szCs w:val="20"/>
        </w:rPr>
        <w:t>)</w:t>
      </w:r>
    </w:p>
    <w:p w14:paraId="29619DF3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 xml:space="preserve"> </w:t>
      </w:r>
    </w:p>
    <w:p w14:paraId="20F54AF2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>Webové stránky</w:t>
      </w:r>
    </w:p>
    <w:p w14:paraId="7D48ED51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→ návrh grafického řešení webových stránek</w:t>
      </w:r>
      <w:hyperlink r:id="rId6">
        <w:r w:rsidRPr="004013CD">
          <w:rPr>
            <w:sz w:val="20"/>
            <w:szCs w:val="20"/>
          </w:rPr>
          <w:t xml:space="preserve"> </w:t>
        </w:r>
      </w:hyperlink>
      <w:r w:rsidRPr="004013CD">
        <w:rPr>
          <w:sz w:val="20"/>
          <w:szCs w:val="20"/>
        </w:rPr>
        <w:t xml:space="preserve">www.muo.cz – </w:t>
      </w:r>
      <w:proofErr w:type="spellStart"/>
      <w:r w:rsidRPr="004013CD">
        <w:rPr>
          <w:sz w:val="20"/>
          <w:szCs w:val="20"/>
        </w:rPr>
        <w:t>homepage</w:t>
      </w:r>
      <w:proofErr w:type="spellEnd"/>
      <w:r w:rsidRPr="004013CD">
        <w:rPr>
          <w:sz w:val="20"/>
          <w:szCs w:val="20"/>
        </w:rPr>
        <w:t xml:space="preserve"> a 2 podstránky (pro desktop i mobilní zařízení) na základě klientem dodaných </w:t>
      </w:r>
      <w:proofErr w:type="spellStart"/>
      <w:r w:rsidRPr="004013CD">
        <w:rPr>
          <w:sz w:val="20"/>
          <w:szCs w:val="20"/>
        </w:rPr>
        <w:t>wireframů</w:t>
      </w:r>
      <w:proofErr w:type="spellEnd"/>
      <w:r w:rsidRPr="004013CD">
        <w:rPr>
          <w:sz w:val="20"/>
          <w:szCs w:val="20"/>
        </w:rPr>
        <w:t>, bez programování</w:t>
      </w:r>
    </w:p>
    <w:p w14:paraId="71C54099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 xml:space="preserve"> </w:t>
      </w:r>
    </w:p>
    <w:p w14:paraId="374C174F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 xml:space="preserve">Část 4 – </w:t>
      </w:r>
      <w:proofErr w:type="spellStart"/>
      <w:r w:rsidRPr="004013CD">
        <w:rPr>
          <w:b/>
          <w:sz w:val="20"/>
          <w:szCs w:val="20"/>
        </w:rPr>
        <w:t>Merchandising</w:t>
      </w:r>
      <w:proofErr w:type="spellEnd"/>
    </w:p>
    <w:p w14:paraId="7D26F090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 xml:space="preserve">→ </w:t>
      </w:r>
      <w:proofErr w:type="spellStart"/>
      <w:r w:rsidRPr="004013CD">
        <w:rPr>
          <w:sz w:val="20"/>
          <w:szCs w:val="20"/>
        </w:rPr>
        <w:t>branding</w:t>
      </w:r>
      <w:proofErr w:type="spellEnd"/>
      <w:r w:rsidRPr="004013CD">
        <w:rPr>
          <w:sz w:val="20"/>
          <w:szCs w:val="20"/>
        </w:rPr>
        <w:t xml:space="preserve"> 5 standardních produktů (tužka, triko, hrnek a 2 libovolné)</w:t>
      </w:r>
    </w:p>
    <w:p w14:paraId="59E7AD5C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40"/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>Část 5 – Implementace</w:t>
      </w:r>
    </w:p>
    <w:p w14:paraId="27F295BD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/>
        <w:rPr>
          <w:sz w:val="20"/>
          <w:szCs w:val="20"/>
        </w:rPr>
      </w:pPr>
      <w:r w:rsidRPr="004013CD">
        <w:rPr>
          <w:sz w:val="20"/>
          <w:szCs w:val="20"/>
        </w:rPr>
        <w:t xml:space="preserve">→ zaškolení odpovědných pracovníků (Petr Šmalec – interní grafik MUO), externího grafika a dalších osob s manuálem pracujících, art </w:t>
      </w:r>
      <w:proofErr w:type="spellStart"/>
      <w:r w:rsidRPr="004013CD">
        <w:rPr>
          <w:sz w:val="20"/>
          <w:szCs w:val="20"/>
        </w:rPr>
        <w:t>directing</w:t>
      </w:r>
      <w:proofErr w:type="spellEnd"/>
      <w:r w:rsidRPr="004013CD">
        <w:rPr>
          <w:sz w:val="20"/>
          <w:szCs w:val="20"/>
        </w:rPr>
        <w:t xml:space="preserve"> výstupů, management zakázky a práce nespecifikované v rámcovém manuálu – 30 hodin čerpání sjednaného rozsahu hodin počíná od okamžiku protokolárního předání díla a bude-li předáváno po částech, po předání poslední části díla</w:t>
      </w:r>
    </w:p>
    <w:p w14:paraId="20673C0B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/>
        <w:rPr>
          <w:sz w:val="20"/>
          <w:szCs w:val="20"/>
        </w:rPr>
      </w:pPr>
      <w:r w:rsidRPr="004013CD">
        <w:rPr>
          <w:sz w:val="20"/>
          <w:szCs w:val="20"/>
        </w:rPr>
        <w:t>→ případné konzultace v rámci provádění díla jsou zahrnuty v ceně díla</w:t>
      </w:r>
    </w:p>
    <w:p w14:paraId="3377374E" w14:textId="65A44D1C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/>
        <w:rPr>
          <w:sz w:val="20"/>
          <w:szCs w:val="20"/>
        </w:rPr>
      </w:pPr>
      <w:r w:rsidRPr="004013CD">
        <w:rPr>
          <w:sz w:val="20"/>
          <w:szCs w:val="20"/>
        </w:rPr>
        <w:t>→ implementací za Objednatele bude zodpovědný Tomáš Kasal (</w:t>
      </w:r>
      <w:proofErr w:type="spellStart"/>
      <w:r w:rsidR="000366C0">
        <w:rPr>
          <w:sz w:val="20"/>
          <w:szCs w:val="20"/>
        </w:rPr>
        <w:t>xxx</w:t>
      </w:r>
      <w:bookmarkStart w:id="1" w:name="_GoBack"/>
      <w:bookmarkEnd w:id="1"/>
      <w:proofErr w:type="spellEnd"/>
      <w:r w:rsidRPr="004013CD">
        <w:rPr>
          <w:sz w:val="20"/>
          <w:szCs w:val="20"/>
        </w:rPr>
        <w:t>)</w:t>
      </w:r>
    </w:p>
    <w:p w14:paraId="7F9185D9" w14:textId="77777777" w:rsidR="00564BD2" w:rsidRPr="004013CD" w:rsidRDefault="00564B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</w:p>
    <w:p w14:paraId="0CC8BFDC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 xml:space="preserve">Vznikne-li po předání kompletního, tj. řádně provedeného Díla a vyčerpání hodin sjednaných v rámci zakázky na straně Objednatele potřeba provedení dalších dodatečných prací v souvislosti s Dílem nad rámec zakázky (zejména dodatečné konzultace, art </w:t>
      </w:r>
      <w:proofErr w:type="spellStart"/>
      <w:r w:rsidRPr="004013CD">
        <w:rPr>
          <w:sz w:val="20"/>
          <w:szCs w:val="20"/>
        </w:rPr>
        <w:t>directing</w:t>
      </w:r>
      <w:proofErr w:type="spellEnd"/>
      <w:r w:rsidRPr="004013CD">
        <w:rPr>
          <w:sz w:val="20"/>
          <w:szCs w:val="20"/>
        </w:rPr>
        <w:t xml:space="preserve"> nad rámec sjednaných hodin či dodatečné práce týkající se Díla, které upravuje tato Smlouva), zavazuje se Zhotovitel k jejich provedení na základě objednávky Objednatele, a to za odměnu ve výši 1.000 Kč bez DPH za hodinu. Tato odměna bude zahrnovat veškeré náklady vč. cestovného.</w:t>
      </w:r>
    </w:p>
    <w:p w14:paraId="0C750F4D" w14:textId="77777777" w:rsidR="00564BD2" w:rsidRPr="004013CD" w:rsidRDefault="00564B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</w:p>
    <w:p w14:paraId="01D8AF2E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 xml:space="preserve">Součástí zakázky je i zapracování připomínek k jednotlivým výstupům ze strany Objednatele. </w:t>
      </w:r>
    </w:p>
    <w:p w14:paraId="70C51FA5" w14:textId="77777777" w:rsidR="00564BD2" w:rsidRPr="004013CD" w:rsidRDefault="000D6D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 w:rsidRPr="004013CD">
        <w:rPr>
          <w:sz w:val="20"/>
          <w:szCs w:val="20"/>
        </w:rPr>
        <w:t>Pokud v průběhu projektu dojde k dílčím změnám v povaze jednotlivých výstupů, mohou být po společné dohodě vyhlašovatele a realizátora výstupy zaměněny/nahrazeny za výstup jiný v adekvátním rozsahu.</w:t>
      </w:r>
    </w:p>
    <w:p w14:paraId="30C035BC" w14:textId="77777777" w:rsidR="009E2297" w:rsidRPr="004013CD" w:rsidRDefault="009E22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</w:p>
    <w:p w14:paraId="555BF607" w14:textId="77777777" w:rsidR="00564BD2" w:rsidRPr="004013CD" w:rsidRDefault="00564B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</w:p>
    <w:p w14:paraId="1108203B" w14:textId="362EBF0E" w:rsidR="00E9457E" w:rsidRPr="004013CD" w:rsidRDefault="00E9457E" w:rsidP="00E9457E">
      <w:pPr>
        <w:rPr>
          <w:b/>
          <w:sz w:val="20"/>
          <w:szCs w:val="20"/>
        </w:rPr>
      </w:pPr>
      <w:r w:rsidRPr="004013CD">
        <w:rPr>
          <w:b/>
          <w:sz w:val="20"/>
          <w:szCs w:val="20"/>
        </w:rPr>
        <w:t>Předávání dat</w:t>
      </w:r>
      <w:r w:rsidR="00A651AE" w:rsidRPr="004013CD">
        <w:rPr>
          <w:b/>
          <w:sz w:val="20"/>
          <w:szCs w:val="20"/>
        </w:rPr>
        <w:t xml:space="preserve"> Objednatelem</w:t>
      </w:r>
    </w:p>
    <w:p w14:paraId="73E1AC7A" w14:textId="4868B940" w:rsidR="00564BD2" w:rsidRPr="004013CD" w:rsidRDefault="00E9457E">
      <w:pPr>
        <w:rPr>
          <w:sz w:val="20"/>
          <w:szCs w:val="20"/>
        </w:rPr>
      </w:pPr>
      <w:r w:rsidRPr="004013CD">
        <w:rPr>
          <w:sz w:val="20"/>
          <w:szCs w:val="20"/>
        </w:rPr>
        <w:t xml:space="preserve">Data budou předávána v tzv. "surových" formátech. Textová data budou předávána ve formátech kompatibilních s textovými procesory MS Word nebo Apple </w:t>
      </w:r>
      <w:proofErr w:type="spellStart"/>
      <w:r w:rsidRPr="004013CD">
        <w:rPr>
          <w:sz w:val="20"/>
          <w:szCs w:val="20"/>
        </w:rPr>
        <w:t>Pages</w:t>
      </w:r>
      <w:proofErr w:type="spellEnd"/>
      <w:r w:rsidRPr="004013CD">
        <w:rPr>
          <w:sz w:val="20"/>
          <w:szCs w:val="20"/>
        </w:rPr>
        <w:t xml:space="preserve">. Tabulková textová data budou dodávána ve formátech kompatibilních s tabulkovými procesory MS Word nebo Apple </w:t>
      </w:r>
      <w:proofErr w:type="spellStart"/>
      <w:r w:rsidRPr="004013CD">
        <w:rPr>
          <w:sz w:val="20"/>
          <w:szCs w:val="20"/>
        </w:rPr>
        <w:t>Numbers</w:t>
      </w:r>
      <w:proofErr w:type="spellEnd"/>
      <w:r w:rsidRPr="004013CD">
        <w:rPr>
          <w:sz w:val="20"/>
          <w:szCs w:val="20"/>
        </w:rPr>
        <w:t xml:space="preserve">. Jak textová data, tak tabulková textová data mohou být dodána také ve formátech Adobe </w:t>
      </w:r>
      <w:proofErr w:type="spellStart"/>
      <w:r w:rsidRPr="004013CD">
        <w:rPr>
          <w:sz w:val="20"/>
          <w:szCs w:val="20"/>
        </w:rPr>
        <w:t>Indesign</w:t>
      </w:r>
      <w:proofErr w:type="spellEnd"/>
      <w:r w:rsidRPr="004013CD">
        <w:rPr>
          <w:sz w:val="20"/>
          <w:szCs w:val="20"/>
        </w:rPr>
        <w:t xml:space="preserve"> (.</w:t>
      </w:r>
      <w:proofErr w:type="spellStart"/>
      <w:r w:rsidRPr="004013CD">
        <w:rPr>
          <w:sz w:val="20"/>
          <w:szCs w:val="20"/>
        </w:rPr>
        <w:t>indd</w:t>
      </w:r>
      <w:proofErr w:type="spellEnd"/>
      <w:r w:rsidRPr="004013CD">
        <w:rPr>
          <w:sz w:val="20"/>
          <w:szCs w:val="20"/>
        </w:rPr>
        <w:t xml:space="preserve"> </w:t>
      </w:r>
      <w:proofErr w:type="gramStart"/>
      <w:r w:rsidRPr="004013CD">
        <w:rPr>
          <w:sz w:val="20"/>
          <w:szCs w:val="20"/>
        </w:rPr>
        <w:t>nebo .</w:t>
      </w:r>
      <w:proofErr w:type="spellStart"/>
      <w:r w:rsidRPr="004013CD">
        <w:rPr>
          <w:sz w:val="20"/>
          <w:szCs w:val="20"/>
        </w:rPr>
        <w:t>idml</w:t>
      </w:r>
      <w:proofErr w:type="spellEnd"/>
      <w:proofErr w:type="gramEnd"/>
      <w:r w:rsidRPr="004013CD">
        <w:rPr>
          <w:sz w:val="20"/>
          <w:szCs w:val="20"/>
        </w:rPr>
        <w:t xml:space="preserve">). Vektorová obrazová data budou dodávána ve formátech kompatibilních s programem Adobe </w:t>
      </w:r>
      <w:proofErr w:type="spellStart"/>
      <w:r w:rsidRPr="004013CD">
        <w:rPr>
          <w:sz w:val="20"/>
          <w:szCs w:val="20"/>
        </w:rPr>
        <w:t>Illustrator</w:t>
      </w:r>
      <w:proofErr w:type="spellEnd"/>
      <w:r w:rsidRPr="004013CD">
        <w:rPr>
          <w:sz w:val="20"/>
          <w:szCs w:val="20"/>
        </w:rPr>
        <w:t xml:space="preserve"> (</w:t>
      </w:r>
      <w:proofErr w:type="gramStart"/>
      <w:r w:rsidRPr="004013CD">
        <w:rPr>
          <w:sz w:val="20"/>
          <w:szCs w:val="20"/>
        </w:rPr>
        <w:t>formáty .</w:t>
      </w:r>
      <w:proofErr w:type="spellStart"/>
      <w:r w:rsidRPr="004013CD">
        <w:rPr>
          <w:sz w:val="20"/>
          <w:szCs w:val="20"/>
        </w:rPr>
        <w:t>ai</w:t>
      </w:r>
      <w:proofErr w:type="spellEnd"/>
      <w:proofErr w:type="gramEnd"/>
      <w:r w:rsidRPr="004013CD">
        <w:rPr>
          <w:sz w:val="20"/>
          <w:szCs w:val="20"/>
        </w:rPr>
        <w:t>, .</w:t>
      </w:r>
      <w:proofErr w:type="spellStart"/>
      <w:r w:rsidRPr="004013CD">
        <w:rPr>
          <w:sz w:val="20"/>
          <w:szCs w:val="20"/>
        </w:rPr>
        <w:t>eps</w:t>
      </w:r>
      <w:proofErr w:type="spellEnd"/>
      <w:r w:rsidRPr="004013CD">
        <w:rPr>
          <w:sz w:val="20"/>
          <w:szCs w:val="20"/>
        </w:rPr>
        <w:t>, .</w:t>
      </w:r>
      <w:proofErr w:type="spellStart"/>
      <w:r w:rsidRPr="004013CD">
        <w:rPr>
          <w:sz w:val="20"/>
          <w:szCs w:val="20"/>
        </w:rPr>
        <w:t>pdf</w:t>
      </w:r>
      <w:proofErr w:type="spellEnd"/>
      <w:r w:rsidRPr="004013CD">
        <w:rPr>
          <w:sz w:val="20"/>
          <w:szCs w:val="20"/>
        </w:rPr>
        <w:t>, .</w:t>
      </w:r>
      <w:proofErr w:type="spellStart"/>
      <w:r w:rsidRPr="004013CD">
        <w:rPr>
          <w:sz w:val="20"/>
          <w:szCs w:val="20"/>
        </w:rPr>
        <w:t>svg</w:t>
      </w:r>
      <w:proofErr w:type="spellEnd"/>
      <w:r w:rsidRPr="004013CD">
        <w:rPr>
          <w:sz w:val="20"/>
          <w:szCs w:val="20"/>
        </w:rPr>
        <w:t xml:space="preserve">). Pokud budou vektorové soubory obsahovat také vnořenou bitmapovou grafiku, bude taková grafika v rozlišení minimálně 300 dpi pro zamýšlenou velikost použití v tisku (například, pokud má být obrázek vytištěn při rozměru 5x5 cm, musí mít bitmapová data při rozměru 5x5 cm rozlišení minimálně 300 dpi. Bitmapová data budou dodána ve formátech kompatibilních s programem Adobe </w:t>
      </w:r>
      <w:proofErr w:type="spellStart"/>
      <w:r w:rsidRPr="004013CD">
        <w:rPr>
          <w:sz w:val="20"/>
          <w:szCs w:val="20"/>
        </w:rPr>
        <w:t>Photoshop</w:t>
      </w:r>
      <w:proofErr w:type="spellEnd"/>
      <w:r w:rsidRPr="004013CD">
        <w:rPr>
          <w:sz w:val="20"/>
          <w:szCs w:val="20"/>
        </w:rPr>
        <w:t xml:space="preserve"> a budou dodána v rozlišení minimálně 300 dpi pro zamýšlenou velikost v tisku (viz. </w:t>
      </w:r>
      <w:proofErr w:type="gramStart"/>
      <w:r w:rsidRPr="004013CD">
        <w:rPr>
          <w:sz w:val="20"/>
          <w:szCs w:val="20"/>
        </w:rPr>
        <w:t>podmínky</w:t>
      </w:r>
      <w:proofErr w:type="gramEnd"/>
      <w:r w:rsidRPr="004013CD">
        <w:rPr>
          <w:sz w:val="20"/>
          <w:szCs w:val="20"/>
        </w:rPr>
        <w:t xml:space="preserve"> pro bitmapová data obsažená ve vektorových souborech).</w:t>
      </w:r>
    </w:p>
    <w:sectPr w:rsidR="00564BD2" w:rsidRPr="004013C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450D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8DC99" w16cex:dateUtc="2021-02-18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450D9B" w16cid:durableId="23D8DC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ltusová Eva">
    <w15:presenceInfo w15:providerId="AD" w15:userId="S::eva.faltusova@cka.cz::315e4fdd-8216-4952-8d72-c3051b834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D2"/>
    <w:rsid w:val="000057B4"/>
    <w:rsid w:val="000366C0"/>
    <w:rsid w:val="000D6D26"/>
    <w:rsid w:val="0012773A"/>
    <w:rsid w:val="001E1DB3"/>
    <w:rsid w:val="002038EE"/>
    <w:rsid w:val="00215E4C"/>
    <w:rsid w:val="002664FC"/>
    <w:rsid w:val="00267904"/>
    <w:rsid w:val="002C0EB0"/>
    <w:rsid w:val="00354016"/>
    <w:rsid w:val="004013CD"/>
    <w:rsid w:val="00421A44"/>
    <w:rsid w:val="00564BD2"/>
    <w:rsid w:val="00575C4E"/>
    <w:rsid w:val="006926A4"/>
    <w:rsid w:val="006D30DE"/>
    <w:rsid w:val="007677CB"/>
    <w:rsid w:val="00873BC7"/>
    <w:rsid w:val="008D6868"/>
    <w:rsid w:val="00937E2E"/>
    <w:rsid w:val="009C4B4C"/>
    <w:rsid w:val="009E2297"/>
    <w:rsid w:val="00A651AE"/>
    <w:rsid w:val="00B5447D"/>
    <w:rsid w:val="00BF6885"/>
    <w:rsid w:val="00C27838"/>
    <w:rsid w:val="00D16701"/>
    <w:rsid w:val="00DE656E"/>
    <w:rsid w:val="00E9457E"/>
    <w:rsid w:val="00EA27BA"/>
    <w:rsid w:val="00F75021"/>
    <w:rsid w:val="00F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5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c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c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c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cs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cs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cs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c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A651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1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51AE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1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51AE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7B4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7B4"/>
    <w:rPr>
      <w:rFonts w:ascii="Times New Roman" w:eastAsia="Times New Roman" w:hAnsi="Times New Roman" w:cs="Times New Roman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5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c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c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c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cs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cs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cs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c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A651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1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51AE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1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51AE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7B4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7B4"/>
    <w:rPr>
      <w:rFonts w:ascii="Times New Roman" w:eastAsia="Times New Roman" w:hAnsi="Times New Roman" w:cs="Times New Roman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ha-vysehrad.cz/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532F6A-119A-40C0-A6BA-9135D526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5295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Kasal Tomáš</dc:creator>
  <cp:lastModifiedBy>Ing. Jana Kovaříková</cp:lastModifiedBy>
  <cp:revision>2</cp:revision>
  <cp:lastPrinted>2021-02-25T06:47:00Z</cp:lastPrinted>
  <dcterms:created xsi:type="dcterms:W3CDTF">2021-02-26T13:33:00Z</dcterms:created>
  <dcterms:modified xsi:type="dcterms:W3CDTF">2021-02-26T13:33:00Z</dcterms:modified>
</cp:coreProperties>
</file>