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FB" w:rsidRPr="00D01D0F" w:rsidRDefault="004464FB" w:rsidP="004464FB">
      <w:pPr>
        <w:pStyle w:val="Zkladntext"/>
        <w:ind w:firstLine="0"/>
        <w:jc w:val="left"/>
        <w:outlineLvl w:val="0"/>
        <w:rPr>
          <w:szCs w:val="24"/>
        </w:rPr>
      </w:pPr>
      <w:r w:rsidRPr="009146EA">
        <w:rPr>
          <w:szCs w:val="24"/>
        </w:rPr>
        <w:t>Česká národní banka</w:t>
      </w:r>
      <w:r w:rsidRPr="00D01D0F">
        <w:rPr>
          <w:szCs w:val="24"/>
        </w:rPr>
        <w:t>, Na Příkopě 28, 115 03  Praha 1, IČO 48136450</w:t>
      </w:r>
    </w:p>
    <w:p w:rsidR="004464FB" w:rsidRPr="009146EA" w:rsidRDefault="004464FB" w:rsidP="004464FB">
      <w:pPr>
        <w:pStyle w:val="Zkladntext"/>
        <w:ind w:firstLine="0"/>
        <w:jc w:val="left"/>
        <w:outlineLvl w:val="0"/>
        <w:rPr>
          <w:szCs w:val="24"/>
        </w:rPr>
      </w:pPr>
      <w:r w:rsidRPr="00D01D0F">
        <w:rPr>
          <w:szCs w:val="24"/>
        </w:rPr>
        <w:t xml:space="preserve">zastoupená </w:t>
      </w:r>
      <w:r w:rsidRPr="00D01D0F">
        <w:t xml:space="preserve">panem </w:t>
      </w:r>
      <w:r w:rsidRPr="009146EA">
        <w:t xml:space="preserve">Ing. </w:t>
      </w:r>
      <w:r w:rsidR="009146EA">
        <w:t>Václavem Albrechtem</w:t>
      </w:r>
      <w:r w:rsidRPr="009146EA">
        <w:t xml:space="preserve">, </w:t>
      </w:r>
      <w:r w:rsidR="009146EA">
        <w:t>ředitelem pobočky Hradec Králové</w:t>
      </w:r>
      <w:r w:rsidRPr="009146EA">
        <w:t xml:space="preserve">                                 a </w:t>
      </w:r>
      <w:r w:rsidR="00D01D0F" w:rsidRPr="009146EA">
        <w:t>pan</w:t>
      </w:r>
      <w:r w:rsidR="009146EA">
        <w:t>í</w:t>
      </w:r>
      <w:r w:rsidRPr="009146EA">
        <w:t xml:space="preserve"> Ing. </w:t>
      </w:r>
      <w:r w:rsidR="009146EA">
        <w:t>Hanou Horákovu</w:t>
      </w:r>
      <w:r w:rsidR="00567AF6" w:rsidRPr="009146EA">
        <w:t>,</w:t>
      </w:r>
      <w:r w:rsidR="009146EA">
        <w:t xml:space="preserve"> náměstkyní ředitele pobočky Hradec Králové</w:t>
      </w:r>
      <w:r w:rsidRPr="009146EA">
        <w:rPr>
          <w:szCs w:val="24"/>
        </w:rPr>
        <w:t xml:space="preserve"> </w:t>
      </w:r>
    </w:p>
    <w:p w:rsidR="004464FB" w:rsidRPr="00D01D0F" w:rsidRDefault="004464FB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9146EA">
        <w:rPr>
          <w:szCs w:val="24"/>
        </w:rPr>
        <w:t>(dále jen "ČNB")</w:t>
      </w:r>
      <w:r w:rsidRPr="00D01D0F">
        <w:rPr>
          <w:szCs w:val="24"/>
        </w:rPr>
        <w:tab/>
      </w:r>
      <w:r w:rsidRPr="00D01D0F">
        <w:rPr>
          <w:szCs w:val="24"/>
        </w:rPr>
        <w:tab/>
      </w:r>
      <w:r w:rsidRPr="00D01D0F">
        <w:rPr>
          <w:szCs w:val="24"/>
        </w:rPr>
        <w:tab/>
      </w:r>
      <w:r w:rsidRPr="00D01D0F">
        <w:rPr>
          <w:szCs w:val="24"/>
        </w:rPr>
        <w:tab/>
      </w:r>
      <w:r w:rsidRPr="00D01D0F">
        <w:rPr>
          <w:szCs w:val="24"/>
        </w:rPr>
        <w:tab/>
      </w:r>
    </w:p>
    <w:p w:rsidR="004464FB" w:rsidRPr="00D01D0F" w:rsidRDefault="00E30EE0" w:rsidP="0087772F">
      <w:pPr>
        <w:pStyle w:val="Zkladntext"/>
        <w:spacing w:before="0"/>
        <w:jc w:val="center"/>
        <w:rPr>
          <w:szCs w:val="24"/>
        </w:rPr>
      </w:pPr>
      <w:r w:rsidRPr="00D01D0F">
        <w:rPr>
          <w:szCs w:val="24"/>
        </w:rPr>
        <w:t>a</w:t>
      </w:r>
    </w:p>
    <w:p w:rsidR="00E30EE0" w:rsidRPr="00D01D0F" w:rsidRDefault="00E30EE0" w:rsidP="0087772F">
      <w:pPr>
        <w:pStyle w:val="Zkladntext"/>
        <w:spacing w:before="0"/>
        <w:jc w:val="center"/>
        <w:rPr>
          <w:szCs w:val="24"/>
        </w:rPr>
      </w:pPr>
    </w:p>
    <w:p w:rsidR="009146EA" w:rsidRPr="005C412F" w:rsidRDefault="005C412F" w:rsidP="0087772F">
      <w:pPr>
        <w:pStyle w:val="Zkladntext"/>
        <w:spacing w:before="0"/>
        <w:ind w:firstLine="0"/>
        <w:jc w:val="left"/>
        <w:outlineLvl w:val="0"/>
        <w:rPr>
          <w:b/>
          <w:szCs w:val="24"/>
        </w:rPr>
      </w:pPr>
      <w:r w:rsidRPr="005C412F">
        <w:rPr>
          <w:b/>
          <w:szCs w:val="24"/>
        </w:rPr>
        <w:t>Fakultní nemocnice Hradec Králové</w:t>
      </w:r>
    </w:p>
    <w:p w:rsidR="005C412F" w:rsidRDefault="009146EA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>
        <w:rPr>
          <w:szCs w:val="24"/>
        </w:rPr>
        <w:t xml:space="preserve">název právnické </w:t>
      </w:r>
      <w:proofErr w:type="spellStart"/>
      <w:r>
        <w:rPr>
          <w:szCs w:val="24"/>
        </w:rPr>
        <w:t>osoby</w:t>
      </w:r>
      <w:proofErr w:type="spellEnd"/>
    </w:p>
    <w:p w:rsidR="005C412F" w:rsidRDefault="005C412F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</w:p>
    <w:p w:rsidR="009146EA" w:rsidRDefault="005C412F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>
        <w:rPr>
          <w:szCs w:val="24"/>
        </w:rPr>
        <w:t>Sokolská 581, 500 05 Hradec králové – Nový Hradec Králové</w:t>
      </w:r>
    </w:p>
    <w:p w:rsidR="0087772F" w:rsidRDefault="005C412F" w:rsidP="0087772F">
      <w:pPr>
        <w:pStyle w:val="Zkladntext"/>
        <w:spacing w:before="0"/>
        <w:ind w:firstLine="0"/>
        <w:jc w:val="left"/>
        <w:outlineLvl w:val="0"/>
      </w:pPr>
      <w:r>
        <w:t>sídlo</w:t>
      </w:r>
      <w:r>
        <w:tab/>
      </w:r>
      <w:r>
        <w:tab/>
      </w:r>
      <w:r>
        <w:tab/>
      </w:r>
      <w:r>
        <w:tab/>
        <w:t>IČO 00179906</w:t>
      </w:r>
    </w:p>
    <w:p w:rsidR="009146EA" w:rsidRPr="00D01D0F" w:rsidRDefault="009146EA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</w:p>
    <w:p w:rsidR="00105608" w:rsidRPr="00D01D0F" w:rsidRDefault="00105608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D01D0F">
        <w:rPr>
          <w:szCs w:val="24"/>
        </w:rPr>
        <w:t>z</w:t>
      </w:r>
      <w:r w:rsidR="004464FB" w:rsidRPr="00D01D0F">
        <w:rPr>
          <w:szCs w:val="24"/>
        </w:rPr>
        <w:t>astoupen</w:t>
      </w:r>
      <w:r w:rsidR="005A32E6" w:rsidRPr="00D01D0F">
        <w:rPr>
          <w:szCs w:val="24"/>
        </w:rPr>
        <w:t>á</w:t>
      </w:r>
      <w:r w:rsidRPr="00D01D0F">
        <w:rPr>
          <w:szCs w:val="24"/>
        </w:rPr>
        <w:t xml:space="preserve"> </w:t>
      </w:r>
      <w:r w:rsidR="005C412F">
        <w:rPr>
          <w:szCs w:val="24"/>
        </w:rPr>
        <w:t xml:space="preserve">paní Ing. Jaroslavou </w:t>
      </w:r>
      <w:proofErr w:type="spellStart"/>
      <w:r w:rsidR="005C412F">
        <w:rPr>
          <w:szCs w:val="24"/>
        </w:rPr>
        <w:t>Rodrovou</w:t>
      </w:r>
      <w:proofErr w:type="spellEnd"/>
    </w:p>
    <w:p w:rsidR="006B5726" w:rsidRPr="00D01D0F" w:rsidRDefault="004464FB" w:rsidP="005917D1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D01D0F">
        <w:rPr>
          <w:szCs w:val="24"/>
        </w:rPr>
        <w:t>(dále jen "klient")</w:t>
      </w:r>
    </w:p>
    <w:p w:rsidR="005917D1" w:rsidRPr="00D01D0F" w:rsidRDefault="005917D1" w:rsidP="005917D1">
      <w:pPr>
        <w:pStyle w:val="Zkladntext"/>
        <w:spacing w:before="0"/>
        <w:ind w:firstLine="0"/>
        <w:jc w:val="left"/>
        <w:outlineLvl w:val="0"/>
        <w:rPr>
          <w:szCs w:val="24"/>
        </w:rPr>
      </w:pPr>
    </w:p>
    <w:p w:rsidR="004464FB" w:rsidRPr="00D01D0F" w:rsidRDefault="00D01D0F" w:rsidP="00990D1F">
      <w:pPr>
        <w:pStyle w:val="Zkladntext"/>
        <w:spacing w:before="0"/>
        <w:ind w:firstLine="0"/>
        <w:rPr>
          <w:szCs w:val="24"/>
        </w:rPr>
      </w:pPr>
      <w:r w:rsidRPr="00D01D0F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D01D0F">
          <w:rPr>
            <w:szCs w:val="24"/>
          </w:rPr>
          <w:t>2662 a</w:t>
        </w:r>
      </w:smartTag>
      <w:r w:rsidRPr="00D01D0F">
        <w:rPr>
          <w:szCs w:val="24"/>
        </w:rPr>
        <w:t xml:space="preserve"> násl. ustanovení zákona č. 89/2012 Sb., občanský zákoník a zákona č. 218/2000 Sb., o rozpočtových pravidlech a o změně některých souvisejících zákonů (rozpočtová pravidla), ve znění pozdějších předpisů, tuto</w:t>
      </w:r>
    </w:p>
    <w:p w:rsidR="00DC6183" w:rsidRPr="00D01D0F" w:rsidRDefault="00DC6183" w:rsidP="00990D1F">
      <w:pPr>
        <w:pStyle w:val="Zkladntext"/>
        <w:spacing w:before="0"/>
        <w:jc w:val="center"/>
        <w:rPr>
          <w:szCs w:val="24"/>
        </w:rPr>
      </w:pPr>
    </w:p>
    <w:p w:rsidR="004464FB" w:rsidRPr="00D01D0F" w:rsidRDefault="004464FB" w:rsidP="00C73B5A">
      <w:pPr>
        <w:pStyle w:val="Zkladntext"/>
        <w:spacing w:before="0"/>
        <w:ind w:right="-144"/>
        <w:jc w:val="center"/>
        <w:rPr>
          <w:b/>
          <w:szCs w:val="24"/>
        </w:rPr>
      </w:pPr>
      <w:r w:rsidRPr="00D01D0F">
        <w:rPr>
          <w:b/>
          <w:szCs w:val="24"/>
        </w:rPr>
        <w:t xml:space="preserve">smlouvu o účtu </w:t>
      </w:r>
    </w:p>
    <w:p w:rsidR="004464FB" w:rsidRPr="00D01D0F" w:rsidRDefault="004464FB" w:rsidP="00E30EE0">
      <w:pPr>
        <w:pStyle w:val="Zkladntext"/>
        <w:spacing w:before="0"/>
        <w:jc w:val="left"/>
        <w:rPr>
          <w:b/>
          <w:szCs w:val="24"/>
        </w:rPr>
      </w:pPr>
    </w:p>
    <w:p w:rsidR="004464FB" w:rsidRPr="00D01D0F" w:rsidRDefault="004464FB" w:rsidP="00305B4E">
      <w:pPr>
        <w:pStyle w:val="Zkladntext"/>
        <w:numPr>
          <w:ilvl w:val="0"/>
          <w:numId w:val="1"/>
        </w:numPr>
        <w:spacing w:before="0"/>
        <w:rPr>
          <w:szCs w:val="24"/>
        </w:rPr>
      </w:pPr>
      <w:r w:rsidRPr="00D01D0F">
        <w:rPr>
          <w:szCs w:val="24"/>
        </w:rPr>
        <w:t xml:space="preserve">ČNB </w:t>
      </w:r>
      <w:r w:rsidR="003175F0">
        <w:rPr>
          <w:szCs w:val="24"/>
        </w:rPr>
        <w:t>vede</w:t>
      </w:r>
      <w:r w:rsidRPr="00D01D0F">
        <w:rPr>
          <w:szCs w:val="24"/>
        </w:rPr>
        <w:t xml:space="preserve"> klientovi účet číslo</w:t>
      </w:r>
      <w:r w:rsidRPr="00D01D0F">
        <w:rPr>
          <w:spacing w:val="-20"/>
          <w:szCs w:val="24"/>
        </w:rPr>
        <w:t xml:space="preserve"> </w:t>
      </w:r>
      <w:r w:rsidR="00305B4E" w:rsidRPr="00A43C4A">
        <w:rPr>
          <w:b/>
          <w:sz w:val="22"/>
          <w:szCs w:val="24"/>
          <w:highlight w:val="black"/>
        </w:rPr>
        <w:t>80004</w:t>
      </w:r>
      <w:r w:rsidR="005A32E6" w:rsidRPr="00A43C4A">
        <w:rPr>
          <w:b/>
          <w:sz w:val="22"/>
          <w:szCs w:val="24"/>
          <w:highlight w:val="black"/>
        </w:rPr>
        <w:t>-</w:t>
      </w:r>
      <w:r w:rsidR="00305B4E" w:rsidRPr="00A43C4A">
        <w:rPr>
          <w:b/>
          <w:sz w:val="22"/>
          <w:szCs w:val="24"/>
          <w:highlight w:val="black"/>
        </w:rPr>
        <w:t>6331011</w:t>
      </w:r>
      <w:r w:rsidR="006B5726" w:rsidRPr="00A43C4A">
        <w:rPr>
          <w:b/>
          <w:sz w:val="22"/>
          <w:szCs w:val="24"/>
          <w:highlight w:val="black"/>
        </w:rPr>
        <w:t>/0710</w:t>
      </w:r>
      <w:r w:rsidR="00990D1F" w:rsidRPr="00D01D0F">
        <w:rPr>
          <w:b/>
          <w:spacing w:val="-20"/>
          <w:szCs w:val="24"/>
        </w:rPr>
        <w:t>,</w:t>
      </w:r>
      <w:r w:rsidRPr="00D01D0F">
        <w:rPr>
          <w:spacing w:val="-20"/>
          <w:szCs w:val="24"/>
        </w:rPr>
        <w:t xml:space="preserve"> </w:t>
      </w:r>
      <w:r w:rsidRPr="00D01D0F">
        <w:rPr>
          <w:spacing w:val="-20"/>
          <w:sz w:val="22"/>
          <w:szCs w:val="22"/>
        </w:rPr>
        <w:t>IBAN</w:t>
      </w:r>
      <w:r w:rsidR="00990D1F" w:rsidRPr="00D01D0F">
        <w:rPr>
          <w:spacing w:val="-20"/>
          <w:sz w:val="22"/>
          <w:szCs w:val="22"/>
        </w:rPr>
        <w:t xml:space="preserve"> </w:t>
      </w:r>
      <w:r w:rsidR="00567AF6">
        <w:rPr>
          <w:spacing w:val="-20"/>
          <w:sz w:val="22"/>
          <w:szCs w:val="22"/>
        </w:rPr>
        <w:t xml:space="preserve"> </w:t>
      </w:r>
      <w:r w:rsidR="00305B4E" w:rsidRPr="00D01D0F">
        <w:rPr>
          <w:sz w:val="22"/>
          <w:szCs w:val="22"/>
        </w:rPr>
        <w:t>CZ</w:t>
      </w:r>
      <w:r w:rsidR="00567AF6">
        <w:rPr>
          <w:sz w:val="22"/>
          <w:szCs w:val="22"/>
        </w:rPr>
        <w:t xml:space="preserve"> </w:t>
      </w:r>
      <w:r w:rsidR="00305B4E" w:rsidRPr="00567AF6">
        <w:rPr>
          <w:sz w:val="22"/>
          <w:szCs w:val="22"/>
          <w:highlight w:val="black"/>
        </w:rPr>
        <w:t>07 0</w:t>
      </w:r>
      <w:r w:rsidR="00305B4E" w:rsidRPr="00A43C4A">
        <w:rPr>
          <w:sz w:val="22"/>
          <w:szCs w:val="22"/>
          <w:highlight w:val="black"/>
        </w:rPr>
        <w:t>710 0800 0400 0633 1011</w:t>
      </w:r>
      <w:r w:rsidR="00B075FB" w:rsidRPr="00D01D0F">
        <w:rPr>
          <w:sz w:val="20"/>
        </w:rPr>
        <w:t>,</w:t>
      </w:r>
      <w:r w:rsidRPr="00D01D0F">
        <w:rPr>
          <w:sz w:val="20"/>
        </w:rPr>
        <w:t xml:space="preserve">  </w:t>
      </w:r>
      <w:r w:rsidRPr="00D01D0F">
        <w:rPr>
          <w:szCs w:val="24"/>
        </w:rPr>
        <w:t>BIC CNBACZPP</w:t>
      </w:r>
      <w:r w:rsidR="00990D1F" w:rsidRPr="00D01D0F">
        <w:rPr>
          <w:sz w:val="20"/>
        </w:rPr>
        <w:t xml:space="preserve"> </w:t>
      </w:r>
      <w:r w:rsidRPr="00D01D0F">
        <w:rPr>
          <w:szCs w:val="24"/>
        </w:rPr>
        <w:t>(dále jen „účet“)</w:t>
      </w:r>
      <w:r w:rsidR="00E30EE0" w:rsidRPr="00D01D0F">
        <w:rPr>
          <w:szCs w:val="24"/>
        </w:rPr>
        <w:t xml:space="preserve">. </w:t>
      </w:r>
      <w:r w:rsidRPr="00D01D0F">
        <w:rPr>
          <w:szCs w:val="24"/>
        </w:rPr>
        <w:t>Účet je veden v českých korunách. Účet je účtem podřízeným státní pokladně.</w:t>
      </w:r>
    </w:p>
    <w:p w:rsidR="004464FB" w:rsidRPr="00D01D0F" w:rsidRDefault="004464FB" w:rsidP="00E30EE0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3175F0">
        <w:rPr>
          <w:szCs w:val="24"/>
        </w:rPr>
        <w:t xml:space="preserve">, Podmínky České národní banky pro vydávání platebních karet právnickým osobám a jejich používání, </w:t>
      </w:r>
      <w:r w:rsidRPr="00D01D0F">
        <w:rPr>
          <w:szCs w:val="24"/>
        </w:rPr>
        <w:t>Část I</w:t>
      </w:r>
      <w:r w:rsidR="00896E81" w:rsidRPr="00D01D0F">
        <w:rPr>
          <w:szCs w:val="24"/>
        </w:rPr>
        <w:t>.</w:t>
      </w:r>
      <w:r w:rsidRPr="00D01D0F">
        <w:rPr>
          <w:szCs w:val="24"/>
        </w:rPr>
        <w:t xml:space="preserve"> Ceníku peněžních a obchodních služeb České národní banky</w:t>
      </w:r>
      <w:r w:rsidR="003175F0">
        <w:rPr>
          <w:szCs w:val="24"/>
        </w:rPr>
        <w:t xml:space="preserve"> a Část XII. Ceníku peněžních a obchodních služeb České národní banky</w:t>
      </w:r>
      <w:r w:rsidRPr="00D01D0F">
        <w:rPr>
          <w:szCs w:val="24"/>
        </w:rPr>
        <w:t>. Klient současně s podpisem této smlouvy potvrzuje, že se seznámil se zn</w:t>
      </w:r>
      <w:r w:rsidR="003175F0">
        <w:rPr>
          <w:szCs w:val="24"/>
        </w:rPr>
        <w:t>ěním uvedených podmínek a ceníků</w:t>
      </w:r>
      <w:r w:rsidRPr="00D01D0F">
        <w:rPr>
          <w:szCs w:val="24"/>
        </w:rPr>
        <w:t>, jsou mu srozumitelné a přijímá je.</w:t>
      </w:r>
    </w:p>
    <w:p w:rsidR="004464FB" w:rsidRPr="00D01D0F" w:rsidRDefault="004464FB" w:rsidP="00E30EE0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Tato smlouva se uzavírá na dobu neurčitou.</w:t>
      </w:r>
    </w:p>
    <w:p w:rsidR="004464FB" w:rsidRPr="00D01D0F" w:rsidRDefault="004464FB" w:rsidP="00E30EE0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Tato smlouva se vyhotovuje ve dvou stejnopisech, z nichž jeden obdrží klient a druhý ČNB.</w:t>
      </w:r>
    </w:p>
    <w:p w:rsidR="00567AF6" w:rsidRDefault="00567AF6" w:rsidP="00DF45FE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Touto smlouvou se ruší a nahrazuje smlouva o účtu uzavřená mezi klientem a ČNB dne </w:t>
      </w:r>
      <w:r w:rsidR="005C412F">
        <w:rPr>
          <w:szCs w:val="24"/>
        </w:rPr>
        <w:t>27.3.2013</w:t>
      </w:r>
      <w:bookmarkStart w:id="0" w:name="_GoBack"/>
      <w:bookmarkEnd w:id="0"/>
      <w:r>
        <w:rPr>
          <w:szCs w:val="24"/>
        </w:rPr>
        <w:t>.</w:t>
      </w:r>
    </w:p>
    <w:p w:rsidR="00DF45FE" w:rsidRDefault="00D01D0F" w:rsidP="00DF45FE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Tato smlouva nabývá platnosti</w:t>
      </w:r>
      <w:r w:rsidR="00567AF6">
        <w:rPr>
          <w:szCs w:val="24"/>
        </w:rPr>
        <w:t xml:space="preserve"> a účinnosti </w:t>
      </w:r>
      <w:r w:rsidRPr="00D01D0F">
        <w:rPr>
          <w:szCs w:val="24"/>
        </w:rPr>
        <w:t>dnem p</w:t>
      </w:r>
      <w:r w:rsidR="00567AF6">
        <w:rPr>
          <w:szCs w:val="24"/>
        </w:rPr>
        <w:t>odpisu oběma smluvními stranami.</w:t>
      </w:r>
    </w:p>
    <w:p w:rsidR="00567AF6" w:rsidRPr="00DF45FE" w:rsidRDefault="00567AF6" w:rsidP="00567AF6">
      <w:pPr>
        <w:pStyle w:val="Zkladntext"/>
        <w:ind w:left="720" w:firstLine="0"/>
        <w:rPr>
          <w:szCs w:val="24"/>
        </w:rPr>
      </w:pPr>
    </w:p>
    <w:p w:rsidR="004464FB" w:rsidRPr="00D01D0F" w:rsidRDefault="004464FB" w:rsidP="004464FB">
      <w:pPr>
        <w:pStyle w:val="Zkladntext"/>
        <w:ind w:left="374" w:hanging="374"/>
        <w:rPr>
          <w:szCs w:val="24"/>
        </w:rPr>
      </w:pPr>
    </w:p>
    <w:tbl>
      <w:tblPr>
        <w:tblW w:w="9498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851"/>
      </w:tblGrid>
      <w:tr w:rsidR="004464FB" w:rsidRPr="00D01D0F" w:rsidTr="00990D1F">
        <w:tc>
          <w:tcPr>
            <w:tcW w:w="4401" w:type="dxa"/>
          </w:tcPr>
          <w:p w:rsidR="004464FB" w:rsidRPr="00D01D0F" w:rsidRDefault="004464FB" w:rsidP="006B5726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>V</w:t>
            </w:r>
            <w:r w:rsidR="009146EA">
              <w:rPr>
                <w:szCs w:val="24"/>
              </w:rPr>
              <w:t> Hradci Králové dne</w:t>
            </w:r>
            <w:r w:rsidRPr="00D01D0F">
              <w:rPr>
                <w:szCs w:val="24"/>
              </w:rPr>
              <w:t xml:space="preserve"> </w:t>
            </w:r>
          </w:p>
        </w:tc>
        <w:tc>
          <w:tcPr>
            <w:tcW w:w="246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</w:tc>
        <w:tc>
          <w:tcPr>
            <w:tcW w:w="4851" w:type="dxa"/>
          </w:tcPr>
          <w:p w:rsidR="004464FB" w:rsidRPr="00D01D0F" w:rsidRDefault="004464FB" w:rsidP="009146EA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 xml:space="preserve">V </w:t>
            </w:r>
            <w:r w:rsidR="009146EA">
              <w:rPr>
                <w:szCs w:val="24"/>
              </w:rPr>
              <w:t>Luži</w:t>
            </w:r>
            <w:r w:rsidRPr="00D01D0F">
              <w:rPr>
                <w:szCs w:val="24"/>
              </w:rPr>
              <w:t xml:space="preserve"> dne </w:t>
            </w:r>
          </w:p>
        </w:tc>
      </w:tr>
      <w:tr w:rsidR="004464FB" w:rsidRPr="004464FB" w:rsidTr="00990D1F">
        <w:tc>
          <w:tcPr>
            <w:tcW w:w="4401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>.........................................................</w:t>
            </w:r>
            <w:r w:rsidR="00990D1F" w:rsidRPr="00D01D0F">
              <w:rPr>
                <w:szCs w:val="24"/>
              </w:rPr>
              <w:t>.............</w:t>
            </w:r>
            <w:r w:rsidRPr="00D01D0F">
              <w:rPr>
                <w:szCs w:val="24"/>
              </w:rPr>
              <w:t>.</w:t>
            </w:r>
          </w:p>
          <w:p w:rsidR="004464FB" w:rsidRPr="00D01D0F" w:rsidRDefault="004464FB" w:rsidP="003C0A89">
            <w:pPr>
              <w:pStyle w:val="Texttabulky"/>
              <w:jc w:val="center"/>
              <w:rPr>
                <w:szCs w:val="24"/>
              </w:rPr>
            </w:pPr>
            <w:r w:rsidRPr="00D01D0F">
              <w:rPr>
                <w:szCs w:val="24"/>
              </w:rPr>
              <w:t>za ČNB</w:t>
            </w:r>
          </w:p>
        </w:tc>
        <w:tc>
          <w:tcPr>
            <w:tcW w:w="246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</w:tc>
        <w:tc>
          <w:tcPr>
            <w:tcW w:w="4851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DC6183" w:rsidRPr="00D01D0F" w:rsidRDefault="00DC6183" w:rsidP="003C0A89">
            <w:pPr>
              <w:pStyle w:val="Texttabulky"/>
              <w:rPr>
                <w:szCs w:val="24"/>
              </w:rPr>
            </w:pPr>
          </w:p>
          <w:p w:rsidR="004464FB" w:rsidRPr="00D01D0F" w:rsidRDefault="00990D1F" w:rsidP="003C0A89">
            <w:pPr>
              <w:pStyle w:val="Texttabulky"/>
              <w:rPr>
                <w:sz w:val="22"/>
                <w:szCs w:val="22"/>
              </w:rPr>
            </w:pPr>
            <w:r w:rsidRPr="00D01D0F">
              <w:rPr>
                <w:szCs w:val="24"/>
              </w:rPr>
              <w:t xml:space="preserve">    </w:t>
            </w:r>
            <w:r w:rsidR="00D01D0F" w:rsidRPr="00D01D0F">
              <w:rPr>
                <w:szCs w:val="24"/>
              </w:rPr>
              <w:t xml:space="preserve">    </w:t>
            </w:r>
            <w:r w:rsidR="001D7D0C" w:rsidRPr="00D01D0F">
              <w:t xml:space="preserve"> </w:t>
            </w:r>
          </w:p>
          <w:p w:rsidR="004464FB" w:rsidRPr="00D01D0F" w:rsidRDefault="00990D1F" w:rsidP="003C0A89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 xml:space="preserve">     </w:t>
            </w:r>
            <w:r w:rsidR="004464FB" w:rsidRPr="00D01D0F">
              <w:rPr>
                <w:szCs w:val="24"/>
              </w:rPr>
              <w:t>.....................................................</w:t>
            </w:r>
            <w:r w:rsidRPr="00D01D0F">
              <w:rPr>
                <w:szCs w:val="24"/>
              </w:rPr>
              <w:t>.................</w:t>
            </w:r>
          </w:p>
          <w:p w:rsidR="004464FB" w:rsidRPr="004464FB" w:rsidRDefault="00990D1F" w:rsidP="003C0A89">
            <w:pPr>
              <w:pStyle w:val="Texttabulky"/>
              <w:jc w:val="center"/>
              <w:rPr>
                <w:szCs w:val="24"/>
              </w:rPr>
            </w:pPr>
            <w:r w:rsidRPr="00D01D0F">
              <w:rPr>
                <w:szCs w:val="24"/>
              </w:rPr>
              <w:t xml:space="preserve">    </w:t>
            </w:r>
            <w:r w:rsidR="004464FB" w:rsidRPr="00D01D0F">
              <w:rPr>
                <w:szCs w:val="24"/>
              </w:rPr>
              <w:t>za klienta</w:t>
            </w:r>
          </w:p>
        </w:tc>
      </w:tr>
    </w:tbl>
    <w:p w:rsidR="004464FB" w:rsidRPr="004464FB" w:rsidRDefault="004464FB" w:rsidP="004464FB">
      <w:pPr>
        <w:rPr>
          <w:sz w:val="24"/>
          <w:szCs w:val="24"/>
        </w:rPr>
      </w:pPr>
    </w:p>
    <w:p w:rsidR="000A6DB8" w:rsidRPr="004464FB" w:rsidRDefault="000A6DB8">
      <w:pPr>
        <w:rPr>
          <w:sz w:val="24"/>
          <w:szCs w:val="24"/>
        </w:rPr>
      </w:pPr>
    </w:p>
    <w:sectPr w:rsidR="000A6DB8" w:rsidRPr="004464FB" w:rsidSect="00DF45FE">
      <w:headerReference w:type="default" r:id="rId9"/>
      <w:footerReference w:type="default" r:id="rId10"/>
      <w:pgSz w:w="11906" w:h="16838" w:code="9"/>
      <w:pgMar w:top="1276" w:right="127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A3" w:rsidRDefault="006364A3" w:rsidP="006364A3">
      <w:r>
        <w:separator/>
      </w:r>
    </w:p>
  </w:endnote>
  <w:endnote w:type="continuationSeparator" w:id="0">
    <w:p w:rsidR="006364A3" w:rsidRDefault="006364A3" w:rsidP="0063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Default="0087772F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A3" w:rsidRDefault="006364A3" w:rsidP="006364A3">
      <w:r>
        <w:separator/>
      </w:r>
    </w:p>
  </w:footnote>
  <w:footnote w:type="continuationSeparator" w:id="0">
    <w:p w:rsidR="006364A3" w:rsidRDefault="006364A3" w:rsidP="0063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Default="0087772F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</w:t>
    </w:r>
    <w:r w:rsidR="006364A3">
      <w:rPr>
        <w:sz w:val="24"/>
        <w:szCs w:val="24"/>
      </w:rPr>
      <w:t xml:space="preserve">                                   </w:t>
    </w:r>
    <w:r w:rsidR="00DC6183">
      <w:rPr>
        <w:sz w:val="24"/>
        <w:szCs w:val="24"/>
      </w:rPr>
      <w:t xml:space="preserve">   </w:t>
    </w:r>
    <w:r w:rsidR="006364A3">
      <w:rPr>
        <w:sz w:val="24"/>
        <w:szCs w:val="24"/>
      </w:rPr>
      <w:t xml:space="preserve">   </w:t>
    </w:r>
    <w:r>
      <w:rPr>
        <w:sz w:val="24"/>
        <w:szCs w:val="24"/>
      </w:rPr>
      <w:t xml:space="preserve"> </w:t>
    </w:r>
    <w:r w:rsidRPr="00CF7092">
      <w:rPr>
        <w:sz w:val="24"/>
        <w:szCs w:val="24"/>
      </w:rPr>
      <w:t>Číslo smlouvy</w:t>
    </w:r>
    <w:r w:rsidR="009513A9">
      <w:rPr>
        <w:sz w:val="24"/>
        <w:szCs w:val="24"/>
      </w:rPr>
      <w:t xml:space="preserve"> </w:t>
    </w:r>
    <w:r w:rsidR="005C412F">
      <w:rPr>
        <w:sz w:val="24"/>
        <w:szCs w:val="24"/>
      </w:rPr>
      <w:t>113361</w:t>
    </w:r>
  </w:p>
  <w:p w:rsidR="009146EA" w:rsidRPr="00CF7092" w:rsidRDefault="009146EA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05A10"/>
    <w:multiLevelType w:val="hybridMultilevel"/>
    <w:tmpl w:val="01045B18"/>
    <w:lvl w:ilvl="0" w:tplc="385E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FB"/>
    <w:rsid w:val="000A6DB8"/>
    <w:rsid w:val="000D301B"/>
    <w:rsid w:val="00105608"/>
    <w:rsid w:val="00113E98"/>
    <w:rsid w:val="00143E2F"/>
    <w:rsid w:val="0017628C"/>
    <w:rsid w:val="001D425C"/>
    <w:rsid w:val="001D7D0C"/>
    <w:rsid w:val="001E5652"/>
    <w:rsid w:val="00274D7B"/>
    <w:rsid w:val="00305B4E"/>
    <w:rsid w:val="003175F0"/>
    <w:rsid w:val="003779BD"/>
    <w:rsid w:val="00414AF4"/>
    <w:rsid w:val="00431FDA"/>
    <w:rsid w:val="004464FB"/>
    <w:rsid w:val="004A44AB"/>
    <w:rsid w:val="004E05AF"/>
    <w:rsid w:val="00567AF6"/>
    <w:rsid w:val="005917D1"/>
    <w:rsid w:val="005A32E6"/>
    <w:rsid w:val="005C412F"/>
    <w:rsid w:val="00622F43"/>
    <w:rsid w:val="006364A3"/>
    <w:rsid w:val="00674B8E"/>
    <w:rsid w:val="006836C7"/>
    <w:rsid w:val="006B5726"/>
    <w:rsid w:val="0086259B"/>
    <w:rsid w:val="0087772F"/>
    <w:rsid w:val="00896E81"/>
    <w:rsid w:val="0090110D"/>
    <w:rsid w:val="0091253E"/>
    <w:rsid w:val="009146EA"/>
    <w:rsid w:val="009513A9"/>
    <w:rsid w:val="00990D1F"/>
    <w:rsid w:val="009A23E0"/>
    <w:rsid w:val="009C2788"/>
    <w:rsid w:val="009E6921"/>
    <w:rsid w:val="00A3240A"/>
    <w:rsid w:val="00A43C4A"/>
    <w:rsid w:val="00B05CDC"/>
    <w:rsid w:val="00B075FB"/>
    <w:rsid w:val="00BB4CFC"/>
    <w:rsid w:val="00C06332"/>
    <w:rsid w:val="00C21FD8"/>
    <w:rsid w:val="00C32837"/>
    <w:rsid w:val="00C73B5A"/>
    <w:rsid w:val="00C900CF"/>
    <w:rsid w:val="00D01D0F"/>
    <w:rsid w:val="00DC6183"/>
    <w:rsid w:val="00DF45FE"/>
    <w:rsid w:val="00E30EE0"/>
    <w:rsid w:val="00EA5CD8"/>
    <w:rsid w:val="00F62EFC"/>
    <w:rsid w:val="00F75852"/>
    <w:rsid w:val="00FA152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64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64F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464FB"/>
    <w:rPr>
      <w:snapToGrid w:val="0"/>
      <w:color w:val="000000"/>
      <w:sz w:val="24"/>
    </w:rPr>
  </w:style>
  <w:style w:type="paragraph" w:customStyle="1" w:styleId="Texttabulky">
    <w:name w:val="Text tabulky"/>
    <w:rsid w:val="004464F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464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4FB"/>
  </w:style>
  <w:style w:type="paragraph" w:styleId="Zpat">
    <w:name w:val="footer"/>
    <w:basedOn w:val="Normln"/>
    <w:link w:val="ZpatChar"/>
    <w:rsid w:val="00446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64FB"/>
  </w:style>
  <w:style w:type="paragraph" w:styleId="Textbubliny">
    <w:name w:val="Balloon Text"/>
    <w:basedOn w:val="Normln"/>
    <w:link w:val="TextbublinyChar"/>
    <w:rsid w:val="00FA1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64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64F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464FB"/>
    <w:rPr>
      <w:snapToGrid w:val="0"/>
      <w:color w:val="000000"/>
      <w:sz w:val="24"/>
    </w:rPr>
  </w:style>
  <w:style w:type="paragraph" w:customStyle="1" w:styleId="Texttabulky">
    <w:name w:val="Text tabulky"/>
    <w:rsid w:val="004464F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464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4FB"/>
  </w:style>
  <w:style w:type="paragraph" w:styleId="Zpat">
    <w:name w:val="footer"/>
    <w:basedOn w:val="Normln"/>
    <w:link w:val="ZpatChar"/>
    <w:rsid w:val="00446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64FB"/>
  </w:style>
  <w:style w:type="paragraph" w:styleId="Textbubliny">
    <w:name w:val="Balloon Text"/>
    <w:basedOn w:val="Normln"/>
    <w:link w:val="TextbublinyChar"/>
    <w:rsid w:val="00FA1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CAE3-04EC-4087-9147-E0C50DB0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Pavlová Irena</dc:creator>
  <cp:lastModifiedBy>Pokorná Helena</cp:lastModifiedBy>
  <cp:revision>6</cp:revision>
  <cp:lastPrinted>2018-08-02T10:23:00Z</cp:lastPrinted>
  <dcterms:created xsi:type="dcterms:W3CDTF">2021-02-16T11:41:00Z</dcterms:created>
  <dcterms:modified xsi:type="dcterms:W3CDTF">2021-02-16T13:05:00Z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-1050212639</vt:i4>
  </property>
  <property fmtid="{D5CDD505-2E9C-101B-9397-08002B2CF9AE}" pid="3" name="_NewReviewCycle">
    <vt:lpwstr/>
  </property>
  <property fmtid="{D5CDD505-2E9C-101B-9397-08002B2CF9AE}" pid="4" name="_EmailSubject">
    <vt:lpwstr>Uveřejnění smlouvy č. 115912 v registru smluv</vt:lpwstr>
  </property>
  <property fmtid="{D5CDD505-2E9C-101B-9397-08002B2CF9AE}" pid="5" name="_AuthorEmail">
    <vt:lpwstr>Irena.Pavlova@cnb.cz</vt:lpwstr>
  </property>
  <property fmtid="{D5CDD505-2E9C-101B-9397-08002B2CF9AE}" pid="6" name="_AuthorEmailDisplayName">
    <vt:lpwstr>Pavlová Irena</vt:lpwstr>
  </property>
  <property fmtid="{D5CDD505-2E9C-101B-9397-08002B2CF9AE}" pid="7" name="_ReviewingToolsShownOnce">
    <vt:lpwstr/>
  </property>
</Properties>
</file>