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 xml:space="preserve">Smlouva o spolupráci </w:t>
      </w: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při dlouhodobých dodávkách léčivých přípravků</w:t>
      </w: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uzavřená podle § 1746 odst. 2 zákona č. 89/2012 Sb., občanský zákoník, ve znění pozdějších předpisů, níže uvedeného dne, měsíce a roku mezi smluvními stranami, kterými jsou:</w:t>
      </w:r>
    </w:p>
    <w:p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</w:p>
    <w:p w:rsidR="001C2D2A" w:rsidRPr="00B05644" w:rsidRDefault="00C717F0" w:rsidP="008D36F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2"/>
          <w:szCs w:val="22"/>
        </w:rPr>
        <w:t>PHOENIX lékárenský velkoobchod, s.r.o.</w:t>
      </w:r>
    </w:p>
    <w:p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>sídlem:</w:t>
      </w:r>
      <w:r w:rsidR="00C717F0">
        <w:rPr>
          <w:rFonts w:ascii="Arial" w:hAnsi="Arial" w:cs="Arial"/>
          <w:bCs/>
          <w:sz w:val="22"/>
          <w:szCs w:val="22"/>
        </w:rPr>
        <w:t xml:space="preserve"> K pérovně 945/7, Praha 10 – Hostivař, PSČ: 102 00</w:t>
      </w:r>
      <w:r w:rsidRPr="00B05644">
        <w:rPr>
          <w:rFonts w:ascii="Arial" w:hAnsi="Arial" w:cs="Arial"/>
          <w:bCs/>
          <w:sz w:val="22"/>
          <w:szCs w:val="22"/>
        </w:rPr>
        <w:tab/>
      </w:r>
    </w:p>
    <w:p w:rsidR="00432AB9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IČO: </w:t>
      </w:r>
      <w:r w:rsidR="00C717F0">
        <w:rPr>
          <w:rFonts w:ascii="Arial" w:hAnsi="Arial" w:cs="Arial"/>
          <w:sz w:val="22"/>
          <w:szCs w:val="22"/>
        </w:rPr>
        <w:t>45359326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 xml:space="preserve">DIČ: </w:t>
      </w:r>
      <w:r w:rsidR="00C717F0">
        <w:rPr>
          <w:rFonts w:ascii="Arial" w:hAnsi="Arial" w:cs="Arial"/>
          <w:bCs/>
          <w:sz w:val="22"/>
          <w:szCs w:val="22"/>
        </w:rPr>
        <w:t>CZ45359326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C2D2A" w:rsidRPr="00B05644" w:rsidRDefault="001C2D2A" w:rsidP="008D36F3">
      <w:pPr>
        <w:jc w:val="both"/>
        <w:rPr>
          <w:rFonts w:ascii="Arial" w:hAnsi="Arial" w:cs="Arial"/>
          <w:bCs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B05644">
        <w:rPr>
          <w:rFonts w:ascii="Arial" w:hAnsi="Arial" w:cs="Arial"/>
          <w:sz w:val="22"/>
          <w:szCs w:val="22"/>
        </w:rPr>
        <w:t>vedeném</w:t>
      </w:r>
      <w:r w:rsidR="00C717F0">
        <w:rPr>
          <w:rFonts w:ascii="Arial" w:hAnsi="Arial" w:cs="Arial"/>
          <w:sz w:val="22"/>
          <w:szCs w:val="22"/>
        </w:rPr>
        <w:t xml:space="preserve"> Městským soudem v Praze, oddíl C, vložka 275345</w:t>
      </w:r>
      <w:r w:rsidRPr="00B05644">
        <w:rPr>
          <w:rFonts w:ascii="Arial" w:hAnsi="Arial" w:cs="Arial"/>
          <w:sz w:val="22"/>
          <w:szCs w:val="22"/>
        </w:rPr>
        <w:t xml:space="preserve"> </w:t>
      </w:r>
    </w:p>
    <w:p w:rsidR="00C717F0" w:rsidRDefault="001C2D2A" w:rsidP="0076639F">
      <w:pPr>
        <w:rPr>
          <w:rFonts w:ascii="Arial" w:hAnsi="Arial" w:cs="Arial"/>
          <w:sz w:val="22"/>
          <w:szCs w:val="22"/>
        </w:rPr>
      </w:pPr>
      <w:r w:rsidRPr="00CF4FD8">
        <w:rPr>
          <w:rFonts w:ascii="Arial" w:hAnsi="Arial" w:cs="Arial"/>
          <w:sz w:val="22"/>
          <w:szCs w:val="22"/>
        </w:rPr>
        <w:t xml:space="preserve">zastoupená </w:t>
      </w:r>
      <w:r w:rsidR="00C717F0">
        <w:rPr>
          <w:rFonts w:ascii="Arial" w:hAnsi="Arial" w:cs="Arial"/>
          <w:sz w:val="22"/>
          <w:szCs w:val="22"/>
        </w:rPr>
        <w:t xml:space="preserve">MUDr. Michaelou Steklou, prokuristkou; </w:t>
      </w:r>
    </w:p>
    <w:p w:rsidR="001C2D2A" w:rsidRPr="00B05644" w:rsidRDefault="002D5E4F" w:rsidP="00C717F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Petrem Dvořákem</w:t>
      </w:r>
      <w:r w:rsidR="00954DB6">
        <w:rPr>
          <w:rFonts w:ascii="Arial" w:hAnsi="Arial" w:cs="Arial"/>
          <w:sz w:val="22"/>
          <w:szCs w:val="22"/>
        </w:rPr>
        <w:t>, prokuristou</w:t>
      </w:r>
      <w:r w:rsidR="00C717F0">
        <w:rPr>
          <w:rFonts w:ascii="Arial" w:hAnsi="Arial" w:cs="Arial"/>
          <w:sz w:val="22"/>
          <w:szCs w:val="22"/>
        </w:rPr>
        <w:t xml:space="preserve"> </w:t>
      </w:r>
    </w:p>
    <w:p w:rsidR="001C2D2A" w:rsidRPr="00B05644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jako dodavatel na straně jedné (dále jen „dodavatel“)</w:t>
      </w:r>
    </w:p>
    <w:p w:rsidR="001C2D2A" w:rsidRPr="00B05644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:rsidR="001C2D2A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a</w:t>
      </w:r>
    </w:p>
    <w:p w:rsidR="006A7824" w:rsidRDefault="006A7824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:rsidR="00FB790D" w:rsidRPr="00B05644" w:rsidRDefault="00C2161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Nemocnice: Fakultní nemocnice Brno</w:t>
      </w:r>
    </w:p>
    <w:p w:rsidR="001C2D2A" w:rsidRPr="00B05644" w:rsidRDefault="001C2D2A" w:rsidP="000948DC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sídlem: </w:t>
      </w:r>
      <w:r w:rsidR="00C2161A">
        <w:rPr>
          <w:rFonts w:ascii="Arial" w:hAnsi="Arial" w:cs="Arial"/>
          <w:sz w:val="22"/>
          <w:szCs w:val="22"/>
        </w:rPr>
        <w:t>Jihlavská 340/20 , Brno – Bohunice 625 00</w:t>
      </w:r>
    </w:p>
    <w:p w:rsidR="006A782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IČO: </w:t>
      </w:r>
      <w:r w:rsidR="00C2161A">
        <w:rPr>
          <w:rFonts w:ascii="Arial" w:hAnsi="Arial" w:cs="Arial"/>
          <w:sz w:val="22"/>
          <w:szCs w:val="22"/>
        </w:rPr>
        <w:t>65269705</w:t>
      </w:r>
    </w:p>
    <w:p w:rsidR="006A782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DIČ</w:t>
      </w:r>
      <w:r w:rsidR="00C2161A">
        <w:rPr>
          <w:rFonts w:ascii="Arial" w:hAnsi="Arial" w:cs="Arial"/>
          <w:sz w:val="22"/>
          <w:szCs w:val="22"/>
        </w:rPr>
        <w:t>: CZ65269705</w:t>
      </w:r>
    </w:p>
    <w:p w:rsidR="001C2D2A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zastoupená:</w:t>
      </w:r>
      <w:r w:rsidR="004D3F28">
        <w:rPr>
          <w:rFonts w:ascii="Arial" w:hAnsi="Arial" w:cs="Arial"/>
          <w:sz w:val="22"/>
          <w:szCs w:val="22"/>
        </w:rPr>
        <w:t xml:space="preserve"> prof.</w:t>
      </w:r>
      <w:r>
        <w:rPr>
          <w:rFonts w:ascii="Arial" w:hAnsi="Arial" w:cs="Arial"/>
          <w:sz w:val="22"/>
          <w:szCs w:val="22"/>
        </w:rPr>
        <w:t xml:space="preserve"> </w:t>
      </w:r>
      <w:r w:rsidR="00C15136">
        <w:rPr>
          <w:rFonts w:ascii="Arial" w:hAnsi="Arial" w:cs="Arial"/>
          <w:sz w:val="22"/>
          <w:szCs w:val="22"/>
        </w:rPr>
        <w:t>MUDr. J</w:t>
      </w:r>
      <w:r w:rsidR="00647304">
        <w:rPr>
          <w:rFonts w:ascii="Arial" w:hAnsi="Arial" w:cs="Arial"/>
          <w:sz w:val="22"/>
          <w:szCs w:val="22"/>
        </w:rPr>
        <w:t>aroslavem Štěrbou</w:t>
      </w:r>
      <w:r w:rsidR="00C2161A">
        <w:rPr>
          <w:rFonts w:ascii="Arial" w:hAnsi="Arial" w:cs="Arial"/>
          <w:sz w:val="22"/>
          <w:szCs w:val="22"/>
        </w:rPr>
        <w:t>, Ph.D., ředitel</w:t>
      </w:r>
      <w:r w:rsidR="00C15136">
        <w:rPr>
          <w:rFonts w:ascii="Arial" w:hAnsi="Arial" w:cs="Arial"/>
          <w:sz w:val="22"/>
          <w:szCs w:val="22"/>
        </w:rPr>
        <w:t>em</w:t>
      </w:r>
    </w:p>
    <w:p w:rsidR="006A7824" w:rsidRPr="00B05644" w:rsidRDefault="006A7824" w:rsidP="008D36F3">
      <w:pPr>
        <w:jc w:val="both"/>
        <w:rPr>
          <w:rFonts w:ascii="Arial" w:hAnsi="Arial" w:cs="Arial"/>
          <w:sz w:val="22"/>
          <w:szCs w:val="22"/>
        </w:rPr>
      </w:pPr>
    </w:p>
    <w:p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 xml:space="preserve">jako odběratel na straně druhé (dále jen „odběratel“). </w:t>
      </w:r>
    </w:p>
    <w:p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Odběratel a dodavatel společně dále jako „smluvní strany“.</w:t>
      </w:r>
    </w:p>
    <w:bookmarkEnd w:id="0"/>
    <w:bookmarkEnd w:id="1"/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Smluvní strany se dohodly takto:</w:t>
      </w:r>
    </w:p>
    <w:p w:rsidR="001C2D2A" w:rsidRPr="00B05644" w:rsidRDefault="001C2D2A" w:rsidP="008D36F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C2D2A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</w:p>
    <w:p w:rsidR="00C523CD" w:rsidRPr="00B05644" w:rsidRDefault="00C523CD" w:rsidP="008D36F3">
      <w:pPr>
        <w:jc w:val="both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I.</w:t>
      </w:r>
    </w:p>
    <w:p w:rsidR="001C2D2A" w:rsidRPr="00B05644" w:rsidRDefault="001C2D2A" w:rsidP="008D36F3">
      <w:pPr>
        <w:pStyle w:val="Nadpis1"/>
        <w:rPr>
          <w:rFonts w:ascii="Arial" w:hAnsi="Arial" w:cs="Arial"/>
          <w:i w:val="0"/>
          <w:sz w:val="22"/>
          <w:szCs w:val="22"/>
        </w:rPr>
      </w:pPr>
      <w:r w:rsidRPr="00B05644">
        <w:rPr>
          <w:rFonts w:ascii="Arial" w:hAnsi="Arial" w:cs="Arial"/>
          <w:i w:val="0"/>
          <w:sz w:val="22"/>
          <w:szCs w:val="22"/>
        </w:rPr>
        <w:t>Úvodní ustanovení</w:t>
      </w:r>
    </w:p>
    <w:p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B05644" w:rsidRDefault="001C2D2A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B05644">
        <w:rPr>
          <w:rFonts w:ascii="Arial" w:hAnsi="Arial" w:cs="Arial"/>
          <w:sz w:val="22"/>
          <w:szCs w:val="22"/>
        </w:rPr>
        <w:t xml:space="preserve"> se v rámci naplňování</w:t>
      </w:r>
      <w:r>
        <w:rPr>
          <w:rFonts w:ascii="Arial" w:hAnsi="Arial" w:cs="Arial"/>
          <w:sz w:val="22"/>
          <w:szCs w:val="22"/>
        </w:rPr>
        <w:t xml:space="preserve"> předmětu smlouvy</w:t>
      </w:r>
      <w:r w:rsidRPr="00B05644">
        <w:rPr>
          <w:rFonts w:ascii="Arial" w:hAnsi="Arial" w:cs="Arial"/>
          <w:sz w:val="22"/>
          <w:szCs w:val="22"/>
        </w:rPr>
        <w:t xml:space="preserve"> zavazují postupovat vždy v souladu s právním řádem České republiky, zejména v oblasti ochrany hospodářské soutěže.</w:t>
      </w:r>
    </w:p>
    <w:p w:rsidR="001C2D2A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C523CD" w:rsidRPr="00B05644" w:rsidRDefault="00C523CD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II.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Předmět smlouvy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AE5FEB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Obě smluvní strany souhlasně konstatují, že odběratel odebírá v rámci své činnosti</w:t>
      </w:r>
      <w:r>
        <w:rPr>
          <w:rFonts w:ascii="Arial" w:hAnsi="Arial" w:cs="Arial"/>
          <w:sz w:val="22"/>
          <w:szCs w:val="22"/>
        </w:rPr>
        <w:t xml:space="preserve"> z distribuční sítě v České republice</w:t>
      </w:r>
      <w:r w:rsidRPr="00B05644">
        <w:rPr>
          <w:rFonts w:ascii="Arial" w:hAnsi="Arial" w:cs="Arial"/>
          <w:sz w:val="22"/>
          <w:szCs w:val="22"/>
        </w:rPr>
        <w:t xml:space="preserve"> i léčivé přípravky dodavatele, jejichž seznam je uveden v Příloze č. 1 této smlouvy (dále jen „zboží“), a to v takovém množství, které je pro činnost odběratele potřebné. Příloha č. 1 tvoří nedílnou součást této smlouvy. </w:t>
      </w:r>
    </w:p>
    <w:p w:rsidR="001C2D2A" w:rsidRPr="00B05644" w:rsidRDefault="001C2D2A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C2D2A" w:rsidRPr="00B05644" w:rsidRDefault="001C2D2A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C2D2A" w:rsidRDefault="001C2D2A" w:rsidP="00B85EB4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lastRenderedPageBreak/>
        <w:t xml:space="preserve">Proces sjednávání a uzavírání kupních smluv mezi odběratelem a </w:t>
      </w:r>
      <w:r w:rsidR="003048DE">
        <w:rPr>
          <w:rFonts w:ascii="Arial" w:hAnsi="Arial" w:cs="Arial"/>
          <w:sz w:val="22"/>
          <w:szCs w:val="22"/>
        </w:rPr>
        <w:t xml:space="preserve">dodavatelem </w:t>
      </w:r>
      <w:r w:rsidRPr="00B05644">
        <w:rPr>
          <w:rFonts w:ascii="Arial" w:hAnsi="Arial" w:cs="Arial"/>
          <w:sz w:val="22"/>
          <w:szCs w:val="22"/>
        </w:rPr>
        <w:t xml:space="preserve"> není nijak závislý na této smlouvě nebo jejích jednotlivých ustanoveních.</w:t>
      </w:r>
    </w:p>
    <w:p w:rsidR="00C523CD" w:rsidRDefault="00C523CD" w:rsidP="00C523CD">
      <w:pPr>
        <w:pStyle w:val="Zkladntext2"/>
        <w:rPr>
          <w:rFonts w:ascii="Arial" w:hAnsi="Arial" w:cs="Arial"/>
          <w:sz w:val="22"/>
          <w:szCs w:val="22"/>
        </w:rPr>
      </w:pPr>
    </w:p>
    <w:p w:rsidR="00C523CD" w:rsidRPr="00C523CD" w:rsidRDefault="00C523CD" w:rsidP="00C523CD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III.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Obchodní podmínky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Odběratel bude zboží </w:t>
      </w:r>
      <w:r>
        <w:rPr>
          <w:rFonts w:ascii="Arial" w:hAnsi="Arial" w:cs="Arial"/>
          <w:sz w:val="22"/>
          <w:szCs w:val="22"/>
        </w:rPr>
        <w:t>odebírat</w:t>
      </w:r>
      <w:r w:rsidRPr="00B05644">
        <w:rPr>
          <w:rFonts w:ascii="Arial" w:hAnsi="Arial" w:cs="Arial"/>
          <w:sz w:val="22"/>
          <w:szCs w:val="22"/>
        </w:rPr>
        <w:t xml:space="preserve"> od </w:t>
      </w:r>
      <w:r w:rsidR="003048DE">
        <w:rPr>
          <w:rFonts w:ascii="Arial" w:hAnsi="Arial" w:cs="Arial"/>
          <w:sz w:val="22"/>
          <w:szCs w:val="22"/>
        </w:rPr>
        <w:t xml:space="preserve">dodavatele </w:t>
      </w:r>
      <w:r w:rsidRPr="00B05644">
        <w:rPr>
          <w:rFonts w:ascii="Arial" w:hAnsi="Arial" w:cs="Arial"/>
          <w:sz w:val="22"/>
          <w:szCs w:val="22"/>
        </w:rPr>
        <w:t xml:space="preserve"> za kupní cenu sjednanou s </w:t>
      </w:r>
      <w:r w:rsidR="003048DE">
        <w:rPr>
          <w:rFonts w:ascii="Arial" w:hAnsi="Arial" w:cs="Arial"/>
          <w:sz w:val="22"/>
          <w:szCs w:val="22"/>
        </w:rPr>
        <w:t>dodavatelem</w:t>
      </w:r>
      <w:r w:rsidRPr="00B05644">
        <w:rPr>
          <w:rFonts w:ascii="Arial" w:hAnsi="Arial" w:cs="Arial"/>
          <w:sz w:val="22"/>
          <w:szCs w:val="22"/>
        </w:rPr>
        <w:t>.</w:t>
      </w:r>
    </w:p>
    <w:p w:rsidR="001C2D2A" w:rsidRPr="00B05644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1C2D2A" w:rsidRPr="00B05644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se dohodly, že dodané zboží bude odběratelem využito výlučně k zajištění potřeb pacientů</w:t>
      </w:r>
      <w:r>
        <w:rPr>
          <w:rFonts w:ascii="Arial" w:hAnsi="Arial" w:cs="Arial"/>
          <w:sz w:val="22"/>
          <w:szCs w:val="22"/>
        </w:rPr>
        <w:t>.</w:t>
      </w:r>
    </w:p>
    <w:p w:rsidR="001C2D2A" w:rsidRPr="00B05644" w:rsidRDefault="001C2D2A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:rsidR="001C2D2A" w:rsidRDefault="001C2D2A" w:rsidP="003F06EF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6E12">
        <w:rPr>
          <w:rFonts w:ascii="Arial" w:hAnsi="Arial" w:cs="Arial"/>
          <w:sz w:val="22"/>
          <w:szCs w:val="22"/>
        </w:rPr>
        <w:t xml:space="preserve">V případě, že celková kupní cena zboží </w:t>
      </w:r>
      <w:r>
        <w:rPr>
          <w:rFonts w:ascii="Arial" w:hAnsi="Arial" w:cs="Arial"/>
          <w:sz w:val="22"/>
          <w:szCs w:val="22"/>
        </w:rPr>
        <w:t>odebraného</w:t>
      </w:r>
      <w:r w:rsidRPr="00806E12">
        <w:rPr>
          <w:rFonts w:ascii="Arial" w:hAnsi="Arial" w:cs="Arial"/>
          <w:sz w:val="22"/>
          <w:szCs w:val="22"/>
        </w:rPr>
        <w:t xml:space="preserve"> odběratelem od </w:t>
      </w:r>
      <w:r w:rsidR="003048DE">
        <w:rPr>
          <w:rFonts w:ascii="Arial" w:hAnsi="Arial" w:cs="Arial"/>
          <w:sz w:val="22"/>
          <w:szCs w:val="22"/>
        </w:rPr>
        <w:t>dodavatele</w:t>
      </w:r>
      <w:r w:rsidRPr="00806E12">
        <w:rPr>
          <w:rFonts w:ascii="Arial" w:hAnsi="Arial" w:cs="Arial"/>
          <w:sz w:val="22"/>
          <w:szCs w:val="22"/>
        </w:rPr>
        <w:t xml:space="preserve"> v průběhu </w:t>
      </w:r>
      <w:r>
        <w:rPr>
          <w:rFonts w:ascii="Arial" w:hAnsi="Arial" w:cs="Arial"/>
          <w:sz w:val="22"/>
          <w:szCs w:val="22"/>
        </w:rPr>
        <w:t>referenčního období, definovaného v příloze č. 1 této smlouvy</w:t>
      </w:r>
      <w:r w:rsidRPr="00806E12">
        <w:rPr>
          <w:rFonts w:ascii="Arial" w:hAnsi="Arial" w:cs="Arial"/>
          <w:sz w:val="22"/>
          <w:szCs w:val="22"/>
        </w:rPr>
        <w:t xml:space="preserve"> přesáhne objem stanovený v příloze č. </w:t>
      </w:r>
      <w:r>
        <w:rPr>
          <w:rFonts w:ascii="Arial" w:hAnsi="Arial" w:cs="Arial"/>
          <w:sz w:val="22"/>
          <w:szCs w:val="22"/>
        </w:rPr>
        <w:t>1</w:t>
      </w:r>
      <w:r w:rsidRPr="00806E12">
        <w:rPr>
          <w:rFonts w:ascii="Arial" w:hAnsi="Arial" w:cs="Arial"/>
          <w:sz w:val="22"/>
          <w:szCs w:val="22"/>
        </w:rPr>
        <w:t xml:space="preserve"> této smlouvy – podmínky vyplácení objemového bonusu, </w:t>
      </w:r>
      <w:r w:rsidR="00C717F0">
        <w:rPr>
          <w:rFonts w:ascii="Arial" w:hAnsi="Arial" w:cs="Arial"/>
          <w:sz w:val="22"/>
          <w:szCs w:val="22"/>
        </w:rPr>
        <w:t xml:space="preserve">prohlašuje </w:t>
      </w:r>
      <w:r w:rsidRPr="00806E12">
        <w:rPr>
          <w:rFonts w:ascii="Arial" w:hAnsi="Arial" w:cs="Arial"/>
          <w:sz w:val="22"/>
          <w:szCs w:val="22"/>
        </w:rPr>
        <w:t>dodavatel</w:t>
      </w:r>
      <w:r w:rsidR="00C717F0">
        <w:rPr>
          <w:rFonts w:ascii="Arial" w:hAnsi="Arial" w:cs="Arial"/>
          <w:sz w:val="22"/>
          <w:szCs w:val="22"/>
        </w:rPr>
        <w:t>, že odběrateli vznikne nárok na zaplacení</w:t>
      </w:r>
      <w:r w:rsidR="00D4641D">
        <w:rPr>
          <w:rFonts w:ascii="Arial" w:hAnsi="Arial" w:cs="Arial"/>
          <w:sz w:val="22"/>
          <w:szCs w:val="22"/>
        </w:rPr>
        <w:t xml:space="preserve"> </w:t>
      </w:r>
      <w:r w:rsidRPr="00806E12">
        <w:rPr>
          <w:rFonts w:ascii="Arial" w:hAnsi="Arial" w:cs="Arial"/>
          <w:sz w:val="22"/>
          <w:szCs w:val="22"/>
        </w:rPr>
        <w:t>finanční</w:t>
      </w:r>
      <w:r w:rsidR="00C717F0">
        <w:rPr>
          <w:rFonts w:ascii="Arial" w:hAnsi="Arial" w:cs="Arial"/>
          <w:sz w:val="22"/>
          <w:szCs w:val="22"/>
        </w:rPr>
        <w:t>ho</w:t>
      </w:r>
      <w:r w:rsidRPr="00806E12">
        <w:rPr>
          <w:rFonts w:ascii="Arial" w:hAnsi="Arial" w:cs="Arial"/>
          <w:sz w:val="22"/>
          <w:szCs w:val="22"/>
        </w:rPr>
        <w:t xml:space="preserve"> objemov</w:t>
      </w:r>
      <w:r w:rsidR="00C717F0">
        <w:rPr>
          <w:rFonts w:ascii="Arial" w:hAnsi="Arial" w:cs="Arial"/>
          <w:sz w:val="22"/>
          <w:szCs w:val="22"/>
        </w:rPr>
        <w:t>ého</w:t>
      </w:r>
      <w:r w:rsidRPr="00806E12">
        <w:rPr>
          <w:rFonts w:ascii="Arial" w:hAnsi="Arial" w:cs="Arial"/>
          <w:sz w:val="22"/>
          <w:szCs w:val="22"/>
        </w:rPr>
        <w:t xml:space="preserve"> bonus</w:t>
      </w:r>
      <w:r w:rsidR="00C717F0">
        <w:rPr>
          <w:rFonts w:ascii="Arial" w:hAnsi="Arial" w:cs="Arial"/>
          <w:sz w:val="22"/>
          <w:szCs w:val="22"/>
        </w:rPr>
        <w:t>u</w:t>
      </w:r>
      <w:r w:rsidRPr="00806E12">
        <w:rPr>
          <w:rFonts w:ascii="Arial" w:hAnsi="Arial" w:cs="Arial"/>
          <w:sz w:val="22"/>
          <w:szCs w:val="22"/>
        </w:rPr>
        <w:t xml:space="preserve"> podle tabulky uvedené rovněž v příloze č. </w:t>
      </w:r>
      <w:r>
        <w:rPr>
          <w:rFonts w:ascii="Arial" w:hAnsi="Arial" w:cs="Arial"/>
          <w:sz w:val="22"/>
          <w:szCs w:val="22"/>
        </w:rPr>
        <w:t>1</w:t>
      </w:r>
      <w:r w:rsidRPr="00806E12">
        <w:rPr>
          <w:rFonts w:ascii="Arial" w:hAnsi="Arial" w:cs="Arial"/>
          <w:sz w:val="22"/>
          <w:szCs w:val="22"/>
        </w:rPr>
        <w:t xml:space="preserve"> této smlouvy (dále jen „objemový bonus“). </w:t>
      </w:r>
      <w:r w:rsidRPr="00FF452C">
        <w:rPr>
          <w:rFonts w:ascii="Arial" w:hAnsi="Arial" w:cs="Arial"/>
          <w:sz w:val="22"/>
          <w:szCs w:val="22"/>
        </w:rPr>
        <w:t>Objemový bonus je stanoven vždy pro konkrétní dosažený objem zboží v uvedeném referenčním období, přičemž objem zboží se vypočte jako součet cen všech balení</w:t>
      </w:r>
      <w:r w:rsidRPr="000948DC">
        <w:rPr>
          <w:rFonts w:ascii="Arial" w:hAnsi="Arial" w:cs="Arial"/>
          <w:sz w:val="22"/>
          <w:szCs w:val="22"/>
        </w:rPr>
        <w:t xml:space="preserve"> příslušného zboží, který odběratel </w:t>
      </w:r>
      <w:r>
        <w:rPr>
          <w:rFonts w:ascii="Arial" w:hAnsi="Arial" w:cs="Arial"/>
          <w:sz w:val="22"/>
          <w:szCs w:val="22"/>
        </w:rPr>
        <w:t>odebere</w:t>
      </w:r>
      <w:r w:rsidRPr="000948DC">
        <w:rPr>
          <w:rFonts w:ascii="Arial" w:hAnsi="Arial" w:cs="Arial"/>
          <w:sz w:val="22"/>
          <w:szCs w:val="22"/>
        </w:rPr>
        <w:t xml:space="preserve"> v referenčním období</w:t>
      </w:r>
      <w:r w:rsidR="00137A28">
        <w:rPr>
          <w:rFonts w:ascii="Arial" w:hAnsi="Arial" w:cs="Arial"/>
          <w:sz w:val="22"/>
          <w:szCs w:val="22"/>
        </w:rPr>
        <w:t xml:space="preserve"> od dodavatele</w:t>
      </w:r>
      <w:r w:rsidRPr="000948DC">
        <w:rPr>
          <w:rFonts w:ascii="Arial" w:hAnsi="Arial" w:cs="Arial"/>
          <w:sz w:val="22"/>
          <w:szCs w:val="22"/>
        </w:rPr>
        <w:t xml:space="preserve">. Cenou balení zboží se pro účely tohoto ustanovení rozumí cena </w:t>
      </w:r>
      <w:r w:rsidR="008C3B7E">
        <w:rPr>
          <w:rFonts w:ascii="Arial" w:hAnsi="Arial" w:cs="Arial"/>
          <w:sz w:val="22"/>
          <w:szCs w:val="22"/>
        </w:rPr>
        <w:t xml:space="preserve"> výrobce. </w:t>
      </w:r>
      <w:r w:rsidRPr="000948DC">
        <w:rPr>
          <w:rFonts w:ascii="Arial" w:hAnsi="Arial" w:cs="Arial"/>
          <w:sz w:val="22"/>
          <w:szCs w:val="22"/>
        </w:rPr>
        <w:t>Bonus bude poskytnut pouze v úrovni nejvyššího dosaženého pásma objemu v referenčním období.</w:t>
      </w:r>
    </w:p>
    <w:p w:rsidR="003048DE" w:rsidRDefault="003048DE" w:rsidP="00DA7896">
      <w:pPr>
        <w:pStyle w:val="Odstavecseseznamem"/>
        <w:rPr>
          <w:rFonts w:ascii="Arial" w:hAnsi="Arial" w:cs="Arial"/>
          <w:sz w:val="22"/>
          <w:szCs w:val="22"/>
        </w:rPr>
      </w:pPr>
    </w:p>
    <w:p w:rsidR="003048DE" w:rsidRPr="00954DB6" w:rsidRDefault="00AB2162" w:rsidP="003048DE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4DB6">
        <w:rPr>
          <w:rFonts w:ascii="Arial" w:hAnsi="Arial" w:cs="Arial"/>
          <w:sz w:val="22"/>
          <w:szCs w:val="22"/>
        </w:rPr>
        <w:t>Do celkové kupní ceny v daném referenčním období pro účely výpočtu bonusu se nezapočítává kupní cena za zboží, které odběratel dodavateli z jakéhokoliv důvodu následně vrátil či jej od dodavatele ani nepřevzal</w:t>
      </w:r>
      <w:r w:rsidR="003048DE" w:rsidRPr="00954DB6">
        <w:rPr>
          <w:rFonts w:ascii="Arial" w:hAnsi="Arial" w:cs="Arial"/>
          <w:sz w:val="22"/>
          <w:szCs w:val="22"/>
        </w:rPr>
        <w:t>, s výjim</w:t>
      </w:r>
      <w:r w:rsidR="001A0B02" w:rsidRPr="00954DB6">
        <w:rPr>
          <w:rFonts w:ascii="Arial" w:hAnsi="Arial" w:cs="Arial"/>
          <w:sz w:val="22"/>
          <w:szCs w:val="22"/>
        </w:rPr>
        <w:t>kou oprávněné reklamace vad</w:t>
      </w:r>
      <w:r w:rsidRPr="00954DB6">
        <w:rPr>
          <w:rFonts w:ascii="Arial" w:hAnsi="Arial" w:cs="Arial"/>
          <w:sz w:val="22"/>
          <w:szCs w:val="22"/>
        </w:rPr>
        <w:t>y</w:t>
      </w:r>
      <w:r w:rsidR="001A0B02" w:rsidRPr="00954DB6">
        <w:rPr>
          <w:rFonts w:ascii="Arial" w:hAnsi="Arial" w:cs="Arial"/>
          <w:sz w:val="22"/>
          <w:szCs w:val="22"/>
        </w:rPr>
        <w:t xml:space="preserve"> zboží</w:t>
      </w:r>
      <w:r w:rsidR="003048DE" w:rsidRPr="00954DB6">
        <w:rPr>
          <w:rFonts w:ascii="Arial" w:hAnsi="Arial" w:cs="Arial"/>
          <w:sz w:val="22"/>
          <w:szCs w:val="22"/>
        </w:rPr>
        <w:t xml:space="preserve">, </w:t>
      </w:r>
      <w:r w:rsidRPr="00954DB6">
        <w:rPr>
          <w:rFonts w:ascii="Arial" w:hAnsi="Arial" w:cs="Arial"/>
          <w:sz w:val="22"/>
          <w:szCs w:val="22"/>
        </w:rPr>
        <w:t>která byla řešena</w:t>
      </w:r>
      <w:r w:rsidR="00DA7896" w:rsidRPr="00954DB6">
        <w:rPr>
          <w:rFonts w:ascii="Arial" w:hAnsi="Arial" w:cs="Arial"/>
          <w:sz w:val="22"/>
          <w:szCs w:val="22"/>
        </w:rPr>
        <w:t xml:space="preserve"> </w:t>
      </w:r>
      <w:r w:rsidR="001A0B02" w:rsidRPr="00954DB6">
        <w:rPr>
          <w:rFonts w:ascii="Arial" w:hAnsi="Arial" w:cs="Arial"/>
          <w:sz w:val="22"/>
          <w:szCs w:val="22"/>
        </w:rPr>
        <w:t>dodání</w:t>
      </w:r>
      <w:r w:rsidRPr="00954DB6">
        <w:rPr>
          <w:rFonts w:ascii="Arial" w:hAnsi="Arial" w:cs="Arial"/>
          <w:sz w:val="22"/>
          <w:szCs w:val="22"/>
        </w:rPr>
        <w:t>m</w:t>
      </w:r>
      <w:r w:rsidR="001A0B02" w:rsidRPr="00954DB6">
        <w:rPr>
          <w:rFonts w:ascii="Arial" w:hAnsi="Arial" w:cs="Arial"/>
          <w:sz w:val="22"/>
          <w:szCs w:val="22"/>
        </w:rPr>
        <w:t xml:space="preserve"> náhradního zboží</w:t>
      </w:r>
      <w:r w:rsidR="003048DE" w:rsidRPr="00954DB6">
        <w:rPr>
          <w:rFonts w:ascii="Arial" w:hAnsi="Arial" w:cs="Arial"/>
          <w:sz w:val="22"/>
          <w:szCs w:val="22"/>
        </w:rPr>
        <w:t xml:space="preserve">. </w:t>
      </w:r>
    </w:p>
    <w:p w:rsidR="001C2D2A" w:rsidRPr="00806E12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1C2D2A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Pro účely vyhodnocení objemu dosaženého v příslušném </w:t>
      </w:r>
      <w:r>
        <w:rPr>
          <w:rFonts w:ascii="Arial" w:hAnsi="Arial" w:cs="Arial"/>
          <w:sz w:val="22"/>
          <w:szCs w:val="22"/>
        </w:rPr>
        <w:t>referenčním období</w:t>
      </w:r>
      <w:r w:rsidRPr="00B05644">
        <w:rPr>
          <w:rFonts w:ascii="Arial" w:hAnsi="Arial" w:cs="Arial"/>
          <w:sz w:val="22"/>
          <w:szCs w:val="22"/>
        </w:rPr>
        <w:t xml:space="preserve"> poskytne odběratel dodavateli přehledy </w:t>
      </w:r>
      <w:r>
        <w:rPr>
          <w:rFonts w:ascii="Arial" w:hAnsi="Arial" w:cs="Arial"/>
          <w:sz w:val="22"/>
          <w:szCs w:val="22"/>
        </w:rPr>
        <w:t>odběru</w:t>
      </w:r>
      <w:r w:rsidRPr="00B05644">
        <w:rPr>
          <w:rFonts w:ascii="Arial" w:hAnsi="Arial" w:cs="Arial"/>
          <w:sz w:val="22"/>
          <w:szCs w:val="22"/>
        </w:rPr>
        <w:t xml:space="preserve"> zboží</w:t>
      </w:r>
      <w:r>
        <w:rPr>
          <w:rFonts w:ascii="Arial" w:hAnsi="Arial" w:cs="Arial"/>
          <w:sz w:val="22"/>
          <w:szCs w:val="22"/>
        </w:rPr>
        <w:t>.</w:t>
      </w:r>
    </w:p>
    <w:p w:rsidR="00750396" w:rsidRPr="00B05644" w:rsidRDefault="00750396" w:rsidP="00750396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7149B5" w:rsidRDefault="001C2D2A" w:rsidP="007149B5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Vyhodnocení objemu dle odstavce 3 tohoto článku smlouvy bude provedeno</w:t>
      </w:r>
      <w:r w:rsidR="008C3B7E">
        <w:rPr>
          <w:rFonts w:ascii="Arial" w:hAnsi="Arial" w:cs="Arial"/>
          <w:sz w:val="22"/>
          <w:szCs w:val="22"/>
        </w:rPr>
        <w:t xml:space="preserve"> z obratu </w:t>
      </w:r>
      <w:r w:rsidR="00570AAD">
        <w:rPr>
          <w:rFonts w:ascii="Arial" w:hAnsi="Arial" w:cs="Arial"/>
          <w:sz w:val="22"/>
          <w:szCs w:val="22"/>
        </w:rPr>
        <w:t>zboží dodaného</w:t>
      </w:r>
      <w:r w:rsidR="007E69D5">
        <w:rPr>
          <w:rFonts w:ascii="Arial" w:hAnsi="Arial" w:cs="Arial"/>
          <w:sz w:val="22"/>
          <w:szCs w:val="22"/>
        </w:rPr>
        <w:t xml:space="preserve"> dodavatelem</w:t>
      </w:r>
      <w:r w:rsidR="008C3B7E">
        <w:rPr>
          <w:rFonts w:ascii="Arial" w:hAnsi="Arial" w:cs="Arial"/>
          <w:sz w:val="22"/>
          <w:szCs w:val="22"/>
        </w:rPr>
        <w:t xml:space="preserve"> </w:t>
      </w:r>
      <w:r w:rsidRPr="00B05644">
        <w:rPr>
          <w:rFonts w:ascii="Arial" w:hAnsi="Arial" w:cs="Arial"/>
          <w:sz w:val="22"/>
          <w:szCs w:val="22"/>
        </w:rPr>
        <w:t xml:space="preserve"> </w:t>
      </w:r>
      <w:r w:rsidRPr="00750396">
        <w:rPr>
          <w:rFonts w:ascii="Arial" w:hAnsi="Arial" w:cs="Arial"/>
          <w:sz w:val="22"/>
          <w:szCs w:val="22"/>
        </w:rPr>
        <w:t xml:space="preserve">do 15. dne po uplynutí příslušného referenčního období. </w:t>
      </w:r>
      <w:r w:rsidR="007149B5">
        <w:rPr>
          <w:rFonts w:ascii="Arial" w:hAnsi="Arial" w:cs="Arial"/>
          <w:sz w:val="22"/>
          <w:szCs w:val="22"/>
        </w:rPr>
        <w:t xml:space="preserve">Dodavatel </w:t>
      </w:r>
      <w:r w:rsidR="007149B5" w:rsidRPr="007149B5">
        <w:rPr>
          <w:rFonts w:ascii="Arial" w:hAnsi="Arial" w:cs="Arial"/>
          <w:sz w:val="22"/>
          <w:szCs w:val="22"/>
        </w:rPr>
        <w:t>bu</w:t>
      </w:r>
      <w:r w:rsidR="007149B5">
        <w:rPr>
          <w:rFonts w:ascii="Arial" w:hAnsi="Arial" w:cs="Arial"/>
          <w:sz w:val="22"/>
          <w:szCs w:val="22"/>
        </w:rPr>
        <w:t>ď návrh odsouhlasí a informuje o</w:t>
      </w:r>
      <w:r w:rsidR="007149B5" w:rsidRPr="007149B5">
        <w:rPr>
          <w:rFonts w:ascii="Arial" w:hAnsi="Arial" w:cs="Arial"/>
          <w:sz w:val="22"/>
          <w:szCs w:val="22"/>
        </w:rPr>
        <w:t>dběratele, nebo vznese písemně odůvodněné připomínky k obdrženým podkladům na přiz</w:t>
      </w:r>
      <w:r w:rsidR="007149B5">
        <w:rPr>
          <w:rFonts w:ascii="Arial" w:hAnsi="Arial" w:cs="Arial"/>
          <w:sz w:val="22"/>
          <w:szCs w:val="22"/>
        </w:rPr>
        <w:t>nání bonusu. V takovém případě se o</w:t>
      </w:r>
      <w:r w:rsidR="007149B5" w:rsidRPr="007149B5">
        <w:rPr>
          <w:rFonts w:ascii="Arial" w:hAnsi="Arial" w:cs="Arial"/>
          <w:sz w:val="22"/>
          <w:szCs w:val="22"/>
        </w:rPr>
        <w:t xml:space="preserve">dběratel </w:t>
      </w:r>
      <w:r w:rsidR="007149B5">
        <w:rPr>
          <w:rFonts w:ascii="Arial" w:hAnsi="Arial" w:cs="Arial"/>
          <w:sz w:val="22"/>
          <w:szCs w:val="22"/>
        </w:rPr>
        <w:t xml:space="preserve">s </w:t>
      </w:r>
      <w:r w:rsidR="007149B5" w:rsidRPr="007149B5">
        <w:rPr>
          <w:rFonts w:ascii="Arial" w:hAnsi="Arial" w:cs="Arial"/>
          <w:sz w:val="22"/>
          <w:szCs w:val="22"/>
        </w:rPr>
        <w:t>připomí</w:t>
      </w:r>
      <w:r w:rsidR="007149B5">
        <w:rPr>
          <w:rFonts w:ascii="Arial" w:hAnsi="Arial" w:cs="Arial"/>
          <w:sz w:val="22"/>
          <w:szCs w:val="22"/>
        </w:rPr>
        <w:t xml:space="preserve">nkami dodavatele </w:t>
      </w:r>
      <w:r w:rsidR="007149B5" w:rsidRPr="007149B5">
        <w:rPr>
          <w:rFonts w:ascii="Arial" w:hAnsi="Arial" w:cs="Arial"/>
          <w:sz w:val="22"/>
          <w:szCs w:val="22"/>
        </w:rPr>
        <w:t>odůvodně</w:t>
      </w:r>
      <w:r w:rsidR="007149B5">
        <w:rPr>
          <w:rFonts w:ascii="Arial" w:hAnsi="Arial" w:cs="Arial"/>
          <w:sz w:val="22"/>
          <w:szCs w:val="22"/>
        </w:rPr>
        <w:t>ně vypořádá, aby jej dodavatel</w:t>
      </w:r>
      <w:r w:rsidR="007149B5" w:rsidRPr="007149B5">
        <w:rPr>
          <w:rFonts w:ascii="Arial" w:hAnsi="Arial" w:cs="Arial"/>
          <w:sz w:val="22"/>
          <w:szCs w:val="22"/>
        </w:rPr>
        <w:t xml:space="preserve"> mohl odsouhlasit, popř. odpovídajícím způsobem návrh pozmění.</w:t>
      </w:r>
    </w:p>
    <w:p w:rsidR="001C2D2A" w:rsidRPr="00B05644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:rsidR="001C2D2A" w:rsidRDefault="001C2D2A" w:rsidP="00C717F0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022E3">
        <w:rPr>
          <w:rFonts w:ascii="Arial" w:hAnsi="Arial" w:cs="Arial"/>
          <w:sz w:val="22"/>
          <w:szCs w:val="22"/>
        </w:rPr>
        <w:t xml:space="preserve">Objemový bonus bude ze strany dodavatele uhrazen odběrateli formou opravného daňového dokladu, a to na základě předložených podkladů, kterými odběratel osvědčí nárok na požadovanou výši objemového bonusu. </w:t>
      </w:r>
      <w:r>
        <w:rPr>
          <w:rFonts w:ascii="Arial" w:hAnsi="Arial" w:cs="Arial"/>
          <w:sz w:val="22"/>
          <w:szCs w:val="22"/>
        </w:rPr>
        <w:t>Po vzájemném odsouhlasení přehledu odebraného zboží v příslušném referenčním období</w:t>
      </w:r>
      <w:r w:rsidR="00C717F0">
        <w:rPr>
          <w:rFonts w:ascii="Arial" w:hAnsi="Arial" w:cs="Arial"/>
          <w:sz w:val="22"/>
          <w:szCs w:val="22"/>
        </w:rPr>
        <w:t>, vystaví dodavatel ve lhůtě do 14 kalendářních dnů po tomto odsouhlasení odběrateli opravný daňový doklad</w:t>
      </w:r>
      <w:r w:rsidR="007047DC">
        <w:rPr>
          <w:rFonts w:ascii="Arial" w:hAnsi="Arial" w:cs="Arial"/>
          <w:sz w:val="22"/>
          <w:szCs w:val="22"/>
        </w:rPr>
        <w:t xml:space="preserve"> a doručí jej odběrateli.</w:t>
      </w:r>
      <w:r w:rsidR="00C717F0">
        <w:rPr>
          <w:rFonts w:ascii="Arial" w:hAnsi="Arial" w:cs="Arial"/>
          <w:sz w:val="22"/>
          <w:szCs w:val="22"/>
        </w:rPr>
        <w:t xml:space="preserve"> </w:t>
      </w:r>
      <w:r w:rsidR="007165D3">
        <w:rPr>
          <w:rFonts w:ascii="Arial" w:hAnsi="Arial" w:cs="Arial"/>
          <w:sz w:val="22"/>
          <w:szCs w:val="22"/>
        </w:rPr>
        <w:t>D</w:t>
      </w:r>
      <w:r w:rsidRPr="00C717F0">
        <w:rPr>
          <w:rFonts w:ascii="Arial" w:hAnsi="Arial" w:cs="Arial"/>
          <w:sz w:val="22"/>
          <w:szCs w:val="22"/>
        </w:rPr>
        <w:t xml:space="preserve">odavatel uhradí příslušnou částku na bankovní účet odběratele nejpozději do </w:t>
      </w:r>
      <w:r w:rsidR="008C3B7E">
        <w:rPr>
          <w:rFonts w:ascii="Arial" w:hAnsi="Arial" w:cs="Arial"/>
          <w:sz w:val="22"/>
          <w:szCs w:val="22"/>
        </w:rPr>
        <w:t>9</w:t>
      </w:r>
      <w:r w:rsidRPr="00C717F0">
        <w:rPr>
          <w:rFonts w:ascii="Arial" w:hAnsi="Arial" w:cs="Arial"/>
          <w:sz w:val="22"/>
          <w:szCs w:val="22"/>
        </w:rPr>
        <w:t xml:space="preserve">0 dnů od data </w:t>
      </w:r>
      <w:r w:rsidR="0071792E">
        <w:rPr>
          <w:rFonts w:ascii="Arial" w:hAnsi="Arial" w:cs="Arial"/>
          <w:sz w:val="22"/>
          <w:szCs w:val="22"/>
        </w:rPr>
        <w:t xml:space="preserve">potvrzení </w:t>
      </w:r>
      <w:r w:rsidRPr="00C717F0">
        <w:rPr>
          <w:rFonts w:ascii="Arial" w:hAnsi="Arial" w:cs="Arial"/>
          <w:sz w:val="22"/>
          <w:szCs w:val="22"/>
        </w:rPr>
        <w:t>vystaven</w:t>
      </w:r>
      <w:r w:rsidR="0071792E">
        <w:rPr>
          <w:rFonts w:ascii="Arial" w:hAnsi="Arial" w:cs="Arial"/>
          <w:sz w:val="22"/>
          <w:szCs w:val="22"/>
        </w:rPr>
        <w:t>ého</w:t>
      </w:r>
      <w:r w:rsidRPr="00C717F0">
        <w:rPr>
          <w:rFonts w:ascii="Arial" w:hAnsi="Arial" w:cs="Arial"/>
          <w:sz w:val="22"/>
          <w:szCs w:val="22"/>
        </w:rPr>
        <w:t xml:space="preserve"> opravného daňového dokladu</w:t>
      </w:r>
      <w:r w:rsidR="0071792E">
        <w:rPr>
          <w:rFonts w:ascii="Arial" w:hAnsi="Arial" w:cs="Arial"/>
          <w:sz w:val="22"/>
          <w:szCs w:val="22"/>
        </w:rPr>
        <w:t xml:space="preserve"> ze strany odběratele</w:t>
      </w:r>
      <w:r w:rsidR="008C3B7E">
        <w:rPr>
          <w:rFonts w:ascii="Arial" w:hAnsi="Arial" w:cs="Arial"/>
          <w:sz w:val="22"/>
          <w:szCs w:val="22"/>
        </w:rPr>
        <w:t>.</w:t>
      </w:r>
      <w:r w:rsidRPr="00C717F0">
        <w:rPr>
          <w:rFonts w:ascii="Arial" w:hAnsi="Arial" w:cs="Arial"/>
          <w:sz w:val="22"/>
          <w:szCs w:val="22"/>
        </w:rPr>
        <w:t xml:space="preserve"> Dodavatel je oprávněn odepřít uhrazení objemového bonusu, jestliže je odběratel v prodlení s úhradou byť jen části kupní ceny jakékoliv objednávky zboží. Jestliže bude odběratel v prodlení s úhradou byť jen části kupní ceny po dobu </w:t>
      </w:r>
      <w:r w:rsidR="008C3B7E">
        <w:rPr>
          <w:rFonts w:ascii="Arial" w:hAnsi="Arial" w:cs="Arial"/>
          <w:sz w:val="22"/>
          <w:szCs w:val="22"/>
        </w:rPr>
        <w:t>3</w:t>
      </w:r>
      <w:r w:rsidR="007165D3">
        <w:rPr>
          <w:rFonts w:ascii="Arial" w:hAnsi="Arial" w:cs="Arial"/>
          <w:sz w:val="22"/>
          <w:szCs w:val="22"/>
        </w:rPr>
        <w:t>0</w:t>
      </w:r>
      <w:r w:rsidRPr="00C717F0">
        <w:rPr>
          <w:rFonts w:ascii="Arial" w:hAnsi="Arial" w:cs="Arial"/>
          <w:sz w:val="22"/>
          <w:szCs w:val="22"/>
        </w:rPr>
        <w:t xml:space="preserve"> dní, není dodavatel povinen objemový bonus uhradit ani po doplacení kupní ceny.</w:t>
      </w:r>
    </w:p>
    <w:p w:rsidR="00B85EB4" w:rsidRDefault="00B85EB4" w:rsidP="0087727E">
      <w:pPr>
        <w:pStyle w:val="Odstavecseseznamem"/>
        <w:rPr>
          <w:rFonts w:ascii="Arial" w:hAnsi="Arial" w:cs="Arial"/>
          <w:sz w:val="22"/>
          <w:szCs w:val="22"/>
        </w:rPr>
      </w:pPr>
    </w:p>
    <w:p w:rsidR="00B85EB4" w:rsidRPr="00C717F0" w:rsidRDefault="00B85EB4" w:rsidP="00B85EB4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B85EB4">
        <w:rPr>
          <w:rFonts w:ascii="Arial" w:hAnsi="Arial" w:cs="Arial"/>
          <w:sz w:val="22"/>
          <w:szCs w:val="22"/>
        </w:rPr>
        <w:t xml:space="preserve">Dojde – li během vyhodnocovacího období k jakýmkoliv změnám cen </w:t>
      </w:r>
      <w:r w:rsidR="003D44B9">
        <w:rPr>
          <w:rFonts w:ascii="Arial" w:hAnsi="Arial" w:cs="Arial"/>
          <w:sz w:val="22"/>
          <w:szCs w:val="22"/>
        </w:rPr>
        <w:t>zboží</w:t>
      </w:r>
      <w:r w:rsidRPr="00B85EB4">
        <w:rPr>
          <w:rFonts w:ascii="Arial" w:hAnsi="Arial" w:cs="Arial"/>
          <w:sz w:val="22"/>
          <w:szCs w:val="22"/>
        </w:rPr>
        <w:t>, případ</w:t>
      </w:r>
      <w:r w:rsidR="003D44B9">
        <w:rPr>
          <w:rFonts w:ascii="Arial" w:hAnsi="Arial" w:cs="Arial"/>
          <w:sz w:val="22"/>
          <w:szCs w:val="22"/>
        </w:rPr>
        <w:t>ně ke změnám v portfoliu zboží</w:t>
      </w:r>
      <w:r w:rsidRPr="00B85EB4">
        <w:rPr>
          <w:rFonts w:ascii="Arial" w:hAnsi="Arial" w:cs="Arial"/>
          <w:sz w:val="22"/>
          <w:szCs w:val="22"/>
        </w:rPr>
        <w:t>, včetně změny rozhodnutí o výši a/nebo podmínk</w:t>
      </w:r>
      <w:r w:rsidR="003E2F02">
        <w:rPr>
          <w:rFonts w:ascii="Arial" w:hAnsi="Arial" w:cs="Arial"/>
          <w:sz w:val="22"/>
          <w:szCs w:val="22"/>
        </w:rPr>
        <w:t>ách hrazení kterékoliv položky zboží</w:t>
      </w:r>
      <w:r w:rsidRPr="00B85EB4">
        <w:rPr>
          <w:rFonts w:ascii="Arial" w:hAnsi="Arial" w:cs="Arial"/>
          <w:sz w:val="22"/>
          <w:szCs w:val="22"/>
        </w:rPr>
        <w:t xml:space="preserve">, vstoupí obě strany do jednání o případném </w:t>
      </w:r>
      <w:r w:rsidRPr="00B85EB4">
        <w:rPr>
          <w:rFonts w:ascii="Arial" w:hAnsi="Arial" w:cs="Arial"/>
          <w:sz w:val="22"/>
          <w:szCs w:val="22"/>
        </w:rPr>
        <w:lastRenderedPageBreak/>
        <w:t>zrevidování příloh</w:t>
      </w:r>
      <w:r w:rsidR="003E2F02">
        <w:rPr>
          <w:rFonts w:ascii="Arial" w:hAnsi="Arial" w:cs="Arial"/>
          <w:sz w:val="22"/>
          <w:szCs w:val="22"/>
        </w:rPr>
        <w:t>y č. 1</w:t>
      </w:r>
      <w:r w:rsidRPr="00B85EB4">
        <w:rPr>
          <w:rFonts w:ascii="Arial" w:hAnsi="Arial" w:cs="Arial"/>
          <w:sz w:val="22"/>
          <w:szCs w:val="22"/>
        </w:rPr>
        <w:t xml:space="preserve"> této smlouvy. Jednání o zrevidování příloh</w:t>
      </w:r>
      <w:r w:rsidR="003E2F02">
        <w:rPr>
          <w:rFonts w:ascii="Arial" w:hAnsi="Arial" w:cs="Arial"/>
          <w:sz w:val="22"/>
          <w:szCs w:val="22"/>
        </w:rPr>
        <w:t>y č. 1</w:t>
      </w:r>
      <w:r w:rsidRPr="00B85EB4">
        <w:rPr>
          <w:rFonts w:ascii="Arial" w:hAnsi="Arial" w:cs="Arial"/>
          <w:sz w:val="22"/>
          <w:szCs w:val="22"/>
        </w:rPr>
        <w:t xml:space="preserve"> podle tohoto odstavce může zahájit písemným oznámením kterákoliv strana, přičemž oznámení musí být doručeno druhé straně. Pokud strany nedosáhnou žádné dohody o zrevidování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 xml:space="preserve"> ani do 30 dní od doručení oznámení strany vyzývající druhou stranu k jednání o zrevidování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>, je strana, která k jednání o revizi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 xml:space="preserve"> vyzvala, oprávněna vypovědět písemně tuto smlouvu s účinností ke dni, kdy změna</w:t>
      </w:r>
      <w:r w:rsidR="003E2F02">
        <w:rPr>
          <w:rFonts w:ascii="Arial" w:hAnsi="Arial" w:cs="Arial"/>
          <w:sz w:val="22"/>
          <w:szCs w:val="22"/>
        </w:rPr>
        <w:t xml:space="preserve"> ceny či změna portfolia zboží</w:t>
      </w:r>
      <w:r w:rsidRPr="00B85EB4">
        <w:rPr>
          <w:rFonts w:ascii="Arial" w:hAnsi="Arial" w:cs="Arial"/>
          <w:sz w:val="22"/>
          <w:szCs w:val="22"/>
        </w:rPr>
        <w:t xml:space="preserve"> začala vyvolávat účinky, popř. ke dni pozdějšímu ve výpovědi uvedenému.</w:t>
      </w:r>
    </w:p>
    <w:p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B05644" w:rsidRDefault="001C2D2A" w:rsidP="00E506B4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06B4">
        <w:rPr>
          <w:rFonts w:ascii="Arial" w:hAnsi="Arial" w:cs="Arial"/>
          <w:sz w:val="22"/>
          <w:szCs w:val="22"/>
        </w:rPr>
        <w:t xml:space="preserve">Smluvní strany souhlasně prohlašují, že touto smlouvou není odběratel jakkoli zavázán odebírat zboží od dodavatele v jakémkoli množství a nadále disponuje absolutní smluvní volností co do výběru léčivých přípravků i co do výběru jejich dodavatelů a distributorů. </w:t>
      </w:r>
    </w:p>
    <w:p w:rsidR="001C2D2A" w:rsidRDefault="001C2D2A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</w:p>
    <w:p w:rsidR="001C2D2A" w:rsidRPr="00E506B4" w:rsidRDefault="0041428E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C2D2A">
        <w:rPr>
          <w:rFonts w:ascii="Arial" w:hAnsi="Arial" w:cs="Arial"/>
          <w:sz w:val="22"/>
          <w:szCs w:val="22"/>
        </w:rPr>
        <w:t>.</w:t>
      </w:r>
      <w:r w:rsidR="001C2D2A">
        <w:rPr>
          <w:rFonts w:ascii="Arial" w:hAnsi="Arial" w:cs="Arial"/>
          <w:sz w:val="22"/>
          <w:szCs w:val="22"/>
        </w:rPr>
        <w:tab/>
      </w:r>
      <w:r w:rsidR="001C2D2A" w:rsidRPr="00E506B4">
        <w:rPr>
          <w:rFonts w:ascii="Arial" w:hAnsi="Arial" w:cs="Arial"/>
          <w:sz w:val="22"/>
          <w:szCs w:val="22"/>
        </w:rPr>
        <w:t>Smluvní strany dále prohlašují, že účelem této smlouvy je výlučně poskytnutí množstevního zvýhodnění ve formě objemového bonusu, který zohledňuje ekonomickou úsporu na straně dodavatele danou množstvím zboží odebraného odběratelem a objemový bonus není poskytován jako podnět k doporučování, předepisování, nákupu</w:t>
      </w:r>
      <w:r w:rsidR="0064008D">
        <w:rPr>
          <w:rFonts w:ascii="Arial" w:hAnsi="Arial" w:cs="Arial"/>
          <w:sz w:val="22"/>
          <w:szCs w:val="22"/>
        </w:rPr>
        <w:t>,</w:t>
      </w:r>
      <w:r w:rsidR="001C2D2A" w:rsidRPr="00E506B4">
        <w:rPr>
          <w:rFonts w:ascii="Arial" w:hAnsi="Arial" w:cs="Arial"/>
          <w:sz w:val="22"/>
          <w:szCs w:val="22"/>
        </w:rPr>
        <w:t xml:space="preserve"> dodávání, prodeji </w:t>
      </w:r>
      <w:r w:rsidR="0064008D">
        <w:rPr>
          <w:rFonts w:ascii="Arial" w:hAnsi="Arial" w:cs="Arial"/>
          <w:sz w:val="22"/>
          <w:szCs w:val="22"/>
        </w:rPr>
        <w:t xml:space="preserve">nebo reklamě </w:t>
      </w:r>
      <w:r w:rsidR="001C2D2A" w:rsidRPr="00E506B4">
        <w:rPr>
          <w:rFonts w:ascii="Arial" w:hAnsi="Arial" w:cs="Arial"/>
          <w:sz w:val="22"/>
          <w:szCs w:val="22"/>
        </w:rPr>
        <w:t xml:space="preserve">zboží dodavatele. </w:t>
      </w:r>
    </w:p>
    <w:p w:rsidR="001C2D2A" w:rsidRPr="003F06EF" w:rsidRDefault="001C2D2A" w:rsidP="003F06EF">
      <w:pPr>
        <w:ind w:left="709" w:hanging="709"/>
        <w:rPr>
          <w:rFonts w:ascii="Arial" w:hAnsi="Arial" w:cs="Arial"/>
          <w:sz w:val="22"/>
          <w:szCs w:val="22"/>
        </w:rPr>
      </w:pPr>
    </w:p>
    <w:p w:rsidR="006D43DF" w:rsidRPr="00B05644" w:rsidRDefault="001C2D2A" w:rsidP="00C523CD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IV.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Mlčenlivost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se zavazují, že bez předchozího písemného souhlasu druhé smluvní strany nezveřejní či jiným způsobem nezpřístupní třetím osobám podmínky této smlouvy ani jiné informace o vzájemných obchodních vztazích, a to i po skončení či zániku této smlouvy.</w:t>
      </w:r>
    </w:p>
    <w:p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Každá ze smluvních stran zpřístupní obsah této smlouvy a informace týkající se jejího předmětu pouze těm zaměstnancům, pracovníkům, společníkům, akcionářům a odborným poradcům, kteří ji potřebují znát v souvislosti s plněním úkolů dle této smlouvy.</w:t>
      </w:r>
    </w:p>
    <w:p w:rsidR="001C2D2A" w:rsidRPr="00B05644" w:rsidRDefault="001C2D2A" w:rsidP="008D36F3">
      <w:pPr>
        <w:pStyle w:val="Odstavecseseznamem"/>
        <w:rPr>
          <w:rFonts w:ascii="Arial" w:hAnsi="Arial" w:cs="Arial"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hanging="1068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Povinnost mlčenlivosti se nevztahuje na informace, které:</w:t>
      </w:r>
    </w:p>
    <w:p w:rsidR="001C2D2A" w:rsidRPr="00B05644" w:rsidRDefault="001C2D2A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jsou veřejně známé;</w:t>
      </w:r>
    </w:p>
    <w:p w:rsidR="001C2D2A" w:rsidRPr="00B05644" w:rsidRDefault="001C2D2A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</w:t>
      </w:r>
      <w:r w:rsidR="00FC6E67">
        <w:rPr>
          <w:rFonts w:ascii="Arial" w:hAnsi="Arial" w:cs="Arial"/>
          <w:sz w:val="22"/>
          <w:szCs w:val="22"/>
        </w:rPr>
        <w:t xml:space="preserve">e stanou veřejně známými jinak </w:t>
      </w:r>
      <w:r w:rsidRPr="00B05644">
        <w:rPr>
          <w:rFonts w:ascii="Arial" w:hAnsi="Arial" w:cs="Arial"/>
          <w:sz w:val="22"/>
          <w:szCs w:val="22"/>
        </w:rPr>
        <w:t>než porušením ustanovení této smlouvy;</w:t>
      </w:r>
    </w:p>
    <w:p w:rsidR="001C2D2A" w:rsidRPr="00B05644" w:rsidRDefault="001C2D2A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jsou oprávněně v dispozici druhé smluvní strany před jejich poskytnutím této smluvní straně;</w:t>
      </w:r>
    </w:p>
    <w:p w:rsidR="001C2D2A" w:rsidRPr="00B05644" w:rsidRDefault="001C2D2A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strana získá od třetí osoby, která není vázána povinností mlčenlivosti.</w:t>
      </w:r>
    </w:p>
    <w:p w:rsidR="001C2D2A" w:rsidRPr="00B05644" w:rsidRDefault="001C2D2A" w:rsidP="008D36F3">
      <w:pPr>
        <w:pStyle w:val="Zkladntext2"/>
        <w:ind w:left="1080"/>
        <w:rPr>
          <w:rFonts w:ascii="Arial" w:hAnsi="Arial" w:cs="Arial"/>
          <w:b/>
          <w:sz w:val="22"/>
          <w:szCs w:val="22"/>
        </w:rPr>
      </w:pPr>
    </w:p>
    <w:p w:rsidR="001C2D2A" w:rsidRPr="00FC6E67" w:rsidRDefault="001C2D2A" w:rsidP="00A31CEA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7165D3">
        <w:rPr>
          <w:rFonts w:ascii="Arial" w:hAnsi="Arial" w:cs="Arial"/>
          <w:sz w:val="22"/>
          <w:szCs w:val="22"/>
        </w:rPr>
        <w:t xml:space="preserve">Smluvní strany jsou dále povinny poskytovat informace v rozsahu a způsobem, který </w:t>
      </w:r>
      <w:r w:rsidRPr="00C523CD">
        <w:rPr>
          <w:rFonts w:ascii="Arial" w:hAnsi="Arial" w:cs="Arial"/>
          <w:sz w:val="22"/>
          <w:szCs w:val="22"/>
        </w:rPr>
        <w:t>vyžadují obecně závazné právní předpisy nebo na základě rozhodnutí soudů či správních orgánů.</w:t>
      </w:r>
      <w:r w:rsidRPr="00C523CD">
        <w:rPr>
          <w:rFonts w:ascii="Arial" w:hAnsi="Arial" w:cs="Arial"/>
          <w:sz w:val="20"/>
        </w:rPr>
        <w:t xml:space="preserve"> </w:t>
      </w:r>
    </w:p>
    <w:p w:rsidR="00FC6E67" w:rsidRPr="007165D3" w:rsidRDefault="00FC6E67" w:rsidP="00FC6E67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1C2D2A" w:rsidRDefault="001C2D2A" w:rsidP="003F06EF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bere na vědomí, že odběratel je povinným subjektem podle </w:t>
      </w:r>
      <w:r w:rsidRPr="00FF7921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(„zákon o registru smluv“)</w:t>
      </w:r>
      <w:r>
        <w:rPr>
          <w:rFonts w:ascii="Arial" w:hAnsi="Arial" w:cs="Arial"/>
          <w:sz w:val="22"/>
          <w:szCs w:val="22"/>
        </w:rPr>
        <w:t xml:space="preserve">. </w:t>
      </w:r>
      <w:r w:rsidRPr="000948DC">
        <w:rPr>
          <w:rFonts w:ascii="Arial" w:hAnsi="Arial" w:cs="Arial"/>
          <w:sz w:val="22"/>
          <w:szCs w:val="22"/>
        </w:rPr>
        <w:t xml:space="preserve">Smluvní strany dále konstatují, že výpočet objemového bonusu v příloze č. 1 této smlouvy spadá do rozsahu výjimek z povinnosti uveřejnění dle § 3 odst. </w:t>
      </w:r>
      <w:r w:rsidR="00E76AD9" w:rsidRPr="00E76AD9">
        <w:rPr>
          <w:rFonts w:ascii="Arial" w:hAnsi="Arial" w:cs="Arial"/>
          <w:sz w:val="22"/>
          <w:szCs w:val="22"/>
        </w:rPr>
        <w:t>2 písm. b) zákona o registru smluv.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2D2A" w:rsidRPr="00814113" w:rsidRDefault="001C2D2A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1C2D2A" w:rsidRDefault="001C2D2A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  <w:r w:rsidRPr="004728F4">
        <w:rPr>
          <w:rFonts w:ascii="Arial" w:hAnsi="Arial" w:cs="Arial"/>
          <w:sz w:val="22"/>
          <w:szCs w:val="22"/>
        </w:rPr>
        <w:t>Odběratel je v této souvislosti povinen nezveřejnit informace, které jsou předmětem obchodního tajemství podle § 504 občanského zákoníku, není-li to v daném případě v rozporu se zákonem o registru smluv.</w:t>
      </w:r>
      <w:r w:rsidR="007165D3">
        <w:rPr>
          <w:rFonts w:ascii="Arial" w:hAnsi="Arial" w:cs="Arial"/>
          <w:sz w:val="22"/>
          <w:szCs w:val="22"/>
        </w:rPr>
        <w:t xml:space="preserve"> V této souvislosti smluvní strany shodně konstatují, že přílohu č. 1 této smlouvy považují za obchodní tajemství.</w:t>
      </w:r>
      <w:r w:rsidRPr="004728F4">
        <w:rPr>
          <w:rFonts w:ascii="Arial" w:hAnsi="Arial" w:cs="Arial"/>
          <w:sz w:val="22"/>
          <w:szCs w:val="22"/>
        </w:rPr>
        <w:t xml:space="preserve"> </w:t>
      </w:r>
    </w:p>
    <w:p w:rsidR="001C2D2A" w:rsidRPr="004728F4" w:rsidRDefault="001C2D2A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C523CD" w:rsidRDefault="001C2D2A" w:rsidP="00C523C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814113">
        <w:rPr>
          <w:rFonts w:ascii="Arial" w:hAnsi="Arial" w:cs="Arial"/>
          <w:sz w:val="22"/>
          <w:szCs w:val="22"/>
        </w:rPr>
        <w:t xml:space="preserve"> je povinen uveřejnit smlouvu v registru smluv </w:t>
      </w:r>
      <w:r>
        <w:rPr>
          <w:rFonts w:ascii="Arial" w:hAnsi="Arial" w:cs="Arial"/>
          <w:sz w:val="22"/>
          <w:szCs w:val="22"/>
        </w:rPr>
        <w:t>ve lhůtách stanovených zákonem o registru smluv</w:t>
      </w:r>
      <w:r w:rsidRPr="00814113">
        <w:rPr>
          <w:rFonts w:ascii="Arial" w:hAnsi="Arial" w:cs="Arial"/>
          <w:sz w:val="22"/>
          <w:szCs w:val="22"/>
        </w:rPr>
        <w:t xml:space="preserve">. O zveřejnění je povinen bez zbytečného odkladu informovat </w:t>
      </w:r>
      <w:r>
        <w:rPr>
          <w:rFonts w:ascii="Arial" w:hAnsi="Arial" w:cs="Arial"/>
          <w:sz w:val="22"/>
          <w:szCs w:val="22"/>
        </w:rPr>
        <w:t>dodavatele</w:t>
      </w:r>
      <w:r w:rsidRPr="00814113">
        <w:rPr>
          <w:rFonts w:ascii="Arial" w:hAnsi="Arial" w:cs="Arial"/>
          <w:sz w:val="22"/>
          <w:szCs w:val="22"/>
        </w:rPr>
        <w:t xml:space="preserve"> a poskytnout mu k tomu odpovídající důkazy (např. identifikační číslo záznamu v registru smluv).</w:t>
      </w:r>
    </w:p>
    <w:p w:rsidR="00C523CD" w:rsidRDefault="00C523CD" w:rsidP="00C523C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C523CD" w:rsidRPr="00C523CD" w:rsidRDefault="00C523CD" w:rsidP="00A31CEA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C523CD">
        <w:rPr>
          <w:rFonts w:ascii="Arial" w:hAnsi="Arial" w:cs="Arial"/>
          <w:sz w:val="22"/>
          <w:szCs w:val="22"/>
        </w:rPr>
        <w:t xml:space="preserve">V případě, že kterákoliv strana poruší jakoukoliv povinnost uloženou v tomto článku, je druhá strana oprávněna odstoupit od této smlouvy, a to písemným oznámením doručeným straně, která povinnost podle tohoto ustanovení porušila. Doručením takového oznámení je tato smlouva ukončena od počátku, a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C523CD">
        <w:rPr>
          <w:rFonts w:ascii="Arial" w:hAnsi="Arial" w:cs="Arial"/>
          <w:sz w:val="22"/>
          <w:szCs w:val="22"/>
        </w:rPr>
        <w:t>je opr</w:t>
      </w:r>
      <w:r>
        <w:rPr>
          <w:rFonts w:ascii="Arial" w:hAnsi="Arial" w:cs="Arial"/>
          <w:sz w:val="22"/>
          <w:szCs w:val="22"/>
        </w:rPr>
        <w:t>ávněn žádat, aby mu o</w:t>
      </w:r>
      <w:r w:rsidRPr="00C523CD">
        <w:rPr>
          <w:rFonts w:ascii="Arial" w:hAnsi="Arial" w:cs="Arial"/>
          <w:sz w:val="22"/>
          <w:szCs w:val="22"/>
        </w:rPr>
        <w:t>dběratel ve lhůtě 15 dní od doručení takového oznámení vrátil veškeré vyplacené bonusy či jejich části.</w:t>
      </w:r>
    </w:p>
    <w:p w:rsidR="001C2D2A" w:rsidRPr="00B05644" w:rsidRDefault="001C2D2A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V.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Všeobecná ustanovení</w:t>
      </w:r>
    </w:p>
    <w:p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Ve všech ostatních otázkách neupravených touto smlouvou se právní vztah založený touto smlouvou řídí českým právním řádem, zejména ustanoveními zákona č. 89/2012 Sb., občanského zákoníku, ve znění pozdějších předpisů. Tato smlouva obsahuje úplnou dohodu smluvních stran ve věci předmětu této smlouvy, a nahrazuje veškeré ostatní písemné či ústní dohody učiněné ve věci předmětu této smlouvy.</w:t>
      </w:r>
    </w:p>
    <w:p w:rsidR="001C2D2A" w:rsidRPr="00B05644" w:rsidRDefault="001C2D2A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si ujednaly, že v případě změn kontaktních údajů je příslušná smluvní strana povinna bezodkladně oznámit změnu druhé smluvní straně. V případě, že tak neučiní, považuje se za platné doručení korespondence na poslední známou kontaktní adresu příslušné smluvní strany.</w:t>
      </w:r>
    </w:p>
    <w:p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64008D" w:rsidRDefault="001C2D2A" w:rsidP="0064008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Smlouva se uzavírá na dobu </w:t>
      </w:r>
      <w:r>
        <w:rPr>
          <w:rFonts w:ascii="Arial" w:hAnsi="Arial" w:cs="Arial"/>
          <w:sz w:val="22"/>
          <w:szCs w:val="22"/>
        </w:rPr>
        <w:t>neurčitou.</w:t>
      </w:r>
      <w:r w:rsidRPr="00B05644">
        <w:rPr>
          <w:rFonts w:ascii="Arial" w:hAnsi="Arial" w:cs="Arial"/>
          <w:sz w:val="22"/>
          <w:szCs w:val="22"/>
        </w:rPr>
        <w:t xml:space="preserve"> Každá ze smluvních stran je oprávněna tuto smlouvu vypovědět </w:t>
      </w:r>
      <w:r>
        <w:rPr>
          <w:rFonts w:ascii="Arial" w:hAnsi="Arial" w:cs="Arial"/>
          <w:sz w:val="22"/>
          <w:szCs w:val="22"/>
        </w:rPr>
        <w:t xml:space="preserve">písemnou výpovědí </w:t>
      </w:r>
      <w:r w:rsidRPr="00B05644">
        <w:rPr>
          <w:rFonts w:ascii="Arial" w:hAnsi="Arial" w:cs="Arial"/>
          <w:sz w:val="22"/>
          <w:szCs w:val="22"/>
        </w:rPr>
        <w:t xml:space="preserve">i bez uvedení důvodu doručenou druhé smluvní straně. Výpovědní doba činí </w:t>
      </w:r>
      <w:r>
        <w:rPr>
          <w:rFonts w:ascii="Arial" w:hAnsi="Arial" w:cs="Arial"/>
          <w:sz w:val="22"/>
          <w:szCs w:val="22"/>
        </w:rPr>
        <w:t xml:space="preserve">15 dní a </w:t>
      </w:r>
      <w:r w:rsidRPr="00B05644">
        <w:rPr>
          <w:rFonts w:ascii="Arial" w:hAnsi="Arial" w:cs="Arial"/>
          <w:sz w:val="22"/>
          <w:szCs w:val="22"/>
        </w:rPr>
        <w:t xml:space="preserve">počíná běžet prvním dnem kalendářního měsíce následujícího po </w:t>
      </w:r>
      <w:r>
        <w:rPr>
          <w:rFonts w:ascii="Arial" w:hAnsi="Arial" w:cs="Arial"/>
          <w:sz w:val="22"/>
          <w:szCs w:val="22"/>
        </w:rPr>
        <w:t>doručení druhé smluvní straně.</w:t>
      </w:r>
    </w:p>
    <w:p w:rsidR="0064008D" w:rsidRPr="0064008D" w:rsidRDefault="0064008D" w:rsidP="0064008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64008D" w:rsidRPr="0064008D" w:rsidRDefault="0064008D" w:rsidP="0064008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64008D">
        <w:rPr>
          <w:rFonts w:ascii="Arial" w:hAnsi="Arial" w:cs="Arial"/>
          <w:sz w:val="22"/>
          <w:szCs w:val="22"/>
        </w:rPr>
        <w:t xml:space="preserve">Tato smlouva může být ukončena také písemnou dohodou smluvních stran.   </w:t>
      </w:r>
    </w:p>
    <w:p w:rsidR="0064008D" w:rsidRPr="0064008D" w:rsidRDefault="0064008D" w:rsidP="0064008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64008D" w:rsidRPr="0064008D" w:rsidRDefault="0064008D" w:rsidP="0064008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64008D">
        <w:rPr>
          <w:rFonts w:ascii="Arial" w:hAnsi="Arial" w:cs="Arial"/>
          <w:sz w:val="22"/>
          <w:szCs w:val="22"/>
        </w:rPr>
        <w:t>Tato smlouva nabývá platnosti dnem jejího podpisu oběma smluvními stranami a účinnosti dnem uveřejnění v registru smluv.</w:t>
      </w:r>
    </w:p>
    <w:p w:rsidR="0064008D" w:rsidRPr="0064008D" w:rsidRDefault="0064008D" w:rsidP="0064008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64008D" w:rsidRPr="0064008D" w:rsidRDefault="0064008D" w:rsidP="0064008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64008D">
        <w:rPr>
          <w:rFonts w:ascii="Arial" w:hAnsi="Arial" w:cs="Arial"/>
          <w:sz w:val="22"/>
          <w:szCs w:val="22"/>
        </w:rPr>
        <w:t>Smluvní strany se výslovně dohodly, že ujednání této Smlouvy se použijí i na právní poměry vzniklé mezi smluvními stranami této Smlouvy od 1. 1. 2021 do okamžiku nabytí účinnosti této Smlouvy dle registru smluv.</w:t>
      </w:r>
    </w:p>
    <w:p w:rsidR="001C2D2A" w:rsidRPr="0064008D" w:rsidRDefault="001C2D2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:rsidR="001C2D2A" w:rsidRPr="0064008D" w:rsidRDefault="001C2D2A" w:rsidP="00376C9A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64008D">
        <w:rPr>
          <w:rFonts w:ascii="Arial" w:hAnsi="Arial" w:cs="Arial"/>
          <w:sz w:val="22"/>
          <w:szCs w:val="22"/>
        </w:rPr>
        <w:t>Odpověď smluvní strany této smlouvy, podle § 1740 odst. 3 občanského zákoníku, s dodatkem nebo odchylkou, není přijetím nabídky na uzavření této smlouvy, ani když podstatně nemění podmínky nabídky.</w:t>
      </w:r>
    </w:p>
    <w:p w:rsidR="001C2D2A" w:rsidRPr="00B05644" w:rsidRDefault="001C2D2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:rsidR="001C2D2A" w:rsidRPr="00B05644" w:rsidRDefault="001C2D2A" w:rsidP="00130FC1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t>Není-li v této smlouvě uvedeno jinak, nejsou smluvní strany oprávněny práva a závazky z této smlouvy převádět na třetí osoby bez souhlasu druhé smluvní strany</w:t>
      </w:r>
      <w:r>
        <w:rPr>
          <w:rFonts w:ascii="Arial" w:hAnsi="Arial" w:cs="Arial"/>
          <w:sz w:val="20"/>
        </w:rPr>
        <w:t>.</w:t>
      </w:r>
      <w:r w:rsidRPr="00B05644">
        <w:rPr>
          <w:rFonts w:ascii="Arial" w:hAnsi="Arial" w:cs="Arial"/>
          <w:sz w:val="22"/>
          <w:szCs w:val="22"/>
        </w:rPr>
        <w:t xml:space="preserve"> </w:t>
      </w:r>
    </w:p>
    <w:p w:rsidR="001C2D2A" w:rsidRDefault="001C2D2A" w:rsidP="00130FC1">
      <w:pPr>
        <w:pStyle w:val="Zkladntext2"/>
        <w:rPr>
          <w:rFonts w:ascii="Arial" w:hAnsi="Arial" w:cs="Arial"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Změny a doplňky této smlouvy</w:t>
      </w:r>
      <w:r>
        <w:rPr>
          <w:rFonts w:ascii="Arial" w:hAnsi="Arial" w:cs="Arial"/>
          <w:sz w:val="22"/>
          <w:szCs w:val="22"/>
        </w:rPr>
        <w:t>, vč. jejích příloh,</w:t>
      </w:r>
      <w:r w:rsidRPr="00B05644">
        <w:rPr>
          <w:rFonts w:ascii="Arial" w:hAnsi="Arial" w:cs="Arial"/>
          <w:sz w:val="22"/>
          <w:szCs w:val="22"/>
        </w:rPr>
        <w:t xml:space="preserve"> mohou být činěny pouze formou číslovaných písemných dodatků podepsaných smluvními stranami. </w:t>
      </w:r>
    </w:p>
    <w:p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Smlouva je vyhotovena ve dvou stejnopisech, přičemž každá ze smluvních stran obdrží po jednom.</w:t>
      </w:r>
    </w:p>
    <w:p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1C2D2A" w:rsidRPr="0076639F" w:rsidRDefault="00E76AD9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76639F">
        <w:rPr>
          <w:rFonts w:ascii="Arial" w:hAnsi="Arial" w:cs="Arial"/>
          <w:sz w:val="22"/>
          <w:szCs w:val="22"/>
        </w:rPr>
        <w:lastRenderedPageBreak/>
        <w:t>Objemový bonus sjednaný podle této smlouvy bude odběrateli poskytován za dodávky zboží realizované v</w:t>
      </w:r>
      <w:r w:rsidR="001C2D2A" w:rsidRPr="0076639F">
        <w:rPr>
          <w:rFonts w:ascii="Arial" w:hAnsi="Arial" w:cs="Arial"/>
          <w:sz w:val="22"/>
          <w:szCs w:val="22"/>
        </w:rPr>
        <w:t> </w:t>
      </w:r>
      <w:r w:rsidRPr="0076639F">
        <w:rPr>
          <w:rFonts w:ascii="Arial" w:hAnsi="Arial" w:cs="Arial"/>
          <w:sz w:val="22"/>
          <w:szCs w:val="22"/>
        </w:rPr>
        <w:t>referenčním období, uvedeném v</w:t>
      </w:r>
      <w:r w:rsidR="001C2D2A" w:rsidRPr="0076639F">
        <w:rPr>
          <w:rFonts w:ascii="Arial" w:hAnsi="Arial" w:cs="Arial"/>
          <w:sz w:val="22"/>
          <w:szCs w:val="22"/>
        </w:rPr>
        <w:t> </w:t>
      </w:r>
      <w:r w:rsidRPr="0076639F">
        <w:rPr>
          <w:rFonts w:ascii="Arial" w:hAnsi="Arial" w:cs="Arial"/>
          <w:sz w:val="22"/>
          <w:szCs w:val="22"/>
        </w:rPr>
        <w:t>příloze č. 1</w:t>
      </w:r>
      <w:r w:rsidR="001C2D2A" w:rsidRPr="0076639F">
        <w:rPr>
          <w:rFonts w:ascii="Arial" w:hAnsi="Arial" w:cs="Arial"/>
          <w:sz w:val="22"/>
          <w:szCs w:val="22"/>
        </w:rPr>
        <w:t>.</w:t>
      </w:r>
    </w:p>
    <w:p w:rsidR="001C2D2A" w:rsidRDefault="001C2D2A" w:rsidP="000E50D2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0E50D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prohlašují, že si smlouvu před jejím podepsáním přečetly a že její obsah odpovídá jejich pravé, vážné a svobodné vůli, což stvrzují svými níže připojenými podpisy.</w:t>
      </w:r>
    </w:p>
    <w:p w:rsidR="0076639F" w:rsidRDefault="0076639F" w:rsidP="0076639F">
      <w:pPr>
        <w:pStyle w:val="Odstavecseseznamem"/>
        <w:rPr>
          <w:rFonts w:ascii="Arial" w:hAnsi="Arial" w:cs="Arial"/>
          <w:sz w:val="22"/>
          <w:szCs w:val="22"/>
        </w:rPr>
      </w:pPr>
    </w:p>
    <w:p w:rsidR="0076639F" w:rsidRDefault="0076639F" w:rsidP="00287D2F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t>Tato smlouva i její výklad se řídí českým právním řádem. Případné spory se zavazují smluvní strany řešit smírnou cestou a v případě, že nedojde k dohodě, budou spory řešeny věcně a místně příslušnými soudy České republiky.</w:t>
      </w:r>
    </w:p>
    <w:p w:rsidR="00287D2F" w:rsidRPr="00287D2F" w:rsidRDefault="00287D2F" w:rsidP="00287D2F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287D2F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t>Nedílnou součástí této smlouvy j</w:t>
      </w:r>
      <w:r w:rsidR="00271378">
        <w:rPr>
          <w:rFonts w:ascii="Arial" w:hAnsi="Arial" w:cs="Arial"/>
          <w:sz w:val="22"/>
          <w:szCs w:val="22"/>
        </w:rPr>
        <w:t>e</w:t>
      </w:r>
      <w:r w:rsidRPr="00287D2F">
        <w:rPr>
          <w:rFonts w:ascii="Arial" w:hAnsi="Arial" w:cs="Arial"/>
          <w:sz w:val="22"/>
          <w:szCs w:val="22"/>
        </w:rPr>
        <w:t xml:space="preserve"> Příloha č. </w:t>
      </w:r>
      <w:r w:rsidR="006D43DF">
        <w:rPr>
          <w:rFonts w:ascii="Arial" w:hAnsi="Arial" w:cs="Arial"/>
          <w:sz w:val="22"/>
          <w:szCs w:val="22"/>
        </w:rPr>
        <w:t>1</w:t>
      </w:r>
      <w:r w:rsidR="00271378">
        <w:rPr>
          <w:rFonts w:ascii="Arial" w:hAnsi="Arial" w:cs="Arial"/>
          <w:sz w:val="22"/>
          <w:szCs w:val="22"/>
        </w:rPr>
        <w:t>.</w:t>
      </w:r>
    </w:p>
    <w:p w:rsidR="0041428E" w:rsidRDefault="0041428E" w:rsidP="0041428E">
      <w:pPr>
        <w:pStyle w:val="Odstavecseseznamem"/>
        <w:rPr>
          <w:rFonts w:ascii="Arial" w:hAnsi="Arial" w:cs="Arial"/>
          <w:sz w:val="22"/>
          <w:szCs w:val="22"/>
        </w:rPr>
      </w:pPr>
    </w:p>
    <w:p w:rsidR="0041428E" w:rsidRPr="00287D2F" w:rsidRDefault="0041428E" w:rsidP="004142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:rsidR="00FB790D" w:rsidRDefault="00FB790D" w:rsidP="00432AB9">
      <w:pPr>
        <w:pStyle w:val="Zkladntext2"/>
        <w:rPr>
          <w:rFonts w:ascii="Arial" w:hAnsi="Arial" w:cs="Arial"/>
          <w:sz w:val="22"/>
          <w:szCs w:val="22"/>
        </w:rPr>
      </w:pPr>
    </w:p>
    <w:p w:rsidR="00432AB9" w:rsidRPr="00B05644" w:rsidRDefault="00432AB9" w:rsidP="00432AB9">
      <w:pPr>
        <w:pStyle w:val="Zkladntext2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 xml:space="preserve">V Praze, dne </w:t>
      </w:r>
      <w:r w:rsidR="000705B2">
        <w:rPr>
          <w:rFonts w:ascii="Arial" w:hAnsi="Arial" w:cs="Arial"/>
          <w:b/>
          <w:sz w:val="22"/>
          <w:szCs w:val="22"/>
        </w:rPr>
        <w:t>11. 2. 2021</w:t>
      </w:r>
      <w:r w:rsidRPr="00B05644">
        <w:rPr>
          <w:rFonts w:ascii="Arial" w:hAnsi="Arial" w:cs="Arial"/>
          <w:b/>
          <w:sz w:val="22"/>
          <w:szCs w:val="22"/>
        </w:rPr>
        <w:tab/>
      </w:r>
      <w:r w:rsidRPr="00B05644">
        <w:rPr>
          <w:rFonts w:ascii="Arial" w:hAnsi="Arial" w:cs="Arial"/>
          <w:b/>
          <w:sz w:val="22"/>
          <w:szCs w:val="22"/>
        </w:rPr>
        <w:tab/>
      </w:r>
      <w:r w:rsidRPr="00B05644"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D5E4F">
        <w:rPr>
          <w:rFonts w:ascii="Arial" w:hAnsi="Arial" w:cs="Arial"/>
          <w:b/>
          <w:sz w:val="22"/>
          <w:szCs w:val="22"/>
        </w:rPr>
        <w:t>V Brně</w:t>
      </w:r>
      <w:r w:rsidRPr="00B05644">
        <w:rPr>
          <w:rFonts w:ascii="Arial" w:hAnsi="Arial" w:cs="Arial"/>
          <w:b/>
          <w:sz w:val="22"/>
          <w:szCs w:val="22"/>
        </w:rPr>
        <w:t xml:space="preserve">, dne </w:t>
      </w:r>
      <w:r w:rsidR="000705B2">
        <w:rPr>
          <w:rFonts w:ascii="Arial" w:hAnsi="Arial" w:cs="Arial"/>
          <w:b/>
          <w:sz w:val="22"/>
          <w:szCs w:val="22"/>
        </w:rPr>
        <w:t>23. 2. 2021</w:t>
      </w:r>
    </w:p>
    <w:p w:rsidR="00432AB9" w:rsidRDefault="00432AB9" w:rsidP="00432AB9">
      <w:pPr>
        <w:jc w:val="both"/>
        <w:rPr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85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736"/>
      </w:tblGrid>
      <w:tr w:rsidR="00432AB9" w:rsidRPr="004D247D" w:rsidTr="00B00433">
        <w:tc>
          <w:tcPr>
            <w:tcW w:w="4890" w:type="dxa"/>
          </w:tcPr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954DB6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7165D3" w:rsidRPr="004D247D" w:rsidRDefault="007165D3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PHOENIX lékárenský velkoobchod, s.r.o.</w:t>
            </w:r>
          </w:p>
          <w:p w:rsidR="00432AB9" w:rsidRDefault="007165D3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Michaela Steklá, prokuristka</w:t>
            </w:r>
          </w:p>
          <w:p w:rsidR="002D5E4F" w:rsidRDefault="002D5E4F" w:rsidP="00A3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5E4F" w:rsidRDefault="002D5E4F" w:rsidP="00A3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D5E4F" w:rsidRDefault="002D5E4F" w:rsidP="00A3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2D5E4F" w:rsidRDefault="002D5E4F" w:rsidP="00A3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PHOENIX lékárenský velkoobchod, s.r.o.</w:t>
            </w:r>
          </w:p>
          <w:p w:rsidR="007165D3" w:rsidRPr="004D247D" w:rsidRDefault="001914AA" w:rsidP="00A3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Dvořák</w:t>
            </w:r>
            <w:r w:rsidR="002D5E4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54DB6">
              <w:rPr>
                <w:rFonts w:ascii="Arial" w:hAnsi="Arial" w:cs="Arial"/>
                <w:sz w:val="22"/>
                <w:szCs w:val="22"/>
              </w:rPr>
              <w:t>prokurista</w:t>
            </w:r>
          </w:p>
        </w:tc>
        <w:tc>
          <w:tcPr>
            <w:tcW w:w="4736" w:type="dxa"/>
          </w:tcPr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D44B70" w:rsidRDefault="00D44B70" w:rsidP="00DF0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Fakultní nemocnice Brno</w:t>
            </w:r>
          </w:p>
          <w:p w:rsidR="00D44B70" w:rsidRDefault="004D3F28" w:rsidP="00DF0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 </w:t>
            </w:r>
            <w:r w:rsidR="00D44B70">
              <w:rPr>
                <w:rFonts w:ascii="Arial" w:hAnsi="Arial" w:cs="Arial"/>
                <w:sz w:val="22"/>
                <w:szCs w:val="22"/>
              </w:rPr>
              <w:t xml:space="preserve">MUDr. Jaroslavem Štěrba, Ph.D., </w:t>
            </w:r>
          </w:p>
          <w:p w:rsidR="00734597" w:rsidRPr="004D247D" w:rsidRDefault="00D44B70" w:rsidP="00DF05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:rsidR="00432AB9" w:rsidRDefault="00432AB9" w:rsidP="00432AB9">
      <w:pPr>
        <w:rPr>
          <w:rFonts w:ascii="Arial" w:hAnsi="Arial" w:cs="Arial"/>
          <w:b/>
          <w:bCs/>
          <w:sz w:val="22"/>
          <w:szCs w:val="22"/>
        </w:rPr>
      </w:pPr>
    </w:p>
    <w:p w:rsidR="00CF50BA" w:rsidRDefault="0054339B" w:rsidP="00432A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právní odd. schválil: </w:t>
      </w:r>
    </w:p>
    <w:p w:rsidR="00FB790D" w:rsidRPr="0054339B" w:rsidRDefault="0054339B" w:rsidP="00432A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STANDARD</w:t>
      </w:r>
    </w:p>
    <w:p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:rsidR="001C2D2A" w:rsidRPr="000705B2" w:rsidRDefault="001C2D2A" w:rsidP="000705B2">
      <w:pPr>
        <w:pStyle w:val="Zkladntext2"/>
        <w:rPr>
          <w:rFonts w:ascii="Arial" w:hAnsi="Arial" w:cs="Arial"/>
          <w:b/>
          <w:sz w:val="22"/>
          <w:szCs w:val="22"/>
        </w:rPr>
        <w:sectPr w:rsidR="001C2D2A" w:rsidRPr="000705B2" w:rsidSect="0001343E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bookmarkStart w:id="2" w:name="_GoBack"/>
      <w:bookmarkEnd w:id="2"/>
    </w:p>
    <w:p w:rsidR="001C2D2A" w:rsidRPr="00B05644" w:rsidRDefault="001C2D2A" w:rsidP="008D36F3">
      <w:pPr>
        <w:rPr>
          <w:sz w:val="22"/>
          <w:szCs w:val="22"/>
        </w:rPr>
      </w:pPr>
    </w:p>
    <w:sectPr w:rsidR="001C2D2A" w:rsidRPr="00B05644" w:rsidSect="0001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DC" w:rsidRDefault="001B33DC" w:rsidP="00CE23AC">
      <w:r>
        <w:separator/>
      </w:r>
    </w:p>
  </w:endnote>
  <w:endnote w:type="continuationSeparator" w:id="0">
    <w:p w:rsidR="001B33DC" w:rsidRDefault="001B33DC" w:rsidP="00CE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DC" w:rsidRDefault="001B33DC" w:rsidP="00CE23AC">
      <w:r>
        <w:separator/>
      </w:r>
    </w:p>
  </w:footnote>
  <w:footnote w:type="continuationSeparator" w:id="0">
    <w:p w:rsidR="001B33DC" w:rsidRDefault="001B33DC" w:rsidP="00CE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A71F02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C8755E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67D77723"/>
    <w:multiLevelType w:val="hybridMultilevel"/>
    <w:tmpl w:val="0CB498AC"/>
    <w:lvl w:ilvl="0" w:tplc="E75C75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  <w:rPr>
        <w:rFonts w:cs="Times New Roman"/>
      </w:rPr>
    </w:lvl>
  </w:abstractNum>
  <w:abstractNum w:abstractNumId="11" w15:restartNumberingAfterBreak="0">
    <w:nsid w:val="74F47FD1"/>
    <w:multiLevelType w:val="hybridMultilevel"/>
    <w:tmpl w:val="B57CEB6A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3"/>
    <w:rsid w:val="00001F19"/>
    <w:rsid w:val="0001343E"/>
    <w:rsid w:val="00037ECC"/>
    <w:rsid w:val="000705B2"/>
    <w:rsid w:val="00076DB3"/>
    <w:rsid w:val="00092538"/>
    <w:rsid w:val="000946C9"/>
    <w:rsid w:val="000948DC"/>
    <w:rsid w:val="00096A08"/>
    <w:rsid w:val="000A0086"/>
    <w:rsid w:val="000A1699"/>
    <w:rsid w:val="000A1F83"/>
    <w:rsid w:val="000A7CA5"/>
    <w:rsid w:val="000C4A0D"/>
    <w:rsid w:val="000E50D2"/>
    <w:rsid w:val="00130FC1"/>
    <w:rsid w:val="00137A28"/>
    <w:rsid w:val="00160905"/>
    <w:rsid w:val="00166E40"/>
    <w:rsid w:val="00184A52"/>
    <w:rsid w:val="001914AA"/>
    <w:rsid w:val="001953F8"/>
    <w:rsid w:val="001A0B02"/>
    <w:rsid w:val="001A1F68"/>
    <w:rsid w:val="001B0FD6"/>
    <w:rsid w:val="001B33DC"/>
    <w:rsid w:val="001C2D2A"/>
    <w:rsid w:val="001C5119"/>
    <w:rsid w:val="001D0FA7"/>
    <w:rsid w:val="001D7DEC"/>
    <w:rsid w:val="00202514"/>
    <w:rsid w:val="00237EBA"/>
    <w:rsid w:val="0024161A"/>
    <w:rsid w:val="0025204C"/>
    <w:rsid w:val="00255F13"/>
    <w:rsid w:val="00271378"/>
    <w:rsid w:val="00287D2F"/>
    <w:rsid w:val="00293326"/>
    <w:rsid w:val="002A25C6"/>
    <w:rsid w:val="002B02B9"/>
    <w:rsid w:val="002B1B01"/>
    <w:rsid w:val="002B74C4"/>
    <w:rsid w:val="002D5E4F"/>
    <w:rsid w:val="002D75DF"/>
    <w:rsid w:val="002E3D50"/>
    <w:rsid w:val="003048DE"/>
    <w:rsid w:val="00305001"/>
    <w:rsid w:val="0032485B"/>
    <w:rsid w:val="003309A0"/>
    <w:rsid w:val="0033129B"/>
    <w:rsid w:val="00367F1A"/>
    <w:rsid w:val="00376C9A"/>
    <w:rsid w:val="00382554"/>
    <w:rsid w:val="00384614"/>
    <w:rsid w:val="003A0DDF"/>
    <w:rsid w:val="003D40DB"/>
    <w:rsid w:val="003D44B9"/>
    <w:rsid w:val="003E073E"/>
    <w:rsid w:val="003E2F02"/>
    <w:rsid w:val="003E546B"/>
    <w:rsid w:val="003E54FF"/>
    <w:rsid w:val="003F06EF"/>
    <w:rsid w:val="004110D5"/>
    <w:rsid w:val="0041428E"/>
    <w:rsid w:val="00422C3C"/>
    <w:rsid w:val="00425D2F"/>
    <w:rsid w:val="00432AB9"/>
    <w:rsid w:val="00442805"/>
    <w:rsid w:val="004728F4"/>
    <w:rsid w:val="00481099"/>
    <w:rsid w:val="004919FE"/>
    <w:rsid w:val="00493DF7"/>
    <w:rsid w:val="00497B7A"/>
    <w:rsid w:val="004B1819"/>
    <w:rsid w:val="004C3490"/>
    <w:rsid w:val="004D247D"/>
    <w:rsid w:val="004D356B"/>
    <w:rsid w:val="004D3F28"/>
    <w:rsid w:val="004D5A97"/>
    <w:rsid w:val="0054308D"/>
    <w:rsid w:val="0054339B"/>
    <w:rsid w:val="0056005A"/>
    <w:rsid w:val="00567E6D"/>
    <w:rsid w:val="00570AAD"/>
    <w:rsid w:val="00573B11"/>
    <w:rsid w:val="00574039"/>
    <w:rsid w:val="0059331E"/>
    <w:rsid w:val="00597648"/>
    <w:rsid w:val="005C225D"/>
    <w:rsid w:val="005D0A29"/>
    <w:rsid w:val="005D1FA3"/>
    <w:rsid w:val="005F2514"/>
    <w:rsid w:val="005F4EDF"/>
    <w:rsid w:val="005F7238"/>
    <w:rsid w:val="006249F8"/>
    <w:rsid w:val="00627106"/>
    <w:rsid w:val="00627A96"/>
    <w:rsid w:val="00634A77"/>
    <w:rsid w:val="0064008D"/>
    <w:rsid w:val="00641C24"/>
    <w:rsid w:val="00647304"/>
    <w:rsid w:val="0067273A"/>
    <w:rsid w:val="0068049D"/>
    <w:rsid w:val="00682202"/>
    <w:rsid w:val="006A7824"/>
    <w:rsid w:val="006C7E92"/>
    <w:rsid w:val="006D43DF"/>
    <w:rsid w:val="006F738E"/>
    <w:rsid w:val="007047DC"/>
    <w:rsid w:val="007142DA"/>
    <w:rsid w:val="007149B5"/>
    <w:rsid w:val="007165D3"/>
    <w:rsid w:val="0071792E"/>
    <w:rsid w:val="0072621A"/>
    <w:rsid w:val="00726ECC"/>
    <w:rsid w:val="00734597"/>
    <w:rsid w:val="0074261C"/>
    <w:rsid w:val="00745B19"/>
    <w:rsid w:val="00750396"/>
    <w:rsid w:val="00750A55"/>
    <w:rsid w:val="007655EE"/>
    <w:rsid w:val="0076639F"/>
    <w:rsid w:val="00782545"/>
    <w:rsid w:val="007A147E"/>
    <w:rsid w:val="007B31FB"/>
    <w:rsid w:val="007B322D"/>
    <w:rsid w:val="007C2D42"/>
    <w:rsid w:val="007C4D8A"/>
    <w:rsid w:val="007C504A"/>
    <w:rsid w:val="007C6931"/>
    <w:rsid w:val="007E69D5"/>
    <w:rsid w:val="007F02B0"/>
    <w:rsid w:val="007F083B"/>
    <w:rsid w:val="008022E3"/>
    <w:rsid w:val="00806E12"/>
    <w:rsid w:val="00811096"/>
    <w:rsid w:val="00814113"/>
    <w:rsid w:val="0087727E"/>
    <w:rsid w:val="00883226"/>
    <w:rsid w:val="008917E3"/>
    <w:rsid w:val="00897276"/>
    <w:rsid w:val="0089773D"/>
    <w:rsid w:val="008B76FF"/>
    <w:rsid w:val="008C3B7E"/>
    <w:rsid w:val="008D36F3"/>
    <w:rsid w:val="0090696B"/>
    <w:rsid w:val="00926895"/>
    <w:rsid w:val="0094311A"/>
    <w:rsid w:val="009466AA"/>
    <w:rsid w:val="009473BA"/>
    <w:rsid w:val="00954DB6"/>
    <w:rsid w:val="00957C89"/>
    <w:rsid w:val="00962ACA"/>
    <w:rsid w:val="00984C52"/>
    <w:rsid w:val="00984F29"/>
    <w:rsid w:val="00991938"/>
    <w:rsid w:val="009A71DD"/>
    <w:rsid w:val="009B20A2"/>
    <w:rsid w:val="009E2AB0"/>
    <w:rsid w:val="00A13703"/>
    <w:rsid w:val="00A1690F"/>
    <w:rsid w:val="00A2521A"/>
    <w:rsid w:val="00A30A31"/>
    <w:rsid w:val="00A31CEA"/>
    <w:rsid w:val="00A320CF"/>
    <w:rsid w:val="00A33B8E"/>
    <w:rsid w:val="00A349F0"/>
    <w:rsid w:val="00A56B49"/>
    <w:rsid w:val="00A5721A"/>
    <w:rsid w:val="00A636D2"/>
    <w:rsid w:val="00AB2162"/>
    <w:rsid w:val="00AC30FC"/>
    <w:rsid w:val="00AD18AB"/>
    <w:rsid w:val="00AE36F3"/>
    <w:rsid w:val="00AE5FEB"/>
    <w:rsid w:val="00AF2305"/>
    <w:rsid w:val="00AF3277"/>
    <w:rsid w:val="00B05644"/>
    <w:rsid w:val="00B10BE7"/>
    <w:rsid w:val="00B24D48"/>
    <w:rsid w:val="00B2536D"/>
    <w:rsid w:val="00B311F5"/>
    <w:rsid w:val="00B3455F"/>
    <w:rsid w:val="00B468ED"/>
    <w:rsid w:val="00B56F79"/>
    <w:rsid w:val="00B64EDD"/>
    <w:rsid w:val="00B739F2"/>
    <w:rsid w:val="00B82A82"/>
    <w:rsid w:val="00B85EB4"/>
    <w:rsid w:val="00B92508"/>
    <w:rsid w:val="00B97C79"/>
    <w:rsid w:val="00BB0EDB"/>
    <w:rsid w:val="00BD36C3"/>
    <w:rsid w:val="00BE238E"/>
    <w:rsid w:val="00BF1FED"/>
    <w:rsid w:val="00BF7843"/>
    <w:rsid w:val="00C063B5"/>
    <w:rsid w:val="00C15136"/>
    <w:rsid w:val="00C2161A"/>
    <w:rsid w:val="00C26B20"/>
    <w:rsid w:val="00C37179"/>
    <w:rsid w:val="00C43699"/>
    <w:rsid w:val="00C523CD"/>
    <w:rsid w:val="00C717F0"/>
    <w:rsid w:val="00CA3EAB"/>
    <w:rsid w:val="00CA75DB"/>
    <w:rsid w:val="00CE0943"/>
    <w:rsid w:val="00CE23AC"/>
    <w:rsid w:val="00CE4B16"/>
    <w:rsid w:val="00CF4FD8"/>
    <w:rsid w:val="00CF50BA"/>
    <w:rsid w:val="00CF6333"/>
    <w:rsid w:val="00D05C2E"/>
    <w:rsid w:val="00D16CBC"/>
    <w:rsid w:val="00D44B70"/>
    <w:rsid w:val="00D4641D"/>
    <w:rsid w:val="00D84A4A"/>
    <w:rsid w:val="00DA7896"/>
    <w:rsid w:val="00DE6574"/>
    <w:rsid w:val="00DF0510"/>
    <w:rsid w:val="00DF1BDC"/>
    <w:rsid w:val="00E25C2C"/>
    <w:rsid w:val="00E359FE"/>
    <w:rsid w:val="00E36464"/>
    <w:rsid w:val="00E506B4"/>
    <w:rsid w:val="00E601F9"/>
    <w:rsid w:val="00E74F4B"/>
    <w:rsid w:val="00E76AD9"/>
    <w:rsid w:val="00E76EC1"/>
    <w:rsid w:val="00E96EFC"/>
    <w:rsid w:val="00EA29C2"/>
    <w:rsid w:val="00EA63CA"/>
    <w:rsid w:val="00EC0702"/>
    <w:rsid w:val="00ED4A1A"/>
    <w:rsid w:val="00ED5B7D"/>
    <w:rsid w:val="00ED619D"/>
    <w:rsid w:val="00EF79D2"/>
    <w:rsid w:val="00F05D63"/>
    <w:rsid w:val="00F15263"/>
    <w:rsid w:val="00F20841"/>
    <w:rsid w:val="00F23FDF"/>
    <w:rsid w:val="00F45FE7"/>
    <w:rsid w:val="00F55BBE"/>
    <w:rsid w:val="00F679D3"/>
    <w:rsid w:val="00F83A0F"/>
    <w:rsid w:val="00F935C8"/>
    <w:rsid w:val="00FB790D"/>
    <w:rsid w:val="00FC6E67"/>
    <w:rsid w:val="00FC7BC3"/>
    <w:rsid w:val="00FF452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E7F579"/>
  <w15:docId w15:val="{0C473F3C-CC90-4DA9-897D-4CCC92B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6F3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36F3"/>
    <w:rPr>
      <w:rFonts w:ascii="Times New Roman" w:eastAsia="Arial Unicode MS" w:hAnsi="Times New Roman" w:cs="Times New Roman"/>
      <w:b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D36F3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E23A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E23A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431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431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4311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311A"/>
    <w:rPr>
      <w:rFonts w:ascii="Tahoma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uiPriority w:val="99"/>
    <w:rsid w:val="00376C9A"/>
    <w:rPr>
      <w:rFonts w:cs="Times New Roman"/>
    </w:rPr>
  </w:style>
  <w:style w:type="table" w:styleId="Mkatabulky">
    <w:name w:val="Table Grid"/>
    <w:basedOn w:val="Normlntabulka"/>
    <w:uiPriority w:val="99"/>
    <w:rsid w:val="00376C9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uiPriority w:val="99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461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rsid w:val="0064008D"/>
    <w:pPr>
      <w:ind w:left="703" w:hanging="70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4F73-38F0-4621-B261-37155F14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1679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Boehringer Ingelheim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Kleiber,Michal  BI-CZ-P</dc:creator>
  <cp:lastModifiedBy>Havelková Veronika</cp:lastModifiedBy>
  <cp:revision>10</cp:revision>
  <cp:lastPrinted>2021-02-18T10:46:00Z</cp:lastPrinted>
  <dcterms:created xsi:type="dcterms:W3CDTF">2020-12-02T11:22:00Z</dcterms:created>
  <dcterms:modified xsi:type="dcterms:W3CDTF">2021-02-24T08:27:00Z</dcterms:modified>
</cp:coreProperties>
</file>