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4A" w:rsidRDefault="0082174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:rsidR="00BB5C51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 w:rsidRPr="00076D3F">
        <w:rPr>
          <w:b/>
          <w:bCs/>
          <w:sz w:val="32"/>
          <w:szCs w:val="32"/>
        </w:rPr>
        <w:t xml:space="preserve">Dodatek č. </w:t>
      </w:r>
      <w:r w:rsidR="00CC540B">
        <w:rPr>
          <w:b/>
          <w:bCs/>
          <w:sz w:val="32"/>
          <w:szCs w:val="32"/>
        </w:rPr>
        <w:t>1</w:t>
      </w:r>
    </w:p>
    <w:p w:rsidR="00BB5C51" w:rsidRDefault="00076D3F" w:rsidP="0082174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CC540B">
        <w:rPr>
          <w:b/>
          <w:bCs/>
          <w:sz w:val="28"/>
          <w:szCs w:val="28"/>
        </w:rPr>
        <w:t>10563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 xml:space="preserve">uzavřený </w:t>
      </w:r>
      <w:proofErr w:type="gramStart"/>
      <w:r>
        <w:rPr>
          <w:bCs/>
        </w:rPr>
        <w:t>mezi</w:t>
      </w:r>
      <w:proofErr w:type="gramEnd"/>
    </w:p>
    <w:p w:rsidR="00BB5C51" w:rsidRDefault="00BB5C51" w:rsidP="00AA3E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2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BB5C51" w:rsidRPr="007D64F8" w:rsidRDefault="00BB5C51" w:rsidP="00B20F3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="00AB30EC" w:rsidRPr="007D64F8">
        <w:rPr>
          <w:bCs/>
        </w:rPr>
        <w:t>Politických vězňů 909/4</w:t>
      </w:r>
      <w:r w:rsidRPr="007D64F8">
        <w:rPr>
          <w:bCs/>
        </w:rPr>
        <w:t>, 225 99</w:t>
      </w:r>
      <w:r w:rsidR="0082174A">
        <w:rPr>
          <w:bCs/>
        </w:rPr>
        <w:t xml:space="preserve"> Praha 1</w:t>
      </w:r>
    </w:p>
    <w:p w:rsidR="007D64F8" w:rsidRDefault="00BB5C51" w:rsidP="00B20F3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AA2477">
        <w:rPr>
          <w:b/>
          <w:bCs/>
        </w:rPr>
        <w:tab/>
      </w:r>
      <w:r>
        <w:rPr>
          <w:bCs/>
        </w:rPr>
        <w:t>47114983</w:t>
      </w:r>
    </w:p>
    <w:p w:rsidR="00BB5C51" w:rsidRDefault="00BB5C51" w:rsidP="00B20F3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Cs/>
        </w:rPr>
      </w:pPr>
      <w:r w:rsidRPr="007D64F8">
        <w:rPr>
          <w:bCs/>
        </w:rPr>
        <w:t>DIČ:</w:t>
      </w:r>
      <w:r w:rsidR="007D64F8">
        <w:rPr>
          <w:b/>
          <w:bCs/>
        </w:rPr>
        <w:tab/>
      </w:r>
      <w:r w:rsidR="0082174A">
        <w:rPr>
          <w:b/>
          <w:bCs/>
        </w:rPr>
        <w:t>C</w:t>
      </w:r>
      <w:r>
        <w:rPr>
          <w:bCs/>
        </w:rPr>
        <w:t>Z47114983</w:t>
      </w:r>
    </w:p>
    <w:p w:rsidR="007D64F8" w:rsidRDefault="00B36535" w:rsidP="00B20F3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82174A">
        <w:rPr>
          <w:bCs/>
        </w:rPr>
        <w:tab/>
      </w:r>
      <w:r w:rsidR="00CA0E80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102AF9">
        <w:rPr>
          <w:b/>
          <w:bCs/>
        </w:rPr>
        <w:t>manažerem specializovaného</w:t>
      </w:r>
    </w:p>
    <w:p w:rsidR="007D64F8" w:rsidRPr="00E97E16" w:rsidRDefault="00AA2477" w:rsidP="00B20F3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102AF9">
        <w:rPr>
          <w:b/>
          <w:bCs/>
        </w:rPr>
        <w:t xml:space="preserve">útvaru </w:t>
      </w:r>
      <w:r w:rsidR="007D64F8" w:rsidRPr="00E97E16">
        <w:rPr>
          <w:b/>
          <w:bCs/>
        </w:rPr>
        <w:t>zpracování peněžních služeb</w:t>
      </w:r>
    </w:p>
    <w:p w:rsidR="00BB5C51" w:rsidRPr="0069268C" w:rsidRDefault="00BB5C51" w:rsidP="00B20F32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left="567" w:right="28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656143">
        <w:rPr>
          <w:bCs/>
        </w:rPr>
        <w:t xml:space="preserve"> oddíl A, vložka 7565</w:t>
      </w:r>
    </w:p>
    <w:p w:rsidR="00BB5C51" w:rsidRPr="007D64F8" w:rsidRDefault="00BB5C51" w:rsidP="00B20F32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/>
        </w:rPr>
      </w:pPr>
      <w:r>
        <w:t>bankovní spojení:</w:t>
      </w:r>
      <w:r w:rsidR="00AA2477">
        <w:tab/>
      </w:r>
      <w:r w:rsidR="007D64F8">
        <w:rPr>
          <w:bCs/>
        </w:rPr>
        <w:t>Československá obchodní banka, a.s.</w:t>
      </w:r>
    </w:p>
    <w:p w:rsidR="00BB5C51" w:rsidRDefault="00BB5C51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/>
          <w:bCs/>
        </w:rPr>
      </w:pPr>
      <w:r>
        <w:t>č</w:t>
      </w:r>
      <w:r w:rsidR="007D64F8">
        <w:t>íslo</w:t>
      </w:r>
      <w:r>
        <w:t xml:space="preserve"> účtu:</w:t>
      </w:r>
      <w:r w:rsidR="00AA2477">
        <w:tab/>
      </w:r>
      <w:r w:rsidR="000268D7">
        <w:rPr>
          <w:bCs/>
        </w:rPr>
        <w:t>XXXXXXXXX/XXXX</w:t>
      </w:r>
    </w:p>
    <w:p w:rsidR="00BB5C51" w:rsidRDefault="00BB5C51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120" w:line="300" w:lineRule="exact"/>
        <w:ind w:right="28" w:firstLine="0"/>
      </w:pPr>
      <w:r w:rsidRPr="0082174A">
        <w:t>korespondenční adresa:</w:t>
      </w:r>
      <w:r w:rsidR="0082174A">
        <w:tab/>
        <w:t xml:space="preserve">Česká pošta, </w:t>
      </w:r>
      <w:proofErr w:type="spellStart"/>
      <w:proofErr w:type="gramStart"/>
      <w:r w:rsidR="0082174A">
        <w:t>s.p</w:t>
      </w:r>
      <w:proofErr w:type="spellEnd"/>
      <w:r w:rsidR="0082174A">
        <w:t>.</w:t>
      </w:r>
      <w:proofErr w:type="gramEnd"/>
      <w:r w:rsidR="0093799E">
        <w:t>,</w:t>
      </w:r>
      <w:r w:rsidR="0082174A">
        <w:t xml:space="preserve"> RZPS Ostrava, Dr. Martínka 1406/12</w:t>
      </w:r>
      <w:r w:rsidR="0093799E">
        <w:t>,</w:t>
      </w:r>
    </w:p>
    <w:p w:rsidR="0082174A" w:rsidRPr="0082174A" w:rsidRDefault="0082174A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ab/>
        <w:t>700 90 Ostrava - Hrabůvka</w:t>
      </w:r>
    </w:p>
    <w:p w:rsidR="00BB5C51" w:rsidRDefault="00761F86" w:rsidP="0012546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>dále jen „Zhotovitel“</w:t>
      </w:r>
    </w:p>
    <w:p w:rsidR="007D64F8" w:rsidRDefault="007D64F8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300" w:lineRule="exact"/>
        <w:ind w:right="27" w:firstLine="0"/>
      </w:pPr>
      <w:r>
        <w:t>a</w:t>
      </w:r>
    </w:p>
    <w:p w:rsidR="00151917" w:rsidRDefault="00151917" w:rsidP="001519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 331893001</w:t>
      </w:r>
    </w:p>
    <w:p w:rsidR="00151917" w:rsidRDefault="00151917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8" w:firstLine="0"/>
      </w:pPr>
      <w:r>
        <w:rPr>
          <w:b/>
        </w:rPr>
        <w:t>Technická správa komunikací hl. m. Prahy, a.s.</w:t>
      </w:r>
    </w:p>
    <w:p w:rsidR="00151917" w:rsidRDefault="00151917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se sídlem:</w:t>
      </w:r>
      <w:r>
        <w:tab/>
        <w:t>Řásnovka 770/8, Staré Město, 110 00 Praha 1</w:t>
      </w:r>
    </w:p>
    <w:p w:rsidR="00151917" w:rsidRDefault="00151917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IČO:</w:t>
      </w:r>
      <w:r>
        <w:tab/>
        <w:t>03447286</w:t>
      </w:r>
    </w:p>
    <w:p w:rsidR="00151917" w:rsidRDefault="00151917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DIČ:</w:t>
      </w:r>
      <w:r>
        <w:tab/>
        <w:t>CZ03447286</w:t>
      </w:r>
    </w:p>
    <w:p w:rsidR="00B20F32" w:rsidRDefault="00151917" w:rsidP="0052516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-398" w:firstLine="0"/>
        <w:rPr>
          <w:b/>
        </w:rPr>
      </w:pPr>
      <w:r>
        <w:t>zastoupena:</w:t>
      </w:r>
      <w:r>
        <w:tab/>
      </w:r>
      <w:r w:rsidR="00B20F32">
        <w:rPr>
          <w:b/>
        </w:rPr>
        <w:t xml:space="preserve">Mgr. Jozefem </w:t>
      </w:r>
      <w:proofErr w:type="spellStart"/>
      <w:r w:rsidR="00B20F32">
        <w:rPr>
          <w:b/>
        </w:rPr>
        <w:t>Sinčákem</w:t>
      </w:r>
      <w:proofErr w:type="spellEnd"/>
      <w:r w:rsidR="00B20F32">
        <w:rPr>
          <w:b/>
        </w:rPr>
        <w:t>, MBA</w:t>
      </w:r>
      <w:r>
        <w:rPr>
          <w:b/>
        </w:rPr>
        <w:t xml:space="preserve">, </w:t>
      </w:r>
      <w:r w:rsidR="00525165">
        <w:rPr>
          <w:b/>
        </w:rPr>
        <w:t>předsedou představenstva</w:t>
      </w:r>
    </w:p>
    <w:p w:rsidR="00CF3F04" w:rsidRPr="00CF3F04" w:rsidRDefault="00B20F32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  <w:rPr>
          <w:b/>
          <w:color w:val="000000" w:themeColor="text1"/>
        </w:rPr>
      </w:pPr>
      <w:r>
        <w:rPr>
          <w:b/>
        </w:rPr>
        <w:tab/>
      </w:r>
      <w:r w:rsidR="00CF3F04" w:rsidRPr="00CF3F04">
        <w:rPr>
          <w:b/>
          <w:color w:val="000000" w:themeColor="text1"/>
        </w:rPr>
        <w:t>PhDr. Filipem Hájkem,</w:t>
      </w:r>
      <w:r w:rsidR="00525165">
        <w:rPr>
          <w:b/>
          <w:color w:val="000000" w:themeColor="text1"/>
        </w:rPr>
        <w:t xml:space="preserve"> členem představenstva</w:t>
      </w:r>
    </w:p>
    <w:p w:rsidR="00151917" w:rsidRDefault="00151917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zapsána v obchodním rejstříku</w:t>
      </w:r>
      <w:r>
        <w:tab/>
        <w:t>Městského soudu v Praze, oddíl B, vložka 20059</w:t>
      </w:r>
    </w:p>
    <w:p w:rsidR="00151917" w:rsidRDefault="00151917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bankovní spojení:</w:t>
      </w:r>
      <w:r>
        <w:tab/>
        <w:t xml:space="preserve">PPF banka a.s. </w:t>
      </w:r>
    </w:p>
    <w:p w:rsidR="00151917" w:rsidRDefault="00151917" w:rsidP="00B20F32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20" w:line="300" w:lineRule="exact"/>
        <w:ind w:right="28" w:firstLine="0"/>
      </w:pPr>
      <w:r>
        <w:t>číslo účtu:</w:t>
      </w:r>
      <w:r>
        <w:tab/>
      </w:r>
      <w:r w:rsidR="000268D7">
        <w:t>XXXXX-XXXXXXX/XXXX</w:t>
      </w:r>
    </w:p>
    <w:p w:rsidR="002C3BF0" w:rsidRDefault="002C3BF0" w:rsidP="00B20F32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27" w:firstLine="0"/>
      </w:pPr>
      <w:r>
        <w:t xml:space="preserve">dále jen </w:t>
      </w:r>
      <w:r w:rsidRPr="002C3BF0">
        <w:t>„Objednatel“</w:t>
      </w:r>
    </w:p>
    <w:p w:rsidR="00BB5C51" w:rsidRDefault="00151917" w:rsidP="00151917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ab/>
      </w:r>
    </w:p>
    <w:p w:rsidR="00BB5C51" w:rsidRPr="00D234A5" w:rsidRDefault="00076D3F" w:rsidP="005C5D2C">
      <w:pPr>
        <w:pStyle w:val="Import6"/>
        <w:numPr>
          <w:ilvl w:val="0"/>
          <w:numId w:val="4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/>
        <w:jc w:val="center"/>
        <w:rPr>
          <w:b/>
          <w:bCs/>
          <w:sz w:val="28"/>
          <w:szCs w:val="28"/>
        </w:rPr>
      </w:pPr>
      <w:r w:rsidRPr="00D234A5">
        <w:rPr>
          <w:b/>
          <w:bCs/>
          <w:sz w:val="28"/>
          <w:szCs w:val="28"/>
        </w:rPr>
        <w:t>Ujednání</w:t>
      </w:r>
    </w:p>
    <w:p w:rsidR="00076D3F" w:rsidRDefault="00BB5C51" w:rsidP="00AA3E19">
      <w:pPr>
        <w:spacing w:before="240" w:line="300" w:lineRule="exact"/>
        <w:ind w:left="567" w:right="27" w:hanging="567"/>
        <w:jc w:val="both"/>
      </w:pPr>
      <w:proofErr w:type="gramStart"/>
      <w:r>
        <w:t>1.1</w:t>
      </w:r>
      <w:proofErr w:type="gramEnd"/>
      <w:r>
        <w:t>.</w:t>
      </w:r>
      <w:r w:rsidR="00256A53">
        <w:tab/>
      </w:r>
      <w:r w:rsidR="00076D3F">
        <w:t xml:space="preserve">Smluvní strany se dohodly na změně obsahu Smlouvy o nadstandardním zpracování poštovních poukázek A </w:t>
      </w:r>
      <w:r w:rsidR="005C5D2C">
        <w:t xml:space="preserve">č. </w:t>
      </w:r>
      <w:r w:rsidR="00AA3E19">
        <w:t xml:space="preserve">10563 </w:t>
      </w:r>
      <w:r w:rsidR="005C5D2C">
        <w:t>ze</w:t>
      </w:r>
      <w:r w:rsidR="00076D3F">
        <w:t xml:space="preserve"> dne </w:t>
      </w:r>
      <w:proofErr w:type="gramStart"/>
      <w:r w:rsidR="00AA3E19">
        <w:t>27</w:t>
      </w:r>
      <w:r w:rsidR="00076D3F">
        <w:t>.</w:t>
      </w:r>
      <w:r w:rsidR="00AA3E19">
        <w:t>12.2018</w:t>
      </w:r>
      <w:proofErr w:type="gramEnd"/>
      <w:r w:rsidR="00076D3F">
        <w:t xml:space="preserve"> </w:t>
      </w:r>
      <w:r w:rsidR="00F51FAD">
        <w:t xml:space="preserve">(dále jen „Smlouva“), </w:t>
      </w:r>
      <w:r w:rsidR="00343C99">
        <w:t>a to následujícím způsobem</w:t>
      </w:r>
      <w:r w:rsidR="003C7888">
        <w:t>:</w:t>
      </w:r>
    </w:p>
    <w:p w:rsidR="00A3791F" w:rsidRPr="00A3791F" w:rsidRDefault="00BE5FF6" w:rsidP="00256A53">
      <w:pPr>
        <w:spacing w:before="240" w:line="300" w:lineRule="exact"/>
        <w:ind w:left="567" w:hanging="567"/>
        <w:jc w:val="both"/>
        <w:rPr>
          <w:b/>
        </w:rPr>
      </w:pPr>
      <w:proofErr w:type="gramStart"/>
      <w:r>
        <w:t>1.2</w:t>
      </w:r>
      <w:proofErr w:type="gramEnd"/>
      <w:r w:rsidR="00A3791F">
        <w:t>.</w:t>
      </w:r>
      <w:r w:rsidR="00256A53">
        <w:tab/>
      </w:r>
      <w:r w:rsidR="00343C99">
        <w:t>Zhotovitel</w:t>
      </w:r>
      <w:r w:rsidR="00A3791F">
        <w:t xml:space="preserve"> ber</w:t>
      </w:r>
      <w:r w:rsidR="00343C99">
        <w:t>e</w:t>
      </w:r>
      <w:r w:rsidR="00A3791F">
        <w:t xml:space="preserve"> na vědomí změnu </w:t>
      </w:r>
      <w:r w:rsidR="00A3791F" w:rsidRPr="00BE5FF6">
        <w:rPr>
          <w:b/>
          <w:color w:val="000000" w:themeColor="text1"/>
        </w:rPr>
        <w:t>zastoupení</w:t>
      </w:r>
      <w:r w:rsidR="00A3791F">
        <w:rPr>
          <w:b/>
        </w:rPr>
        <w:t xml:space="preserve"> </w:t>
      </w:r>
      <w:r w:rsidR="00A3791F" w:rsidRPr="00A3791F">
        <w:t>Objednatele.</w:t>
      </w:r>
    </w:p>
    <w:p w:rsidR="008E3BF6" w:rsidRDefault="008E3BF6" w:rsidP="009D292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hanging="567"/>
        <w:jc w:val="both"/>
      </w:pPr>
      <w:proofErr w:type="gramStart"/>
      <w:r>
        <w:lastRenderedPageBreak/>
        <w:t>1.</w:t>
      </w:r>
      <w:r w:rsidR="00BE5FF6">
        <w:t>3</w:t>
      </w:r>
      <w:proofErr w:type="gramEnd"/>
      <w:r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2.4.</w:t>
      </w:r>
      <w:r w:rsidR="0050464C">
        <w:t xml:space="preserve"> následujícím textem</w:t>
      </w:r>
      <w:r>
        <w:t xml:space="preserve">: </w:t>
      </w:r>
    </w:p>
    <w:p w:rsidR="0034520E" w:rsidRDefault="0050464C" w:rsidP="009D292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left="567" w:hanging="567"/>
        <w:jc w:val="both"/>
      </w:pPr>
      <w:r w:rsidRPr="0050464C">
        <w:t>„</w:t>
      </w:r>
      <w:r w:rsidR="008E3BF6" w:rsidRPr="008E3BF6">
        <w:rPr>
          <w:b/>
        </w:rPr>
        <w:t>2.4.</w:t>
      </w:r>
      <w:r w:rsidR="00053E57">
        <w:rPr>
          <w:b/>
        </w:rPr>
        <w:t xml:space="preserve"> </w:t>
      </w:r>
      <w:r w:rsidR="00E139D3" w:rsidRPr="00E139D3">
        <w:rPr>
          <w:b/>
        </w:rPr>
        <w:tab/>
      </w:r>
      <w:r w:rsidR="00BB5C51" w:rsidRPr="00E139D3">
        <w:rPr>
          <w:b/>
        </w:rPr>
        <w:t xml:space="preserve">Kontaktní osoby na straně </w:t>
      </w:r>
      <w:r w:rsidR="004D2980" w:rsidRPr="00E139D3">
        <w:rPr>
          <w:b/>
        </w:rPr>
        <w:t>O</w:t>
      </w:r>
      <w:r w:rsidR="00BB5C51" w:rsidRPr="00E139D3">
        <w:rPr>
          <w:b/>
        </w:rPr>
        <w:t>bjednatele:</w:t>
      </w:r>
      <w:r w:rsidR="0034520E">
        <w:t xml:space="preserve">   </w:t>
      </w:r>
    </w:p>
    <w:p w:rsidR="00E139D3" w:rsidRPr="00E139D3" w:rsidRDefault="0034520E" w:rsidP="0052516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536"/>
        </w:tabs>
        <w:spacing w:before="60" w:line="300" w:lineRule="exact"/>
        <w:ind w:left="539" w:hanging="539"/>
        <w:jc w:val="both"/>
      </w:pPr>
      <w:r>
        <w:rPr>
          <w:b/>
        </w:rPr>
        <w:tab/>
      </w:r>
      <w:r w:rsidR="000268D7">
        <w:t>XXXXXXXX</w:t>
      </w:r>
      <w:r w:rsidR="00E139D3" w:rsidRPr="00E139D3">
        <w:tab/>
        <w:t xml:space="preserve">tel.: </w:t>
      </w:r>
      <w:r w:rsidR="000268D7">
        <w:t xml:space="preserve">XXX </w:t>
      </w:r>
      <w:proofErr w:type="spellStart"/>
      <w:r w:rsidR="000268D7">
        <w:t>XXX</w:t>
      </w:r>
      <w:proofErr w:type="spellEnd"/>
      <w:r w:rsidR="000268D7">
        <w:t xml:space="preserve"> </w:t>
      </w:r>
      <w:proofErr w:type="spellStart"/>
      <w:r w:rsidR="000268D7">
        <w:t>XXX</w:t>
      </w:r>
      <w:proofErr w:type="spellEnd"/>
    </w:p>
    <w:p w:rsidR="00E139D3" w:rsidRPr="00D519A7" w:rsidRDefault="00E139D3" w:rsidP="009D2928">
      <w:pPr>
        <w:pStyle w:val="Import18"/>
        <w:tabs>
          <w:tab w:val="left" w:pos="567"/>
        </w:tabs>
        <w:spacing w:line="300" w:lineRule="exact"/>
        <w:ind w:left="567" w:hanging="567"/>
        <w:rPr>
          <w:u w:val="single"/>
        </w:rPr>
      </w:pPr>
      <w:r w:rsidRPr="00E139D3">
        <w:tab/>
      </w:r>
      <w:r w:rsidR="000268D7">
        <w:rPr>
          <w:u w:val="single"/>
        </w:rPr>
        <w:t>XXXXXXXXXXX</w:t>
      </w:r>
    </w:p>
    <w:p w:rsidR="00E139D3" w:rsidRPr="00E139D3" w:rsidRDefault="00E139D3" w:rsidP="009D2928">
      <w:pPr>
        <w:pStyle w:val="Import18"/>
        <w:tabs>
          <w:tab w:val="clear" w:pos="4176"/>
          <w:tab w:val="left" w:pos="567"/>
          <w:tab w:val="left" w:pos="4536"/>
        </w:tabs>
        <w:spacing w:line="300" w:lineRule="exact"/>
        <w:ind w:firstLine="0"/>
      </w:pPr>
      <w:r w:rsidRPr="00E139D3">
        <w:tab/>
      </w:r>
      <w:r w:rsidR="000268D7">
        <w:t>XXXXXXXX</w:t>
      </w:r>
      <w:r w:rsidRPr="00E139D3">
        <w:tab/>
      </w:r>
      <w:r>
        <w:tab/>
      </w:r>
      <w:r>
        <w:tab/>
      </w:r>
      <w:r w:rsidRPr="00E139D3">
        <w:t xml:space="preserve">tel.: </w:t>
      </w:r>
      <w:r w:rsidR="000268D7">
        <w:t xml:space="preserve">XXX </w:t>
      </w:r>
      <w:proofErr w:type="spellStart"/>
      <w:r w:rsidR="000268D7">
        <w:t>XXX</w:t>
      </w:r>
      <w:proofErr w:type="spellEnd"/>
      <w:r w:rsidR="000268D7">
        <w:t xml:space="preserve"> </w:t>
      </w:r>
      <w:proofErr w:type="spellStart"/>
      <w:r w:rsidR="000268D7">
        <w:t>XXX</w:t>
      </w:r>
      <w:proofErr w:type="spellEnd"/>
    </w:p>
    <w:p w:rsidR="00E139D3" w:rsidRPr="00D519A7" w:rsidRDefault="00E139D3" w:rsidP="009D292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hanging="567"/>
        <w:jc w:val="both"/>
        <w:rPr>
          <w:color w:val="000000" w:themeColor="text1"/>
          <w:u w:val="single"/>
        </w:rPr>
      </w:pPr>
      <w:r w:rsidRPr="00E139D3">
        <w:tab/>
      </w:r>
      <w:hyperlink r:id="rId8" w:history="1">
        <w:r w:rsidR="000268D7">
          <w:rPr>
            <w:rStyle w:val="Hypertextovodkaz"/>
            <w:color w:val="000000" w:themeColor="text1"/>
          </w:rPr>
          <w:t>XXXXXXXXXXX</w:t>
        </w:r>
      </w:hyperlink>
    </w:p>
    <w:p w:rsidR="00E139D3" w:rsidRDefault="00E139D3" w:rsidP="009D292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536"/>
        </w:tabs>
        <w:spacing w:line="300" w:lineRule="exact"/>
        <w:ind w:left="567" w:hanging="567"/>
        <w:jc w:val="both"/>
      </w:pPr>
      <w:r>
        <w:tab/>
      </w:r>
      <w:r w:rsidR="000268D7">
        <w:t>XXXXXXXX</w:t>
      </w:r>
      <w:r>
        <w:tab/>
        <w:t xml:space="preserve">tel.: </w:t>
      </w:r>
      <w:r w:rsidR="000268D7">
        <w:t xml:space="preserve">XXX </w:t>
      </w:r>
      <w:proofErr w:type="spellStart"/>
      <w:r w:rsidR="000268D7">
        <w:t>XXX</w:t>
      </w:r>
      <w:proofErr w:type="spellEnd"/>
      <w:r w:rsidR="000268D7">
        <w:t xml:space="preserve"> </w:t>
      </w:r>
      <w:proofErr w:type="spellStart"/>
      <w:r w:rsidR="000268D7">
        <w:t>XXX</w:t>
      </w:r>
      <w:proofErr w:type="spellEnd"/>
    </w:p>
    <w:p w:rsidR="00E139D3" w:rsidRDefault="00E139D3" w:rsidP="009D292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536"/>
        </w:tabs>
        <w:spacing w:line="300" w:lineRule="exact"/>
        <w:ind w:left="567" w:hanging="567"/>
        <w:jc w:val="both"/>
      </w:pPr>
      <w:r>
        <w:tab/>
      </w:r>
      <w:r w:rsidR="000268D7">
        <w:rPr>
          <w:u w:val="single"/>
        </w:rPr>
        <w:t>XXXXXXXXXXX</w:t>
      </w:r>
      <w:r>
        <w:t>“</w:t>
      </w:r>
    </w:p>
    <w:p w:rsidR="008E3BF6" w:rsidRDefault="008E3BF6" w:rsidP="0052516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240" w:line="300" w:lineRule="exact"/>
        <w:ind w:left="567" w:hanging="567"/>
        <w:jc w:val="both"/>
      </w:pPr>
      <w:proofErr w:type="gramStart"/>
      <w:r>
        <w:t>1.</w:t>
      </w:r>
      <w:r w:rsidR="00BE5FF6">
        <w:t>4</w:t>
      </w:r>
      <w:proofErr w:type="gramEnd"/>
      <w:r w:rsidR="00BB5C51">
        <w:t>.</w:t>
      </w:r>
      <w:r w:rsidR="00BB5C51">
        <w:tab/>
      </w:r>
      <w:r>
        <w:t xml:space="preserve">Smluvní strany se dohodly na </w:t>
      </w:r>
      <w:r w:rsidRPr="008E3BF6">
        <w:rPr>
          <w:b/>
        </w:rPr>
        <w:t>úplném nahrazení</w:t>
      </w:r>
      <w:r>
        <w:t xml:space="preserve"> stávajícího ustanovení Čl. II. odst. 2.5.</w:t>
      </w:r>
      <w:r w:rsidR="0050464C">
        <w:t xml:space="preserve"> následujícím textem</w:t>
      </w:r>
      <w:r>
        <w:t xml:space="preserve">: </w:t>
      </w:r>
    </w:p>
    <w:p w:rsidR="00BB5C51" w:rsidRDefault="0050464C" w:rsidP="009D292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left="567" w:hanging="567"/>
        <w:jc w:val="both"/>
      </w:pPr>
      <w:r w:rsidRPr="0050464C">
        <w:t>„</w:t>
      </w:r>
      <w:r w:rsidR="008E3BF6" w:rsidRPr="008E3BF6">
        <w:rPr>
          <w:b/>
        </w:rPr>
        <w:t>2.5.</w:t>
      </w:r>
      <w:r w:rsidR="008E3BF6">
        <w:t xml:space="preserve"> </w:t>
      </w:r>
      <w:r w:rsidR="008D0EEF">
        <w:tab/>
      </w:r>
      <w:r w:rsidR="00BB5C51" w:rsidRPr="00BE5FF6">
        <w:rPr>
          <w:b/>
        </w:rPr>
        <w:t xml:space="preserve">Kontaktní osoby na straně </w:t>
      </w:r>
      <w:r w:rsidR="004D2980" w:rsidRPr="00BE5FF6">
        <w:rPr>
          <w:b/>
        </w:rPr>
        <w:t>Z</w:t>
      </w:r>
      <w:r w:rsidR="00BB5C51" w:rsidRPr="00BE5FF6">
        <w:rPr>
          <w:b/>
        </w:rPr>
        <w:t>hotovitele:</w:t>
      </w:r>
    </w:p>
    <w:p w:rsidR="00BB5C51" w:rsidRPr="00FE400C" w:rsidRDefault="000268D7" w:rsidP="00525165">
      <w:pPr>
        <w:tabs>
          <w:tab w:val="left" w:pos="4536"/>
        </w:tabs>
        <w:spacing w:before="60" w:line="300" w:lineRule="exact"/>
        <w:ind w:firstLine="567"/>
        <w:rPr>
          <w:bCs/>
        </w:rPr>
      </w:pPr>
      <w:r>
        <w:t>XXXXXXXXXXX</w:t>
      </w:r>
      <w:r w:rsidR="00D8429E">
        <w:tab/>
      </w:r>
      <w:r w:rsidR="00BB5C51" w:rsidRPr="00FE400C">
        <w:t>tel.:</w:t>
      </w:r>
      <w:r w:rsidR="00D63B13" w:rsidRPr="00FE400C">
        <w:rPr>
          <w:bCs/>
        </w:rPr>
        <w:t xml:space="preserve">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:rsidR="00D20E1A" w:rsidRPr="00360379" w:rsidRDefault="00BE418A" w:rsidP="00525165">
      <w:pPr>
        <w:pStyle w:val="Zkladntextodsazen"/>
        <w:tabs>
          <w:tab w:val="clear" w:pos="720"/>
          <w:tab w:val="clear" w:pos="2700"/>
          <w:tab w:val="clear" w:pos="4860"/>
          <w:tab w:val="left" w:pos="4536"/>
        </w:tabs>
        <w:spacing w:line="300" w:lineRule="exact"/>
        <w:ind w:left="567" w:firstLine="0"/>
        <w:rPr>
          <w:b w:val="0"/>
          <w:i w:val="0"/>
          <w:u w:val="single"/>
        </w:rPr>
      </w:pPr>
      <w:hyperlink r:id="rId9" w:history="1">
        <w:r w:rsidR="000268D7">
          <w:rPr>
            <w:rStyle w:val="Hypertextovodkaz"/>
            <w:b w:val="0"/>
            <w:i w:val="0"/>
            <w:snapToGrid w:val="0"/>
            <w:color w:val="auto"/>
          </w:rPr>
          <w:t>XXXXXXXXXXXXX</w:t>
        </w:r>
      </w:hyperlink>
      <w:r w:rsidR="00D8429E" w:rsidRPr="00360379">
        <w:rPr>
          <w:b w:val="0"/>
          <w:i w:val="0"/>
        </w:rPr>
        <w:tab/>
      </w:r>
    </w:p>
    <w:p w:rsidR="00BB5C51" w:rsidRPr="00FE400C" w:rsidRDefault="000268D7" w:rsidP="00525165">
      <w:pPr>
        <w:pStyle w:val="Zkladntextodsazen"/>
        <w:tabs>
          <w:tab w:val="clear" w:pos="720"/>
          <w:tab w:val="clear" w:pos="2700"/>
          <w:tab w:val="clear" w:pos="4860"/>
          <w:tab w:val="left" w:pos="4536"/>
        </w:tabs>
        <w:spacing w:line="300" w:lineRule="exact"/>
        <w:ind w:left="567" w:firstLine="0"/>
        <w:rPr>
          <w:b w:val="0"/>
          <w:i w:val="0"/>
          <w:iCs/>
        </w:rPr>
      </w:pPr>
      <w:r>
        <w:rPr>
          <w:b w:val="0"/>
          <w:i w:val="0"/>
          <w:iCs/>
        </w:rPr>
        <w:t>XXXXXXXXXXX</w:t>
      </w:r>
      <w:r w:rsidR="00D8429E">
        <w:rPr>
          <w:b w:val="0"/>
          <w:i w:val="0"/>
          <w:iCs/>
        </w:rPr>
        <w:tab/>
      </w:r>
      <w:r w:rsidR="00BB5C51" w:rsidRPr="00FE400C">
        <w:rPr>
          <w:b w:val="0"/>
          <w:bCs/>
          <w:i w:val="0"/>
          <w:iCs/>
        </w:rPr>
        <w:t xml:space="preserve">tel.: </w:t>
      </w:r>
      <w:r>
        <w:rPr>
          <w:b w:val="0"/>
          <w:i w:val="0"/>
          <w:iCs/>
        </w:rPr>
        <w:t xml:space="preserve">XXX </w:t>
      </w:r>
      <w:proofErr w:type="spellStart"/>
      <w:r>
        <w:rPr>
          <w:b w:val="0"/>
          <w:i w:val="0"/>
          <w:iCs/>
        </w:rPr>
        <w:t>XXX</w:t>
      </w:r>
      <w:proofErr w:type="spellEnd"/>
      <w:r>
        <w:rPr>
          <w:b w:val="0"/>
          <w:i w:val="0"/>
          <w:iCs/>
        </w:rPr>
        <w:t xml:space="preserve"> </w:t>
      </w:r>
      <w:proofErr w:type="spellStart"/>
      <w:r>
        <w:rPr>
          <w:b w:val="0"/>
          <w:i w:val="0"/>
          <w:iCs/>
        </w:rPr>
        <w:t>XXX</w:t>
      </w:r>
      <w:proofErr w:type="spellEnd"/>
    </w:p>
    <w:p w:rsidR="00BB5C51" w:rsidRPr="000268D7" w:rsidRDefault="000268D7" w:rsidP="00525165">
      <w:pPr>
        <w:pStyle w:val="Zkladntextodsazen"/>
        <w:tabs>
          <w:tab w:val="clear" w:pos="720"/>
          <w:tab w:val="clear" w:pos="2700"/>
          <w:tab w:val="clear" w:pos="4860"/>
          <w:tab w:val="left" w:pos="4536"/>
        </w:tabs>
        <w:spacing w:line="300" w:lineRule="exact"/>
        <w:ind w:hanging="153"/>
        <w:rPr>
          <w:b w:val="0"/>
          <w:i w:val="0"/>
          <w:u w:val="single"/>
        </w:rPr>
      </w:pPr>
      <w:r w:rsidRPr="000268D7">
        <w:rPr>
          <w:b w:val="0"/>
          <w:i w:val="0"/>
          <w:u w:val="single"/>
        </w:rPr>
        <w:t>XXXXXXXXXXXXX</w:t>
      </w:r>
    </w:p>
    <w:p w:rsidR="00BB5C51" w:rsidRPr="00FE400C" w:rsidRDefault="000268D7" w:rsidP="0052516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536"/>
        </w:tabs>
        <w:spacing w:line="300" w:lineRule="exact"/>
        <w:ind w:left="567" w:firstLine="0"/>
        <w:rPr>
          <w:bCs/>
        </w:rPr>
      </w:pPr>
      <w:r>
        <w:rPr>
          <w:bCs/>
        </w:rPr>
        <w:t>XXXXXXXXXXX</w:t>
      </w:r>
      <w:r w:rsidR="00D8429E">
        <w:rPr>
          <w:bCs/>
        </w:rPr>
        <w:tab/>
      </w:r>
      <w:r w:rsidR="00BB5C51" w:rsidRPr="00FE400C">
        <w:t xml:space="preserve">tel.: </w:t>
      </w:r>
      <w:r>
        <w:rPr>
          <w:bCs/>
        </w:rPr>
        <w:t xml:space="preserve">XXX </w:t>
      </w:r>
      <w:proofErr w:type="spellStart"/>
      <w:r>
        <w:rPr>
          <w:bCs/>
        </w:rPr>
        <w:t>XXX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XXX</w:t>
      </w:r>
      <w:proofErr w:type="spellEnd"/>
    </w:p>
    <w:p w:rsidR="00D63B13" w:rsidRDefault="00BE418A" w:rsidP="0052516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300" w:lineRule="exact"/>
        <w:ind w:left="567" w:firstLine="0"/>
        <w:rPr>
          <w:bCs/>
        </w:rPr>
      </w:pPr>
      <w:hyperlink r:id="rId10" w:history="1">
        <w:r w:rsidR="000268D7">
          <w:rPr>
            <w:rStyle w:val="Hypertextovodkaz"/>
            <w:bCs/>
            <w:color w:val="auto"/>
          </w:rPr>
          <w:t>XXXXXXXXXXXXX</w:t>
        </w:r>
      </w:hyperlink>
      <w:r w:rsidR="0050464C">
        <w:rPr>
          <w:rStyle w:val="Hypertextovodkaz"/>
          <w:bCs/>
          <w:color w:val="auto"/>
          <w:u w:val="none"/>
        </w:rPr>
        <w:t>“</w:t>
      </w:r>
      <w:r w:rsidR="00D8429E">
        <w:rPr>
          <w:bCs/>
        </w:rPr>
        <w:tab/>
      </w:r>
    </w:p>
    <w:p w:rsidR="009D2928" w:rsidRPr="009D2928" w:rsidRDefault="009D2928" w:rsidP="006462A7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right="27" w:hanging="567"/>
        <w:jc w:val="both"/>
        <w:rPr>
          <w:bCs/>
        </w:rPr>
      </w:pPr>
      <w:r>
        <w:rPr>
          <w:bCs/>
        </w:rPr>
        <w:tab/>
      </w:r>
      <w:r w:rsidRPr="009D2928">
        <w:rPr>
          <w:iCs/>
        </w:rPr>
        <w:t xml:space="preserve">Smluvní strany se dohodly, že faktury – daňové doklady ve formátu </w:t>
      </w:r>
      <w:proofErr w:type="spellStart"/>
      <w:r w:rsidRPr="009D2928">
        <w:rPr>
          <w:iCs/>
        </w:rPr>
        <w:t>pdf</w:t>
      </w:r>
      <w:proofErr w:type="spellEnd"/>
      <w:r w:rsidRPr="009D2928">
        <w:rPr>
          <w:iCs/>
        </w:rPr>
        <w:t xml:space="preserve">., opatřené elektronickým podpisem (elektronická faktura) spolu s dalšími přílohami (pokud jsou smluvně požadovány) budou zasílány elektronicky, jako příloha emailové zprávy, </w:t>
      </w:r>
      <w:r>
        <w:rPr>
          <w:iCs/>
        </w:rPr>
        <w:br/>
      </w:r>
      <w:r w:rsidRPr="009D2928">
        <w:rPr>
          <w:iCs/>
        </w:rPr>
        <w:t xml:space="preserve">z e-mailové adresy ČP </w:t>
      </w:r>
      <w:hyperlink r:id="rId11" w:history="1">
        <w:r w:rsidR="000268D7" w:rsidRPr="000268D7">
          <w:rPr>
            <w:rStyle w:val="Hypertextovodkaz"/>
            <w:b/>
            <w:iCs/>
            <w:color w:val="000000" w:themeColor="text1"/>
          </w:rPr>
          <w:t>XXXXXXXXXXXXXXX</w:t>
        </w:r>
      </w:hyperlink>
      <w:r>
        <w:rPr>
          <w:b/>
        </w:rPr>
        <w:t xml:space="preserve"> </w:t>
      </w:r>
      <w:r w:rsidRPr="009D2928">
        <w:rPr>
          <w:iCs/>
        </w:rPr>
        <w:t xml:space="preserve">na e-mailovou adresu zákazníka </w:t>
      </w:r>
      <w:r w:rsidR="000268D7">
        <w:rPr>
          <w:b/>
          <w:iCs/>
          <w:u w:val="single"/>
        </w:rPr>
        <w:t>XXXXXXXXXXXXXXXX</w:t>
      </w:r>
      <w:r w:rsidRPr="009D2928">
        <w:rPr>
          <w:iCs/>
        </w:rPr>
        <w:t xml:space="preserve">. Elektronická faktura se považuje za doručenou dnem odeslání emailové zprávy, obsahující jako přílohu elektronickou fakturu, z e-mailové </w:t>
      </w:r>
      <w:r>
        <w:rPr>
          <w:iCs/>
        </w:rPr>
        <w:br/>
      </w:r>
      <w:r w:rsidRPr="009D2928">
        <w:rPr>
          <w:iCs/>
        </w:rPr>
        <w:t xml:space="preserve">adresy ČP </w:t>
      </w:r>
      <w:hyperlink r:id="rId12" w:history="1">
        <w:r w:rsidR="000268D7">
          <w:rPr>
            <w:rStyle w:val="Hypertextovodkaz"/>
            <w:b/>
            <w:iCs/>
            <w:color w:val="auto"/>
          </w:rPr>
          <w:t>XXXXXXXXXXXXXX</w:t>
        </w:r>
      </w:hyperlink>
      <w:r>
        <w:rPr>
          <w:rStyle w:val="Hypertextovodkaz"/>
          <w:iCs/>
          <w:color w:val="auto"/>
          <w:u w:val="none"/>
        </w:rPr>
        <w:t xml:space="preserve"> </w:t>
      </w:r>
      <w:r w:rsidRPr="009D2928">
        <w:rPr>
          <w:iCs/>
        </w:rPr>
        <w:t xml:space="preserve">na e-mailovou adresu zákazníka </w:t>
      </w:r>
      <w:r>
        <w:rPr>
          <w:iCs/>
        </w:rPr>
        <w:br/>
      </w:r>
      <w:r w:rsidR="000268D7">
        <w:rPr>
          <w:b/>
          <w:iCs/>
          <w:u w:val="single"/>
        </w:rPr>
        <w:t>XXXXXXXXXXXXXXXX</w:t>
      </w:r>
    </w:p>
    <w:p w:rsidR="0030236B" w:rsidRDefault="002D429E" w:rsidP="0052516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hanging="567"/>
        <w:rPr>
          <w:bCs/>
        </w:rPr>
      </w:pPr>
      <w:proofErr w:type="gramStart"/>
      <w:r>
        <w:rPr>
          <w:bCs/>
        </w:rPr>
        <w:t>1.5</w:t>
      </w:r>
      <w:proofErr w:type="gramEnd"/>
      <w:r w:rsidR="005C1FF8">
        <w:rPr>
          <w:bCs/>
        </w:rPr>
        <w:t>.</w:t>
      </w:r>
      <w:r w:rsidR="0030236B">
        <w:rPr>
          <w:bCs/>
        </w:rPr>
        <w:tab/>
        <w:t xml:space="preserve">Smluvní strany se dohodly na </w:t>
      </w:r>
      <w:r>
        <w:rPr>
          <w:bCs/>
        </w:rPr>
        <w:t>vložení nového ustanovení Čl. III</w:t>
      </w:r>
      <w:r w:rsidR="000C6035">
        <w:rPr>
          <w:bCs/>
        </w:rPr>
        <w:t>.</w:t>
      </w:r>
      <w:r>
        <w:rPr>
          <w:bCs/>
        </w:rPr>
        <w:t>, odst. 3.4.</w:t>
      </w:r>
      <w:r w:rsidR="0030236B">
        <w:rPr>
          <w:bCs/>
        </w:rPr>
        <w:t>, které zní:</w:t>
      </w:r>
    </w:p>
    <w:p w:rsidR="009B5868" w:rsidRDefault="0030236B" w:rsidP="0052516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left="567" w:right="28" w:hanging="567"/>
        <w:jc w:val="both"/>
      </w:pPr>
      <w:r>
        <w:rPr>
          <w:bCs/>
        </w:rPr>
        <w:t>„</w:t>
      </w:r>
      <w:proofErr w:type="gramStart"/>
      <w:r w:rsidR="002D429E">
        <w:rPr>
          <w:b/>
          <w:bCs/>
        </w:rPr>
        <w:t>3.4</w:t>
      </w:r>
      <w:proofErr w:type="gramEnd"/>
      <w:r w:rsidR="005C1FF8">
        <w:rPr>
          <w:b/>
          <w:bCs/>
        </w:rPr>
        <w:t>.</w:t>
      </w:r>
      <w:r w:rsidR="0006433C">
        <w:rPr>
          <w:b/>
          <w:bCs/>
        </w:rPr>
        <w:tab/>
      </w:r>
      <w:r w:rsidR="00AC1D94" w:rsidRPr="00AC1D94">
        <w:t xml:space="preserve">„Smluvní strany souhlasí s použitím faktur vystavených na základě Smlouvy výhradně </w:t>
      </w:r>
      <w:r w:rsidR="009D2928">
        <w:br/>
      </w:r>
      <w:r w:rsidR="00AC1D94" w:rsidRPr="00AC1D94">
        <w:t xml:space="preserve">v elektronické podobě (faktura má elektronickou podobu tehdy, pokud je vystavena </w:t>
      </w:r>
      <w:r w:rsidR="009D2928">
        <w:br/>
      </w:r>
      <w:r w:rsidR="00AC1D94" w:rsidRPr="00AC1D94">
        <w:t xml:space="preserve">a obdržena elektronicky) - dále jen „Elektronická faktura“. Smluvní strany sjednávají, že věrohodnost původu faktury v elektronické podobě a neporušenost jejího obsahu bude zajištěna v souladu s platnou právní úpravou. Zhotovitel je povinen doručit Objednateli fakturu elektronicky, a to výlučně e-mailem na e-mailovou adresu: </w:t>
      </w:r>
      <w:r w:rsidR="00AC1D94">
        <w:br/>
      </w:r>
      <w:r w:rsidR="00BE418A">
        <w:t xml:space="preserve">XXXXXXXXXXXXXXXXXX. </w:t>
      </w:r>
      <w:r w:rsidR="00AC1D94" w:rsidRPr="00AC1D94">
        <w:t>Zaslání Elektronické faktury Zhotovitelem na jinou e-mailovou adresu než uvedenou v předchozí větě je neúčinné. K odeslání Elektronické faktury je Zhotovitel povinen využít pouze e-mailovou adresu Zhotovitele uvedenou pro tento účel ve Smlouvě, jinak je zaslání Elektronické faktury neúčinné s výjimkou, budou-li průvodní e-mail k Elektronické faktuře či Elektronická faktura opatřeny zaručeným elektronickým podpisem, případně zaručenou elektronickou pečetí Zhotovitele. Elektronická faktura musí být Objednateli zaslána vždy ve formátu PDF a zároveň i ISDOC (ISDOCX), je-li to možné. Přílohy Elektronické faktury, které nejsou součástí daň</w:t>
      </w:r>
      <w:bookmarkStart w:id="0" w:name="_GoBack"/>
      <w:bookmarkEnd w:id="0"/>
      <w:r w:rsidR="00AC1D94" w:rsidRPr="00AC1D94">
        <w:t xml:space="preserve">ového </w:t>
      </w:r>
      <w:r w:rsidR="00AC1D94" w:rsidRPr="00AC1D94">
        <w:lastRenderedPageBreak/>
        <w:t xml:space="preserve">dokladu, budou zasílány Objednateli pouze ve formátech RTF, PDF, JPG, DOC, </w:t>
      </w:r>
      <w:proofErr w:type="spellStart"/>
      <w:r w:rsidR="00AC1D94" w:rsidRPr="00AC1D94">
        <w:t>DOCx</w:t>
      </w:r>
      <w:proofErr w:type="spellEnd"/>
      <w:r w:rsidR="00AC1D94" w:rsidRPr="00AC1D94">
        <w:t xml:space="preserve">, XLS, </w:t>
      </w:r>
      <w:proofErr w:type="spellStart"/>
      <w:r w:rsidR="00AC1D94" w:rsidRPr="00AC1D94">
        <w:t>XLSx</w:t>
      </w:r>
      <w:proofErr w:type="spellEnd"/>
      <w:r w:rsidR="00AC1D94" w:rsidRPr="00AC1D94">
        <w:t xml:space="preserve">. 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 podpisu, ve znění pozdějších předpisů, kvalifikovaný certifikát musí být vydán </w:t>
      </w:r>
      <w:proofErr w:type="gramStart"/>
      <w:r w:rsidR="00AC1D94" w:rsidRPr="00AC1D94">
        <w:t>jedním z Ministerstvem</w:t>
      </w:r>
      <w:proofErr w:type="gramEnd"/>
      <w:r w:rsidR="00AC1D94" w:rsidRPr="00AC1D94">
        <w:t xml:space="preserve"> vnitra ČR akreditovaných poskytovatelů certifikačních služeb. Není-li Elektronická faktura opatřena zaručeným elektronickým podpisem, případně zaručenou elektronickou pečetí ve smyslu předchozí věty nebo není-li takto opatřen alespoň průvodní e-mail k Elektronické faktuře, musí být Elektronická faktura odeslána e-mailem výhradně z e-mailové adresy Zhotovitele uvedené pro tento účel ve Smlouvě, jehož přílohou je Elektronická faktura.  Elektronická faktura bude vyhotovena v četnosti 1 e-mail - 1 Elektronická faktura v samostatném souboru a její přílohy v samostatném souboru (souborech). V případě, kdy bude zaslána Objednateli Elektronická faktura, zavazuje se Zhotovitel nezasílat stejnou fakturu duplicitně v listinné podobě.“ </w:t>
      </w:r>
    </w:p>
    <w:p w:rsidR="00E22C07" w:rsidRPr="00D234A5" w:rsidRDefault="00D234A5" w:rsidP="009D2928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line="300" w:lineRule="exact"/>
        <w:ind w:left="567" w:right="2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:rsidR="005E25A1" w:rsidRDefault="00D234A5" w:rsidP="00053E57">
      <w:pPr>
        <w:pStyle w:val="Odstavecseseznamem"/>
        <w:spacing w:before="240"/>
        <w:ind w:left="567" w:hanging="567"/>
        <w:jc w:val="both"/>
      </w:pPr>
      <w:proofErr w:type="gramStart"/>
      <w:r>
        <w:t>2</w:t>
      </w:r>
      <w:r w:rsidR="004926DA">
        <w:t>.1</w:t>
      </w:r>
      <w:proofErr w:type="gramEnd"/>
      <w:r w:rsidR="004926DA">
        <w:t>.</w:t>
      </w:r>
      <w:r w:rsidR="004926DA">
        <w:tab/>
      </w:r>
      <w:r>
        <w:t xml:space="preserve">Ostatní ujednání Smlouvy se nemění a zůstávají nadále v platnosti. </w:t>
      </w:r>
    </w:p>
    <w:p w:rsidR="00267D2D" w:rsidRDefault="00D234A5" w:rsidP="00525165">
      <w:pPr>
        <w:pStyle w:val="Odstavecseseznamem"/>
        <w:spacing w:before="240"/>
        <w:ind w:left="567" w:hanging="567"/>
        <w:jc w:val="both"/>
      </w:pPr>
      <w:proofErr w:type="gramStart"/>
      <w:r>
        <w:t>2</w:t>
      </w:r>
      <w:r w:rsidR="004926DA">
        <w:t>.2</w:t>
      </w:r>
      <w:proofErr w:type="gramEnd"/>
      <w:r w:rsidR="004926DA">
        <w:t>.</w:t>
      </w:r>
      <w:r w:rsidR="004926DA">
        <w:tab/>
      </w:r>
      <w:r>
        <w:t xml:space="preserve">Tento Dodatek je </w:t>
      </w:r>
      <w:r w:rsidR="006F57CC">
        <w:t>uzavřen</w:t>
      </w:r>
      <w:r>
        <w:t xml:space="preserve"> dnem podpisu oběma </w:t>
      </w:r>
      <w:r w:rsidR="006F57CC">
        <w:t>S</w:t>
      </w:r>
      <w:r>
        <w:t xml:space="preserve">mluvními stranami. </w:t>
      </w:r>
    </w:p>
    <w:p w:rsidR="004926DA" w:rsidRDefault="00D234A5" w:rsidP="00525165">
      <w:pPr>
        <w:pStyle w:val="Odstavecseseznamem"/>
        <w:spacing w:before="240"/>
        <w:ind w:left="567" w:right="28" w:hanging="567"/>
        <w:jc w:val="both"/>
      </w:pPr>
      <w:proofErr w:type="gramStart"/>
      <w:r>
        <w:t>2</w:t>
      </w:r>
      <w:r w:rsidR="004926DA">
        <w:t>.3</w:t>
      </w:r>
      <w:proofErr w:type="gramEnd"/>
      <w:r w:rsidR="004926DA">
        <w:t>.</w:t>
      </w:r>
      <w:r w:rsidR="004926DA">
        <w:tab/>
      </w:r>
      <w:r w:rsidR="0094653C">
        <w:t xml:space="preserve">Tento </w:t>
      </w:r>
      <w:r>
        <w:t xml:space="preserve">Dodatek je sepsán ve </w:t>
      </w:r>
      <w:r w:rsidR="009D2928">
        <w:t>3</w:t>
      </w:r>
      <w:r>
        <w:t xml:space="preserve"> </w:t>
      </w:r>
      <w:r w:rsidR="0094653C">
        <w:t xml:space="preserve">(slovy: </w:t>
      </w:r>
      <w:r w:rsidR="009D2928">
        <w:t>třech</w:t>
      </w:r>
      <w:r w:rsidR="0094653C">
        <w:t xml:space="preserve">) </w:t>
      </w:r>
      <w:r>
        <w:t xml:space="preserve">vyhotoveních s platností originálu, </w:t>
      </w:r>
      <w:r w:rsidR="009D2928">
        <w:t>přičemž Objednatel obdrží dvě vyhotovení a Objednatel jedno vyhotovení.</w:t>
      </w:r>
    </w:p>
    <w:p w:rsidR="00267D2D" w:rsidRDefault="008F78E7" w:rsidP="00525165">
      <w:pPr>
        <w:spacing w:before="240" w:line="300" w:lineRule="exact"/>
        <w:ind w:left="567" w:right="28" w:hanging="567"/>
        <w:jc w:val="both"/>
      </w:pPr>
      <w:proofErr w:type="gramStart"/>
      <w:r>
        <w:t>2.4</w:t>
      </w:r>
      <w:proofErr w:type="gramEnd"/>
      <w:r w:rsidR="00267D2D">
        <w:t>.</w:t>
      </w:r>
      <w:r w:rsidR="00267D2D">
        <w:tab/>
      </w:r>
      <w:r w:rsidR="009D2928">
        <w:t>Tento Dodatek</w:t>
      </w:r>
      <w:r w:rsidR="00267D2D">
        <w:t xml:space="preserve"> bude </w:t>
      </w:r>
      <w:r w:rsidR="005C1FF8">
        <w:t>u</w:t>
      </w:r>
      <w:r w:rsidR="00267D2D">
        <w:t xml:space="preserve">veřejněn v registru smluv dle zákona č. 340/2015 Sb., o zvláštních podmínkách účinnosti některých smluv, uveřejňování těchto smluv a o registru smluv (zákon o registru smluv). Dle dohody Smluvních stran zajistí odeslání </w:t>
      </w:r>
      <w:r w:rsidR="009D2928">
        <w:t>tohoto Dodatku</w:t>
      </w:r>
      <w:r w:rsidR="00267D2D">
        <w:t xml:space="preserve"> správci registru smluv Zhotovitel. Zhotovitel je oprávněn před odesláním </w:t>
      </w:r>
      <w:r w:rsidR="009D2928">
        <w:t>Dodatku</w:t>
      </w:r>
      <w:r w:rsidR="00267D2D">
        <w:t xml:space="preserve"> správci registru smluv </w:t>
      </w:r>
      <w:r w:rsidR="009D2928">
        <w:t>v Dodatku</w:t>
      </w:r>
      <w:r w:rsidR="00267D2D">
        <w:t xml:space="preserve"> znečitelnit informace, na něž se nevztahuje </w:t>
      </w:r>
      <w:proofErr w:type="spellStart"/>
      <w:r w:rsidR="00267D2D">
        <w:t>uveřejňovací</w:t>
      </w:r>
      <w:proofErr w:type="spellEnd"/>
      <w:r w:rsidR="00267D2D">
        <w:t xml:space="preserve"> povinnost podle zákona o registru smluv.</w:t>
      </w:r>
    </w:p>
    <w:p w:rsidR="0069268C" w:rsidRDefault="0069268C" w:rsidP="00540820">
      <w:pPr>
        <w:tabs>
          <w:tab w:val="left" w:pos="284"/>
          <w:tab w:val="left" w:pos="5529"/>
        </w:tabs>
        <w:spacing w:before="36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  <w:t xml:space="preserve">Za </w:t>
      </w:r>
      <w:r w:rsidR="00A638C8">
        <w:t>Z</w:t>
      </w:r>
      <w:r>
        <w:t>hotovitele:</w:t>
      </w:r>
    </w:p>
    <w:p w:rsidR="00BB5C51" w:rsidRDefault="00540820" w:rsidP="00525165">
      <w:pPr>
        <w:pStyle w:val="Import26"/>
        <w:tabs>
          <w:tab w:val="clear" w:pos="5184"/>
          <w:tab w:val="left" w:leader="dot" w:pos="3686"/>
          <w:tab w:val="left" w:pos="5529"/>
          <w:tab w:val="left" w:leader="dot" w:pos="9356"/>
        </w:tabs>
        <w:spacing w:before="240" w:line="300" w:lineRule="exact"/>
        <w:ind w:firstLine="0"/>
      </w:pPr>
      <w:r>
        <w:t xml:space="preserve">V Praze </w:t>
      </w:r>
      <w:r w:rsidR="00BB5C51">
        <w:t>d</w:t>
      </w:r>
      <w:r w:rsidR="006C5393">
        <w:t>ne</w:t>
      </w:r>
      <w:r>
        <w:tab/>
      </w:r>
      <w:r w:rsidR="00FC62F0">
        <w:tab/>
      </w:r>
      <w:r w:rsidR="00BB5C51">
        <w:t>V</w:t>
      </w:r>
      <w:r w:rsidR="006C5393">
        <w:t xml:space="preserve"> Ostravě</w:t>
      </w:r>
      <w:r w:rsidR="00AA2477">
        <w:t xml:space="preserve"> dne</w:t>
      </w:r>
      <w:r w:rsidR="00AA2477">
        <w:tab/>
      </w:r>
    </w:p>
    <w:p w:rsidR="00AA2477" w:rsidRDefault="00AA2477" w:rsidP="00525165">
      <w:pPr>
        <w:pStyle w:val="Import26"/>
        <w:tabs>
          <w:tab w:val="clear" w:pos="5184"/>
          <w:tab w:val="left" w:leader="dot" w:pos="3686"/>
          <w:tab w:val="left" w:pos="5529"/>
          <w:tab w:val="left" w:leader="dot" w:pos="9356"/>
        </w:tabs>
        <w:spacing w:before="720" w:line="300" w:lineRule="exact"/>
        <w:ind w:firstLine="0"/>
      </w:pPr>
      <w:r>
        <w:tab/>
      </w:r>
      <w:r w:rsidR="00540820">
        <w:tab/>
      </w:r>
      <w:r w:rsidR="00540820">
        <w:tab/>
      </w:r>
    </w:p>
    <w:p w:rsidR="00BB5C51" w:rsidRDefault="00540820" w:rsidP="00540820">
      <w:pPr>
        <w:pStyle w:val="Import27"/>
        <w:tabs>
          <w:tab w:val="clear" w:pos="5472"/>
          <w:tab w:val="left" w:pos="5529"/>
        </w:tabs>
        <w:spacing w:before="60" w:line="300" w:lineRule="exact"/>
        <w:ind w:firstLine="0"/>
      </w:pPr>
      <w:r>
        <w:t xml:space="preserve">Mgr. Jozef </w:t>
      </w:r>
      <w:proofErr w:type="spellStart"/>
      <w:r>
        <w:t>Sinčák</w:t>
      </w:r>
      <w:proofErr w:type="spellEnd"/>
      <w:r>
        <w:t>, MBA</w:t>
      </w:r>
      <w:r w:rsidR="006C5393">
        <w:tab/>
      </w:r>
      <w:r w:rsidR="00CA0E80">
        <w:t>Eliška Marečková</w:t>
      </w:r>
      <w:r w:rsidR="00BB5C51">
        <w:tab/>
      </w:r>
    </w:p>
    <w:p w:rsidR="00BB5C51" w:rsidRDefault="00540820" w:rsidP="00540820">
      <w:pPr>
        <w:pStyle w:val="Import28"/>
        <w:tabs>
          <w:tab w:val="clear" w:pos="6192"/>
          <w:tab w:val="left" w:pos="1080"/>
          <w:tab w:val="left" w:pos="5529"/>
          <w:tab w:val="left" w:pos="6480"/>
        </w:tabs>
        <w:spacing w:before="20" w:line="300" w:lineRule="exact"/>
        <w:ind w:firstLine="0"/>
        <w:rPr>
          <w:rFonts w:ascii="Times New Roman" w:hAnsi="Times New Roman"/>
        </w:rPr>
      </w:pPr>
      <w:r w:rsidRPr="00540820">
        <w:rPr>
          <w:rFonts w:ascii="Times New Roman" w:hAnsi="Times New Roman"/>
          <w:bCs/>
        </w:rPr>
        <w:t>předseda představenstva</w:t>
      </w:r>
      <w:r w:rsidR="006C5393">
        <w:rPr>
          <w:rFonts w:ascii="Times New Roman" w:hAnsi="Times New Roman"/>
        </w:rPr>
        <w:tab/>
      </w:r>
      <w:r w:rsidR="00102AF9">
        <w:rPr>
          <w:rFonts w:ascii="Times New Roman" w:hAnsi="Times New Roman"/>
        </w:rPr>
        <w:t>manažer specializovaného útvaru</w:t>
      </w:r>
      <w:r w:rsidR="00BB5C51">
        <w:rPr>
          <w:rFonts w:ascii="Times New Roman" w:hAnsi="Times New Roman"/>
        </w:rPr>
        <w:tab/>
      </w:r>
    </w:p>
    <w:p w:rsidR="00BB5C51" w:rsidRDefault="006C5393" w:rsidP="00540820">
      <w:pPr>
        <w:tabs>
          <w:tab w:val="left" w:pos="5529"/>
        </w:tabs>
        <w:spacing w:before="20" w:line="300" w:lineRule="exact"/>
      </w:pPr>
      <w:r>
        <w:tab/>
      </w:r>
      <w:r w:rsidR="00102AF9">
        <w:t xml:space="preserve">zpracování </w:t>
      </w:r>
      <w:r w:rsidR="00C123DE">
        <w:t>peněžních služeb</w:t>
      </w:r>
    </w:p>
    <w:p w:rsidR="00540820" w:rsidRDefault="00540820" w:rsidP="00540820">
      <w:pPr>
        <w:tabs>
          <w:tab w:val="left" w:pos="5529"/>
        </w:tabs>
        <w:spacing w:before="20" w:line="300" w:lineRule="exact"/>
      </w:pPr>
      <w:r>
        <w:tab/>
      </w:r>
      <w:r w:rsidR="0069268C">
        <w:t xml:space="preserve">Česká pošta, </w:t>
      </w:r>
      <w:proofErr w:type="spellStart"/>
      <w:proofErr w:type="gramStart"/>
      <w:r w:rsidR="0069268C">
        <w:t>s.p</w:t>
      </w:r>
      <w:proofErr w:type="spellEnd"/>
      <w:r w:rsidR="0069268C">
        <w:t>.</w:t>
      </w:r>
      <w:proofErr w:type="gramEnd"/>
    </w:p>
    <w:p w:rsidR="00BB5C51" w:rsidRDefault="0069268C" w:rsidP="00540820">
      <w:pPr>
        <w:tabs>
          <w:tab w:val="left" w:leader="dot" w:pos="3686"/>
          <w:tab w:val="left" w:pos="5529"/>
        </w:tabs>
      </w:pPr>
      <w:r>
        <w:tab/>
      </w:r>
    </w:p>
    <w:p w:rsidR="00BA5A1E" w:rsidRDefault="00540820" w:rsidP="00540820">
      <w:pPr>
        <w:tabs>
          <w:tab w:val="left" w:pos="5387"/>
        </w:tabs>
        <w:spacing w:before="60" w:line="300" w:lineRule="exact"/>
      </w:pPr>
      <w:r>
        <w:t>PhDr. Filip Hájek</w:t>
      </w:r>
    </w:p>
    <w:p w:rsidR="00540820" w:rsidRPr="00540820" w:rsidRDefault="00540820" w:rsidP="00540820">
      <w:pPr>
        <w:tabs>
          <w:tab w:val="left" w:pos="5387"/>
        </w:tabs>
        <w:spacing w:before="20" w:line="300" w:lineRule="exact"/>
        <w:rPr>
          <w:bCs/>
        </w:rPr>
      </w:pPr>
      <w:r w:rsidRPr="00540820">
        <w:rPr>
          <w:bCs/>
        </w:rPr>
        <w:t>člen představenstva</w:t>
      </w:r>
    </w:p>
    <w:sectPr w:rsidR="00540820" w:rsidRPr="00540820">
      <w:headerReference w:type="default" r:id="rId13"/>
      <w:footerReference w:type="even" r:id="rId14"/>
      <w:footerReference w:type="default" r:id="rId15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78" w:rsidRDefault="00017078">
      <w:r>
        <w:separator/>
      </w:r>
    </w:p>
  </w:endnote>
  <w:endnote w:type="continuationSeparator" w:id="0">
    <w:p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2C" w:rsidRPr="00436E96" w:rsidRDefault="005C5D2C" w:rsidP="005C5D2C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BE418A">
      <w:rPr>
        <w:noProof/>
      </w:rPr>
      <w:t>3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fldSimple w:instr="NUMPAGES  \* Arabic  \* MERGEFORMAT">
      <w:r w:rsidR="00BE418A">
        <w:rPr>
          <w:noProof/>
        </w:rPr>
        <w:t>3</w:t>
      </w:r>
    </w:fldSimple>
    <w:r>
      <w:t>)</w:t>
    </w:r>
  </w:p>
  <w:p w:rsidR="00F56E01" w:rsidRDefault="00F56E01">
    <w:pPr>
      <w:pStyle w:val="Zpat"/>
      <w:rPr>
        <w:rFonts w:ascii="Times New Roman" w:hAnsi="Times New Roman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78" w:rsidRDefault="00017078">
      <w:r>
        <w:separator/>
      </w:r>
    </w:p>
  </w:footnote>
  <w:footnote w:type="continuationSeparator" w:id="0">
    <w:p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4A" w:rsidRPr="00E6080F" w:rsidRDefault="0082174A" w:rsidP="0082174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7BA0676" wp14:editId="6696D95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B2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82174A" w:rsidRPr="00BB2C84" w:rsidRDefault="0082174A" w:rsidP="0082174A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1C13AD" wp14:editId="042BBB7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0B">
      <w:rPr>
        <w:rFonts w:ascii="Arial" w:hAnsi="Arial" w:cs="Arial"/>
        <w:noProof/>
      </w:rPr>
      <w:t>Dodatek č. 1</w:t>
    </w:r>
    <w:r>
      <w:rPr>
        <w:rFonts w:ascii="Arial" w:hAnsi="Arial" w:cs="Arial"/>
        <w:noProof/>
      </w:rPr>
      <w:t xml:space="preserve"> ke Smlouvě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1CC3F2D1" wp14:editId="2446F7F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o nadstandardním zpracování poštovních poukázek A č</w:t>
    </w:r>
    <w:r w:rsidR="005C5D2C">
      <w:rPr>
        <w:rFonts w:ascii="Arial" w:hAnsi="Arial" w:cs="Arial"/>
        <w:noProof/>
      </w:rPr>
      <w:t xml:space="preserve">. </w:t>
    </w:r>
    <w:r w:rsidR="00CC540B">
      <w:rPr>
        <w:rFonts w:ascii="Arial" w:hAnsi="Arial" w:cs="Arial"/>
        <w:noProof/>
      </w:rPr>
      <w:t>10563</w:t>
    </w:r>
  </w:p>
  <w:p w:rsidR="0082174A" w:rsidRDefault="0082174A" w:rsidP="0082174A">
    <w:pPr>
      <w:pStyle w:val="Zhlav"/>
    </w:pPr>
  </w:p>
  <w:p w:rsidR="0082174A" w:rsidRDefault="0082174A" w:rsidP="008217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B2679"/>
    <w:multiLevelType w:val="hybridMultilevel"/>
    <w:tmpl w:val="D996F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6"/>
  </w:num>
  <w:num w:numId="7">
    <w:abstractNumId w:val="10"/>
  </w:num>
  <w:num w:numId="8">
    <w:abstractNumId w:val="33"/>
  </w:num>
  <w:num w:numId="9">
    <w:abstractNumId w:val="1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25"/>
  </w:num>
  <w:num w:numId="22">
    <w:abstractNumId w:val="32"/>
  </w:num>
  <w:num w:numId="23">
    <w:abstractNumId w:val="14"/>
  </w:num>
  <w:num w:numId="24">
    <w:abstractNumId w:val="3"/>
  </w:num>
  <w:num w:numId="25">
    <w:abstractNumId w:val="3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8"/>
  </w:num>
  <w:num w:numId="34">
    <w:abstractNumId w:val="22"/>
  </w:num>
  <w:num w:numId="35">
    <w:abstractNumId w:val="5"/>
  </w:num>
  <w:num w:numId="36">
    <w:abstractNumId w:val="15"/>
  </w:num>
  <w:num w:numId="37">
    <w:abstractNumId w:val="34"/>
  </w:num>
  <w:num w:numId="38">
    <w:abstractNumId w:val="28"/>
  </w:num>
  <w:num w:numId="39">
    <w:abstractNumId w:val="7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AB"/>
    <w:rsid w:val="000024A4"/>
    <w:rsid w:val="00017078"/>
    <w:rsid w:val="000268D7"/>
    <w:rsid w:val="00032D24"/>
    <w:rsid w:val="00034636"/>
    <w:rsid w:val="0004741F"/>
    <w:rsid w:val="00053E57"/>
    <w:rsid w:val="0006433C"/>
    <w:rsid w:val="00071A31"/>
    <w:rsid w:val="00076D3F"/>
    <w:rsid w:val="000934B2"/>
    <w:rsid w:val="000A1BF6"/>
    <w:rsid w:val="000A4F8E"/>
    <w:rsid w:val="000C6035"/>
    <w:rsid w:val="000C708B"/>
    <w:rsid w:val="000D1D87"/>
    <w:rsid w:val="000F586A"/>
    <w:rsid w:val="00102AF9"/>
    <w:rsid w:val="00111D43"/>
    <w:rsid w:val="0012546D"/>
    <w:rsid w:val="001330BB"/>
    <w:rsid w:val="00151917"/>
    <w:rsid w:val="001661AF"/>
    <w:rsid w:val="0018144D"/>
    <w:rsid w:val="00183FE3"/>
    <w:rsid w:val="00197494"/>
    <w:rsid w:val="001B28E8"/>
    <w:rsid w:val="001F19EB"/>
    <w:rsid w:val="002052D7"/>
    <w:rsid w:val="00231C71"/>
    <w:rsid w:val="00234F46"/>
    <w:rsid w:val="00235389"/>
    <w:rsid w:val="00256A53"/>
    <w:rsid w:val="00267D2D"/>
    <w:rsid w:val="00272676"/>
    <w:rsid w:val="002947B8"/>
    <w:rsid w:val="002B0FB3"/>
    <w:rsid w:val="002B123E"/>
    <w:rsid w:val="002B7A22"/>
    <w:rsid w:val="002C3BF0"/>
    <w:rsid w:val="002D263D"/>
    <w:rsid w:val="002D429E"/>
    <w:rsid w:val="002D5605"/>
    <w:rsid w:val="002E0449"/>
    <w:rsid w:val="002F13E3"/>
    <w:rsid w:val="0030236B"/>
    <w:rsid w:val="0032345A"/>
    <w:rsid w:val="00335646"/>
    <w:rsid w:val="00343C99"/>
    <w:rsid w:val="0034520E"/>
    <w:rsid w:val="00360379"/>
    <w:rsid w:val="00386813"/>
    <w:rsid w:val="003A21EC"/>
    <w:rsid w:val="003B232E"/>
    <w:rsid w:val="003B2BDE"/>
    <w:rsid w:val="003C53FD"/>
    <w:rsid w:val="003C7888"/>
    <w:rsid w:val="003D5F98"/>
    <w:rsid w:val="003E23AB"/>
    <w:rsid w:val="003F43CB"/>
    <w:rsid w:val="00424B6E"/>
    <w:rsid w:val="00440AD7"/>
    <w:rsid w:val="00445D05"/>
    <w:rsid w:val="0047719E"/>
    <w:rsid w:val="004926DA"/>
    <w:rsid w:val="004A72A9"/>
    <w:rsid w:val="004D2980"/>
    <w:rsid w:val="004F3CB8"/>
    <w:rsid w:val="0050464C"/>
    <w:rsid w:val="0051149C"/>
    <w:rsid w:val="00520B11"/>
    <w:rsid w:val="00525165"/>
    <w:rsid w:val="00535F34"/>
    <w:rsid w:val="00540820"/>
    <w:rsid w:val="005426B2"/>
    <w:rsid w:val="00551B16"/>
    <w:rsid w:val="00561CF4"/>
    <w:rsid w:val="005725A6"/>
    <w:rsid w:val="005804E4"/>
    <w:rsid w:val="005836D0"/>
    <w:rsid w:val="005C1FF8"/>
    <w:rsid w:val="005C39F7"/>
    <w:rsid w:val="005C4F59"/>
    <w:rsid w:val="005C5D2C"/>
    <w:rsid w:val="005E168D"/>
    <w:rsid w:val="005E25A1"/>
    <w:rsid w:val="005E3B2E"/>
    <w:rsid w:val="00606367"/>
    <w:rsid w:val="00613E9D"/>
    <w:rsid w:val="006462A7"/>
    <w:rsid w:val="00652422"/>
    <w:rsid w:val="00656143"/>
    <w:rsid w:val="00656B0F"/>
    <w:rsid w:val="00666403"/>
    <w:rsid w:val="00687062"/>
    <w:rsid w:val="0069268C"/>
    <w:rsid w:val="006B4F9A"/>
    <w:rsid w:val="006C211E"/>
    <w:rsid w:val="006C5393"/>
    <w:rsid w:val="006E44B3"/>
    <w:rsid w:val="006F57CC"/>
    <w:rsid w:val="007006C0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936C6"/>
    <w:rsid w:val="007D012F"/>
    <w:rsid w:val="007D64F8"/>
    <w:rsid w:val="007F5A4B"/>
    <w:rsid w:val="007F6D56"/>
    <w:rsid w:val="0081025F"/>
    <w:rsid w:val="0082174A"/>
    <w:rsid w:val="008369D7"/>
    <w:rsid w:val="008B004D"/>
    <w:rsid w:val="008B2F1F"/>
    <w:rsid w:val="008B693D"/>
    <w:rsid w:val="008C500F"/>
    <w:rsid w:val="008C6346"/>
    <w:rsid w:val="008D0EEF"/>
    <w:rsid w:val="008E1089"/>
    <w:rsid w:val="008E3BF6"/>
    <w:rsid w:val="008E4F3C"/>
    <w:rsid w:val="008F78E7"/>
    <w:rsid w:val="0093799E"/>
    <w:rsid w:val="00943470"/>
    <w:rsid w:val="0094653C"/>
    <w:rsid w:val="009552E0"/>
    <w:rsid w:val="009665A5"/>
    <w:rsid w:val="00967CCA"/>
    <w:rsid w:val="009703F4"/>
    <w:rsid w:val="009939BC"/>
    <w:rsid w:val="009B5868"/>
    <w:rsid w:val="009D2928"/>
    <w:rsid w:val="009F3FAF"/>
    <w:rsid w:val="00A12C50"/>
    <w:rsid w:val="00A350DF"/>
    <w:rsid w:val="00A3791F"/>
    <w:rsid w:val="00A50079"/>
    <w:rsid w:val="00A609A0"/>
    <w:rsid w:val="00A638C8"/>
    <w:rsid w:val="00A9556F"/>
    <w:rsid w:val="00AA2477"/>
    <w:rsid w:val="00AA3E19"/>
    <w:rsid w:val="00AB30EC"/>
    <w:rsid w:val="00AB3ABA"/>
    <w:rsid w:val="00AC1D94"/>
    <w:rsid w:val="00AC43B9"/>
    <w:rsid w:val="00B20F32"/>
    <w:rsid w:val="00B32DA8"/>
    <w:rsid w:val="00B36535"/>
    <w:rsid w:val="00B44387"/>
    <w:rsid w:val="00B46401"/>
    <w:rsid w:val="00B46D00"/>
    <w:rsid w:val="00B56D30"/>
    <w:rsid w:val="00B6268F"/>
    <w:rsid w:val="00B760E4"/>
    <w:rsid w:val="00B763C4"/>
    <w:rsid w:val="00B8168E"/>
    <w:rsid w:val="00B9523A"/>
    <w:rsid w:val="00BA1151"/>
    <w:rsid w:val="00BA5A1E"/>
    <w:rsid w:val="00BB3144"/>
    <w:rsid w:val="00BB5C51"/>
    <w:rsid w:val="00BB642D"/>
    <w:rsid w:val="00BD0C52"/>
    <w:rsid w:val="00BD4A6B"/>
    <w:rsid w:val="00BE292F"/>
    <w:rsid w:val="00BE418A"/>
    <w:rsid w:val="00BE5FF6"/>
    <w:rsid w:val="00BF226C"/>
    <w:rsid w:val="00BF2B4E"/>
    <w:rsid w:val="00C123DE"/>
    <w:rsid w:val="00C351B9"/>
    <w:rsid w:val="00C629E1"/>
    <w:rsid w:val="00C62BB3"/>
    <w:rsid w:val="00C70CC0"/>
    <w:rsid w:val="00C865DB"/>
    <w:rsid w:val="00C93823"/>
    <w:rsid w:val="00C9704D"/>
    <w:rsid w:val="00CA0E80"/>
    <w:rsid w:val="00CA353E"/>
    <w:rsid w:val="00CB0502"/>
    <w:rsid w:val="00CC540B"/>
    <w:rsid w:val="00CC5C64"/>
    <w:rsid w:val="00CD1241"/>
    <w:rsid w:val="00CF0602"/>
    <w:rsid w:val="00CF3F04"/>
    <w:rsid w:val="00CF7F80"/>
    <w:rsid w:val="00D20E1A"/>
    <w:rsid w:val="00D234A5"/>
    <w:rsid w:val="00D465CD"/>
    <w:rsid w:val="00D519A7"/>
    <w:rsid w:val="00D63B13"/>
    <w:rsid w:val="00D7581C"/>
    <w:rsid w:val="00D81C59"/>
    <w:rsid w:val="00D8429E"/>
    <w:rsid w:val="00D8527F"/>
    <w:rsid w:val="00DA2261"/>
    <w:rsid w:val="00DC736C"/>
    <w:rsid w:val="00DD3D8A"/>
    <w:rsid w:val="00DF752F"/>
    <w:rsid w:val="00E01615"/>
    <w:rsid w:val="00E0753A"/>
    <w:rsid w:val="00E139D3"/>
    <w:rsid w:val="00E2019B"/>
    <w:rsid w:val="00E22C07"/>
    <w:rsid w:val="00E31878"/>
    <w:rsid w:val="00E5233D"/>
    <w:rsid w:val="00E56EB8"/>
    <w:rsid w:val="00E66F05"/>
    <w:rsid w:val="00E97E16"/>
    <w:rsid w:val="00EB25AD"/>
    <w:rsid w:val="00EE34D4"/>
    <w:rsid w:val="00EE7256"/>
    <w:rsid w:val="00EF5AD5"/>
    <w:rsid w:val="00EF75A2"/>
    <w:rsid w:val="00F2078B"/>
    <w:rsid w:val="00F25209"/>
    <w:rsid w:val="00F30C4E"/>
    <w:rsid w:val="00F31DA8"/>
    <w:rsid w:val="00F51FAD"/>
    <w:rsid w:val="00F56E01"/>
    <w:rsid w:val="00F623E6"/>
    <w:rsid w:val="00FA4ED5"/>
    <w:rsid w:val="00FB1C14"/>
    <w:rsid w:val="00FB7296"/>
    <w:rsid w:val="00FC16CA"/>
    <w:rsid w:val="00FC62F0"/>
    <w:rsid w:val="00FD045C"/>
    <w:rsid w:val="00FD4E45"/>
    <w:rsid w:val="00FE2A1D"/>
    <w:rsid w:val="00FE400C"/>
    <w:rsid w:val="00FE570A"/>
    <w:rsid w:val="00FE73FB"/>
    <w:rsid w:val="00FF133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0C42FA"/>
  <w15:docId w15:val="{FB3F6EAF-4764-423D-96BF-F8649D7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821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3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7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7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anova@tsk-prah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cto.fakturaceceskaposta@cpos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XXXXXXX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voz.vakvi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scs.ov@cpos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2BC0-6932-4BFF-A954-A2D8D110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785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6111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Folvarčná Pavlína</cp:lastModifiedBy>
  <cp:revision>4</cp:revision>
  <cp:lastPrinted>2018-05-24T11:30:00Z</cp:lastPrinted>
  <dcterms:created xsi:type="dcterms:W3CDTF">2021-02-25T08:18:00Z</dcterms:created>
  <dcterms:modified xsi:type="dcterms:W3CDTF">2021-02-25T08:33:00Z</dcterms:modified>
</cp:coreProperties>
</file>