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88900" distR="88900" simplePos="0" relativeHeight="125829378" behindDoc="0" locked="0" layoutInCell="1" allowOverlap="1">
            <wp:simplePos x="0" y="0"/>
            <wp:positionH relativeFrom="page">
              <wp:posOffset>87630</wp:posOffset>
            </wp:positionH>
            <wp:positionV relativeFrom="paragraph">
              <wp:posOffset>12700</wp:posOffset>
            </wp:positionV>
            <wp:extent cx="1207135" cy="319405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207135" cy="3194050"/>
                    </a:xfrm>
                    <a:prstGeom prst="rect"/>
                  </pic:spPr>
                </pic:pic>
              </a:graphicData>
            </a:graphic>
          </wp:anchor>
        </w:drawing>
      </w:r>
      <w:r>
        <mc:AlternateContent>
          <mc:Choice Requires="wps">
            <w:drawing>
              <wp:anchor distT="340360" distB="0" distL="123190" distR="114300" simplePos="0" relativeHeight="125829379" behindDoc="0" locked="0" layoutInCell="1" allowOverlap="1">
                <wp:simplePos x="0" y="0"/>
                <wp:positionH relativeFrom="page">
                  <wp:posOffset>1468120</wp:posOffset>
                </wp:positionH>
                <wp:positionV relativeFrom="paragraph">
                  <wp:posOffset>1115695</wp:posOffset>
                </wp:positionV>
                <wp:extent cx="5673725" cy="1275715"/>
                <wp:wrapTopAndBottom/>
                <wp:docPr id="3" name="Shape 3"/>
                <a:graphic xmlns:a="http://schemas.openxmlformats.org/drawingml/2006/main">
                  <a:graphicData uri="http://schemas.microsoft.com/office/word/2010/wordprocessingShape">
                    <wps:wsp>
                      <wps:cNvSpPr txBox="1"/>
                      <wps:spPr>
                        <a:xfrm>
                          <a:ext cx="5673725" cy="1275715"/>
                        </a:xfrm>
                        <a:prstGeom prst="rect"/>
                        <a:noFill/>
                      </wps:spPr>
                      <wps:txbx>
                        <w:txbxContent>
                          <w:tbl>
                            <w:tblPr>
                              <w:tblOverlap w:val="never"/>
                              <w:jc w:val="left"/>
                              <w:tblLayout w:type="fixed"/>
                            </w:tblPr>
                            <w:tblGrid>
                              <w:gridCol w:w="1883"/>
                              <w:gridCol w:w="3067"/>
                              <w:gridCol w:w="1440"/>
                              <w:gridCol w:w="2545"/>
                            </w:tblGrid>
                            <w:tr>
                              <w:trPr>
                                <w:tblHeader/>
                                <w:trHeight w:val="490"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Nabyvatel:</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Krajská správa a údržba silnic Vysočiny, příspěvková organizace</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Číslo zákazníka:</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09428</w:t>
                                  </w:r>
                                </w:p>
                              </w:tc>
                            </w:tr>
                            <w:tr>
                              <w:trPr>
                                <w:trHeight w:val="310"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zastoupen:</w:t>
                                  </w:r>
                                </w:p>
                              </w:tc>
                              <w:tc>
                                <w:tcPr>
                                  <w:gridSpan w:val="3"/>
                                  <w:tcBorders>
                                    <w:top w:val="single" w:sz="4"/>
                                    <w:left w:val="single" w:sz="4"/>
                                  </w:tcBorders>
                                  <w:shd w:val="clear" w:color="auto" w:fill="FFFFFF"/>
                                  <w:vAlign w:val="top"/>
                                </w:tcPr>
                                <w:p>
                                  <w:pPr>
                                    <w:widowControl w:val="0"/>
                                    <w:rPr>
                                      <w:sz w:val="10"/>
                                      <w:szCs w:val="10"/>
                                    </w:rPr>
                                  </w:pPr>
                                </w:p>
                              </w:tc>
                            </w:tr>
                            <w:tr>
                              <w:trPr>
                                <w:trHeight w:val="299"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Sídlo (místo podnikání):</w:t>
                                  </w:r>
                                </w:p>
                              </w:tc>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Kosovská 1122/16, 586 01 Jihlava</w:t>
                                  </w:r>
                                </w:p>
                              </w:tc>
                            </w:tr>
                            <w:tr>
                              <w:trPr>
                                <w:trHeight w:val="302"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Telefon: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Fax:</w:t>
                                  </w:r>
                                </w:p>
                              </w:tc>
                              <w:tc>
                                <w:tcPr>
                                  <w:tcBorders>
                                    <w:top w:val="single" w:sz="4"/>
                                    <w:left w:val="single" w:sz="4"/>
                                  </w:tcBorders>
                                  <w:shd w:val="clear" w:color="auto" w:fill="FFFFFF"/>
                                  <w:vAlign w:val="top"/>
                                </w:tcPr>
                                <w:p>
                                  <w:pPr>
                                    <w:widowControl w:val="0"/>
                                    <w:rPr>
                                      <w:sz w:val="10"/>
                                      <w:szCs w:val="10"/>
                                    </w:rPr>
                                  </w:pPr>
                                </w:p>
                              </w:tc>
                            </w:tr>
                            <w:tr>
                              <w:trPr>
                                <w:trHeight w:val="302"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IČ:</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90450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DIČ:</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CZ00090450</w:t>
                                  </w:r>
                                </w:p>
                              </w:tc>
                            </w:tr>
                            <w:tr>
                              <w:trPr>
                                <w:trHeight w:val="306" w:hRule="exact"/>
                              </w:trPr>
                              <w:tc>
                                <w:tcPr>
                                  <w:tcBorders>
                                    <w:top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Banka:</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účtu:</w:t>
                                  </w:r>
                                </w:p>
                              </w:tc>
                              <w:tc>
                                <w:tcPr>
                                  <w:tcBorders>
                                    <w:top w:val="single" w:sz="4"/>
                                    <w:left w:val="single" w:sz="4"/>
                                    <w:bottom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15.59999999999999pt;margin-top:87.849999999999994pt;width:446.75pt;height:100.45pt;z-index:-125829374;mso-wrap-distance-left:9.6999999999999993pt;mso-wrap-distance-top:26.800000000000001pt;mso-wrap-distance-right:9.pt;mso-position-horizontal-relative:page" filled="f" stroked="f">
                <v:textbox inset="0,0,0,0">
                  <w:txbxContent>
                    <w:tbl>
                      <w:tblPr>
                        <w:tblOverlap w:val="never"/>
                        <w:jc w:val="left"/>
                        <w:tblLayout w:type="fixed"/>
                      </w:tblPr>
                      <w:tblGrid>
                        <w:gridCol w:w="1883"/>
                        <w:gridCol w:w="3067"/>
                        <w:gridCol w:w="1440"/>
                        <w:gridCol w:w="2545"/>
                      </w:tblGrid>
                      <w:tr>
                        <w:trPr>
                          <w:tblHeader/>
                          <w:trHeight w:val="490"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Nabyvatel:</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Krajská správa a údržba silnic Vysočiny, příspěvková organizace</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Číslo zákazníka:</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09428</w:t>
                            </w:r>
                          </w:p>
                        </w:tc>
                      </w:tr>
                      <w:tr>
                        <w:trPr>
                          <w:trHeight w:val="310"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zastoupen:</w:t>
                            </w:r>
                          </w:p>
                        </w:tc>
                        <w:tc>
                          <w:tcPr>
                            <w:gridSpan w:val="3"/>
                            <w:tcBorders>
                              <w:top w:val="single" w:sz="4"/>
                              <w:left w:val="single" w:sz="4"/>
                            </w:tcBorders>
                            <w:shd w:val="clear" w:color="auto" w:fill="FFFFFF"/>
                            <w:vAlign w:val="top"/>
                          </w:tcPr>
                          <w:p>
                            <w:pPr>
                              <w:widowControl w:val="0"/>
                              <w:rPr>
                                <w:sz w:val="10"/>
                                <w:szCs w:val="10"/>
                              </w:rPr>
                            </w:pPr>
                          </w:p>
                        </w:tc>
                      </w:tr>
                      <w:tr>
                        <w:trPr>
                          <w:trHeight w:val="299"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Sídlo (místo podnikání):</w:t>
                            </w:r>
                          </w:p>
                        </w:tc>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Kosovská 1122/16, 586 01 Jihlava</w:t>
                            </w:r>
                          </w:p>
                        </w:tc>
                      </w:tr>
                      <w:tr>
                        <w:trPr>
                          <w:trHeight w:val="302"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Telefon: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Fax:</w:t>
                            </w:r>
                          </w:p>
                        </w:tc>
                        <w:tc>
                          <w:tcPr>
                            <w:tcBorders>
                              <w:top w:val="single" w:sz="4"/>
                              <w:left w:val="single" w:sz="4"/>
                            </w:tcBorders>
                            <w:shd w:val="clear" w:color="auto" w:fill="FFFFFF"/>
                            <w:vAlign w:val="top"/>
                          </w:tcPr>
                          <w:p>
                            <w:pPr>
                              <w:widowControl w:val="0"/>
                              <w:rPr>
                                <w:sz w:val="10"/>
                                <w:szCs w:val="10"/>
                              </w:rPr>
                            </w:pPr>
                          </w:p>
                        </w:tc>
                      </w:tr>
                      <w:tr>
                        <w:trPr>
                          <w:trHeight w:val="302"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IČ:</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90450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DIČ:</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CZ00090450</w:t>
                            </w:r>
                          </w:p>
                        </w:tc>
                      </w:tr>
                      <w:tr>
                        <w:trPr>
                          <w:trHeight w:val="306" w:hRule="exact"/>
                        </w:trPr>
                        <w:tc>
                          <w:tcPr>
                            <w:tcBorders>
                              <w:top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Banka:</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účtu:</w:t>
                            </w:r>
                          </w:p>
                        </w:tc>
                        <w:tc>
                          <w:tcPr>
                            <w:tcBorders>
                              <w:top w:val="single" w:sz="4"/>
                              <w:left w:val="single" w:sz="4"/>
                              <w:bottom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1459230</wp:posOffset>
                </wp:positionH>
                <wp:positionV relativeFrom="paragraph">
                  <wp:posOffset>864235</wp:posOffset>
                </wp:positionV>
                <wp:extent cx="5067935" cy="141605"/>
                <wp:wrapNone/>
                <wp:docPr id="5" name="Shape 5"/>
                <a:graphic xmlns:a="http://schemas.openxmlformats.org/drawingml/2006/main">
                  <a:graphicData uri="http://schemas.microsoft.com/office/word/2010/wordprocessingShape">
                    <wps:wsp>
                      <wps:cNvSpPr txBox="1"/>
                      <wps:spPr>
                        <a:xfrm>
                          <a:ext cx="5067935" cy="1416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poskytování technické podpory a update software Aspe’ uzavřená ve smyslu ustanovení § 1746 odst. 2 z.č. 89/2O12Sb.</w:t>
                            </w:r>
                          </w:p>
                        </w:txbxContent>
                      </wps:txbx>
                      <wps:bodyPr lIns="0" tIns="0" rIns="0" bIns="0">
                        <a:noAutoFit/>
                      </wps:bodyPr>
                    </wps:wsp>
                  </a:graphicData>
                </a:graphic>
              </wp:anchor>
            </w:drawing>
          </mc:Choice>
          <mc:Fallback>
            <w:pict>
              <v:shape id="_x0000_s1031" type="#_x0000_t202" style="position:absolute;margin-left:114.90000000000001pt;margin-top:68.049999999999997pt;width:399.05000000000001pt;height:11.15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poskytování technické podpory a update software Aspe’ uzavřená ve smyslu ustanovení § 1746 odst. 2 z.č. 89/2O12Sb.</w:t>
                      </w:r>
                    </w:p>
                  </w:txbxContent>
                </v:textbox>
                <w10:wrap anchorx="page"/>
              </v:shape>
            </w:pict>
          </mc:Fallback>
        </mc:AlternateContent>
      </w:r>
      <w:r>
        <mc:AlternateContent>
          <mc:Choice Requires="wps">
            <w:drawing>
              <wp:anchor distT="230505" distB="50800" distL="114300" distR="114300" simplePos="0" relativeHeight="125829381" behindDoc="0" locked="0" layoutInCell="1" allowOverlap="1">
                <wp:simplePos x="0" y="0"/>
                <wp:positionH relativeFrom="page">
                  <wp:posOffset>1468120</wp:posOffset>
                </wp:positionH>
                <wp:positionV relativeFrom="paragraph">
                  <wp:posOffset>2569845</wp:posOffset>
                </wp:positionV>
                <wp:extent cx="5673725" cy="1718945"/>
                <wp:wrapTopAndBottom/>
                <wp:docPr id="7" name="Shape 7"/>
                <a:graphic xmlns:a="http://schemas.openxmlformats.org/drawingml/2006/main">
                  <a:graphicData uri="http://schemas.microsoft.com/office/word/2010/wordprocessingShape">
                    <wps:wsp>
                      <wps:cNvSpPr txBox="1"/>
                      <wps:spPr>
                        <a:xfrm>
                          <a:ext cx="5673725" cy="1718945"/>
                        </a:xfrm>
                        <a:prstGeom prst="rect"/>
                        <a:noFill/>
                      </wps:spPr>
                      <wps:txbx>
                        <w:txbxContent>
                          <w:tbl>
                            <w:tblPr>
                              <w:tblOverlap w:val="never"/>
                              <w:jc w:val="left"/>
                              <w:tblLayout w:type="fixed"/>
                            </w:tblPr>
                            <w:tblGrid>
                              <w:gridCol w:w="1883"/>
                              <w:gridCol w:w="3071"/>
                              <w:gridCol w:w="1440"/>
                              <w:gridCol w:w="2542"/>
                            </w:tblGrid>
                            <w:tr>
                              <w:trPr>
                                <w:tblHeader/>
                                <w:trHeight w:val="882"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Poskytovatel:</w:t>
                                  </w:r>
                                </w:p>
                              </w:tc>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Valbek, spol. s r.o.</w:t>
                                  </w:r>
                                </w:p>
                              </w:tc>
                            </w:tr>
                            <w:tr>
                              <w:trPr>
                                <w:trHeight w:val="310"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Zastoupený:</w:t>
                                  </w:r>
                                </w:p>
                              </w:tc>
                              <w:tc>
                                <w:tcPr>
                                  <w:gridSpan w:val="3"/>
                                  <w:tcBorders>
                                    <w:top w:val="single" w:sz="4"/>
                                    <w:left w:val="single" w:sz="4"/>
                                  </w:tcBorders>
                                  <w:shd w:val="clear" w:color="auto" w:fill="FFFFFF"/>
                                  <w:vAlign w:val="top"/>
                                </w:tcPr>
                                <w:p>
                                  <w:pPr>
                                    <w:widowControl w:val="0"/>
                                    <w:rPr>
                                      <w:sz w:val="10"/>
                                      <w:szCs w:val="10"/>
                                    </w:rPr>
                                  </w:pPr>
                                </w:p>
                              </w:tc>
                            </w:tr>
                            <w:tr>
                              <w:trPr>
                                <w:trHeight w:val="295"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Adresa:</w:t>
                                  </w:r>
                                </w:p>
                              </w:tc>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Vaňurova 505/17, Liberec</w:t>
                                  </w:r>
                                </w:p>
                              </w:tc>
                            </w:tr>
                            <w:tr>
                              <w:trPr>
                                <w:trHeight w:val="302"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Telefon:</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485 103 336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Fax:</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485 103 336</w:t>
                                  </w:r>
                                </w:p>
                              </w:tc>
                            </w:tr>
                            <w:tr>
                              <w:trPr>
                                <w:trHeight w:val="302"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IČ:</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48266230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DIČ:</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CZ48266230</w:t>
                                  </w:r>
                                </w:p>
                              </w:tc>
                            </w:tr>
                            <w:tr>
                              <w:trPr>
                                <w:trHeight w:val="295"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Banka:</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KB - Liberec</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účtu:</w:t>
                                  </w:r>
                                </w:p>
                              </w:tc>
                              <w:tc>
                                <w:tcPr>
                                  <w:tcBorders>
                                    <w:top w:val="single" w:sz="4"/>
                                    <w:left w:val="single" w:sz="4"/>
                                  </w:tcBorders>
                                  <w:shd w:val="clear" w:color="auto" w:fill="FFFFFF"/>
                                  <w:vAlign w:val="top"/>
                                </w:tcPr>
                                <w:p>
                                  <w:pPr>
                                    <w:widowControl w:val="0"/>
                                    <w:rPr>
                                      <w:sz w:val="10"/>
                                      <w:szCs w:val="10"/>
                                    </w:rPr>
                                  </w:pPr>
                                </w:p>
                              </w:tc>
                            </w:tr>
                            <w:tr>
                              <w:trPr>
                                <w:trHeight w:val="320" w:hRule="exact"/>
                              </w:trPr>
                              <w:tc>
                                <w:tcPr>
                                  <w:gridSpan w:val="4"/>
                                  <w:tcBorders>
                                    <w:top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Zápis v OR: Krajský soud Ústí nad Labem, oddíl C, vložka 4487</w:t>
                                  </w: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115.59999999999999pt;margin-top:202.34999999999999pt;width:446.75pt;height:135.34999999999999pt;z-index:-125829372;mso-wrap-distance-left:9.pt;mso-wrap-distance-top:18.149999999999999pt;mso-wrap-distance-right:9.pt;mso-wrap-distance-bottom:4.pt;mso-position-horizontal-relative:page" filled="f" stroked="f">
                <v:textbox inset="0,0,0,0">
                  <w:txbxContent>
                    <w:tbl>
                      <w:tblPr>
                        <w:tblOverlap w:val="never"/>
                        <w:jc w:val="left"/>
                        <w:tblLayout w:type="fixed"/>
                      </w:tblPr>
                      <w:tblGrid>
                        <w:gridCol w:w="1883"/>
                        <w:gridCol w:w="3071"/>
                        <w:gridCol w:w="1440"/>
                        <w:gridCol w:w="2542"/>
                      </w:tblGrid>
                      <w:tr>
                        <w:trPr>
                          <w:tblHeader/>
                          <w:trHeight w:val="882"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Poskytovatel:</w:t>
                            </w:r>
                          </w:p>
                        </w:tc>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Valbek, spol. s r.o.</w:t>
                            </w:r>
                          </w:p>
                        </w:tc>
                      </w:tr>
                      <w:tr>
                        <w:trPr>
                          <w:trHeight w:val="310"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Zastoupený:</w:t>
                            </w:r>
                          </w:p>
                        </w:tc>
                        <w:tc>
                          <w:tcPr>
                            <w:gridSpan w:val="3"/>
                            <w:tcBorders>
                              <w:top w:val="single" w:sz="4"/>
                              <w:left w:val="single" w:sz="4"/>
                            </w:tcBorders>
                            <w:shd w:val="clear" w:color="auto" w:fill="FFFFFF"/>
                            <w:vAlign w:val="top"/>
                          </w:tcPr>
                          <w:p>
                            <w:pPr>
                              <w:widowControl w:val="0"/>
                              <w:rPr>
                                <w:sz w:val="10"/>
                                <w:szCs w:val="10"/>
                              </w:rPr>
                            </w:pPr>
                          </w:p>
                        </w:tc>
                      </w:tr>
                      <w:tr>
                        <w:trPr>
                          <w:trHeight w:val="295"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Adresa:</w:t>
                            </w:r>
                          </w:p>
                        </w:tc>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Vaňurova 505/17, Liberec</w:t>
                            </w:r>
                          </w:p>
                        </w:tc>
                      </w:tr>
                      <w:tr>
                        <w:trPr>
                          <w:trHeight w:val="302"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Telefon:</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485 103 336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Fax:</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485 103 336</w:t>
                            </w:r>
                          </w:p>
                        </w:tc>
                      </w:tr>
                      <w:tr>
                        <w:trPr>
                          <w:trHeight w:val="302"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IČ:</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48266230</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DIČ:</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CZ48266230</w:t>
                            </w:r>
                          </w:p>
                        </w:tc>
                      </w:tr>
                      <w:tr>
                        <w:trPr>
                          <w:trHeight w:val="295" w:hRule="exact"/>
                        </w:trPr>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Banka:</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KB - Liberec</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Číslo účtu:</w:t>
                            </w:r>
                          </w:p>
                        </w:tc>
                        <w:tc>
                          <w:tcPr>
                            <w:tcBorders>
                              <w:top w:val="single" w:sz="4"/>
                              <w:left w:val="single" w:sz="4"/>
                            </w:tcBorders>
                            <w:shd w:val="clear" w:color="auto" w:fill="FFFFFF"/>
                            <w:vAlign w:val="top"/>
                          </w:tcPr>
                          <w:p>
                            <w:pPr>
                              <w:widowControl w:val="0"/>
                              <w:rPr>
                                <w:sz w:val="10"/>
                                <w:szCs w:val="10"/>
                              </w:rPr>
                            </w:pPr>
                          </w:p>
                        </w:tc>
                      </w:tr>
                      <w:tr>
                        <w:trPr>
                          <w:trHeight w:val="320" w:hRule="exact"/>
                        </w:trPr>
                        <w:tc>
                          <w:tcPr>
                            <w:gridSpan w:val="4"/>
                            <w:tcBorders>
                              <w:top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Zápis v OR: Krajský soud Ústí nad Labem, oddíl C, vložka 4487</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1509395</wp:posOffset>
                </wp:positionH>
                <wp:positionV relativeFrom="paragraph">
                  <wp:posOffset>2402840</wp:posOffset>
                </wp:positionV>
                <wp:extent cx="553085" cy="164465"/>
                <wp:wrapNone/>
                <wp:docPr id="9" name="Shape 9"/>
                <a:graphic xmlns:a="http://schemas.openxmlformats.org/drawingml/2006/main">
                  <a:graphicData uri="http://schemas.microsoft.com/office/word/2010/wordprocessingShape">
                    <wps:wsp>
                      <wps:cNvSpPr txBox="1"/>
                      <wps:spPr>
                        <a:xfrm>
                          <a:ext cx="553085" cy="1644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Zápis v OR:</w:t>
                            </w:r>
                          </w:p>
                        </w:txbxContent>
                      </wps:txbx>
                      <wps:bodyPr lIns="0" tIns="0" rIns="0" bIns="0">
                        <a:noAutoFit/>
                      </wps:bodyPr>
                    </wps:wsp>
                  </a:graphicData>
                </a:graphic>
              </wp:anchor>
            </w:drawing>
          </mc:Choice>
          <mc:Fallback>
            <w:pict>
              <v:shape id="_x0000_s1035" type="#_x0000_t202" style="position:absolute;margin-left:118.84999999999999pt;margin-top:189.19999999999999pt;width:43.549999999999997pt;height:12.949999999999999pt;z-index:25165773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Zápis v OR:</w:t>
                      </w:r>
                    </w:p>
                  </w:txbxContent>
                </v:textbox>
                <w10:wrap anchorx="page"/>
              </v:shape>
            </w:pict>
          </mc:Fallback>
        </mc:AlternateContent>
      </w:r>
    </w:p>
    <w:p>
      <w:pPr>
        <w:pStyle w:val="Style13"/>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podpoře Aspe* číslo: P-2014-09428-1</w:t>
      </w:r>
      <w:bookmarkEnd w:id="0"/>
      <w:bookmarkEnd w:id="1"/>
    </w:p>
    <w:p>
      <w:pPr>
        <w:pStyle w:val="Style9"/>
        <w:keepNext w:val="0"/>
        <w:keepLines w:val="0"/>
        <w:widowControl w:val="0"/>
        <w:shd w:val="clear" w:color="auto" w:fill="auto"/>
        <w:tabs>
          <w:tab w:pos="2135" w:val="left"/>
        </w:tabs>
        <w:bidi w:val="0"/>
        <w:spacing w:before="120" w:after="0" w:line="240" w:lineRule="auto"/>
        <w:ind w:left="0" w:right="0" w:firstLine="0"/>
        <w:jc w:val="both"/>
      </w:pPr>
      <w:r>
        <w:rPr>
          <w:b/>
          <w:bCs/>
          <w:color w:val="000000"/>
          <w:spacing w:val="0"/>
          <w:w w:val="100"/>
          <w:position w:val="0"/>
          <w:shd w:val="clear" w:color="auto" w:fill="auto"/>
          <w:lang w:val="cs-CZ" w:eastAsia="cs-CZ" w:bidi="cs-CZ"/>
        </w:rPr>
        <w:t>Fakturační místo:</w:t>
        <w:tab/>
      </w:r>
      <w:r>
        <w:rPr>
          <w:color w:val="000000"/>
          <w:spacing w:val="0"/>
          <w:w w:val="100"/>
          <w:position w:val="0"/>
          <w:shd w:val="clear" w:color="auto" w:fill="auto"/>
          <w:lang w:val="cs-CZ" w:eastAsia="cs-CZ" w:bidi="cs-CZ"/>
        </w:rPr>
        <w:t>Krajská správa a údržba silnic Vysočiny, příspěvková organizace, Kosovská 1122/16, 586 01</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9"/>
        <w:keepNext w:val="0"/>
        <w:keepLines w:val="0"/>
        <w:widowControl w:val="0"/>
        <w:shd w:val="clear" w:color="auto" w:fill="auto"/>
        <w:tabs>
          <w:tab w:pos="213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Pro pracoviště:</w:t>
        <w:tab/>
      </w:r>
      <w:r>
        <w:rPr>
          <w:color w:val="000000"/>
          <w:spacing w:val="0"/>
          <w:w w:val="100"/>
          <w:position w:val="0"/>
          <w:shd w:val="clear" w:color="auto" w:fill="auto"/>
          <w:lang w:val="cs-CZ" w:eastAsia="cs-CZ" w:bidi="cs-CZ"/>
        </w:rPr>
        <w:t>Krajská správa a údržba silnic Vysočiny, příspěvková organizace, Kosovská 1122/16, 586 01</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9"/>
        <w:keepNext w:val="0"/>
        <w:keepLines w:val="0"/>
        <w:widowControl w:val="0"/>
        <w:shd w:val="clear" w:color="auto" w:fill="auto"/>
        <w:tabs>
          <w:tab w:pos="2135" w:val="left"/>
        </w:tabs>
        <w:bidi w:val="0"/>
        <w:spacing w:before="0" w:after="180" w:line="240" w:lineRule="auto"/>
        <w:ind w:left="0" w:right="0" w:firstLine="0"/>
        <w:jc w:val="left"/>
      </w:pPr>
      <w:r>
        <w:rPr>
          <w:b/>
          <w:bCs/>
          <w:color w:val="000000"/>
          <w:spacing w:val="0"/>
          <w:w w:val="100"/>
          <w:position w:val="0"/>
          <w:shd w:val="clear" w:color="auto" w:fill="auto"/>
          <w:lang w:val="cs-CZ" w:eastAsia="cs-CZ" w:bidi="cs-CZ"/>
        </w:rPr>
        <w:t>Platba bude prováděna:</w:t>
        <w:tab/>
      </w:r>
      <w:r>
        <w:rPr>
          <w:color w:val="000000"/>
          <w:spacing w:val="0"/>
          <w:w w:val="100"/>
          <w:position w:val="0"/>
          <w:shd w:val="clear" w:color="auto" w:fill="auto"/>
          <w:lang w:val="cs-CZ" w:eastAsia="cs-CZ" w:bidi="cs-CZ"/>
        </w:rPr>
        <w:t>ročně - výše roční sazby: 18%</w:t>
      </w:r>
    </w:p>
    <w:tbl>
      <w:tblPr>
        <w:tblOverlap w:val="never"/>
        <w:jc w:val="center"/>
        <w:tblLayout w:type="fixed"/>
      </w:tblPr>
      <w:tblGrid>
        <w:gridCol w:w="630"/>
        <w:gridCol w:w="770"/>
        <w:gridCol w:w="3420"/>
        <w:gridCol w:w="1724"/>
        <w:gridCol w:w="637"/>
        <w:gridCol w:w="533"/>
        <w:gridCol w:w="1264"/>
      </w:tblGrid>
      <w:tr>
        <w:trPr>
          <w:trHeight w:val="490"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Klíč</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Modul</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Název</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Cena modulu</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Počet</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33"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Cena Podpory</w:t>
            </w:r>
          </w:p>
        </w:tc>
      </w:tr>
      <w:tr>
        <w:trPr>
          <w:trHeight w:val="248" w:hRule="exact"/>
        </w:trPr>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L007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ASPE - Síť</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5 000,00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18"/>
                <w:szCs w:val="18"/>
              </w:rPr>
            </w:pPr>
            <w:r>
              <w:rPr>
                <w:rFonts w:ascii="Calibri" w:eastAsia="Calibri" w:hAnsi="Calibri" w:cs="Calibri"/>
                <w:color w:val="000000"/>
                <w:spacing w:val="0"/>
                <w:w w:val="100"/>
                <w:position w:val="0"/>
                <w:sz w:val="18"/>
                <w:szCs w:val="18"/>
                <w:shd w:val="clear" w:color="auto" w:fill="auto"/>
                <w:lang w:val="cs-CZ" w:eastAsia="cs-CZ" w:bidi="cs-CZ"/>
              </w:rPr>
              <w:t>5 400,00</w:t>
            </w:r>
          </w:p>
        </w:tc>
      </w:tr>
      <w:tr>
        <w:trPr>
          <w:trHeight w:val="245"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Výrobní plán</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10 000,00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18"/>
                <w:szCs w:val="18"/>
              </w:rPr>
            </w:pPr>
            <w:r>
              <w:rPr>
                <w:rFonts w:ascii="Calibri" w:eastAsia="Calibri" w:hAnsi="Calibri" w:cs="Calibri"/>
                <w:color w:val="000000"/>
                <w:spacing w:val="0"/>
                <w:w w:val="100"/>
                <w:position w:val="0"/>
                <w:sz w:val="18"/>
                <w:szCs w:val="18"/>
                <w:shd w:val="clear" w:color="auto" w:fill="auto"/>
                <w:lang w:val="cs-CZ" w:eastAsia="cs-CZ" w:bidi="cs-CZ"/>
              </w:rPr>
              <w:t>1 800,00</w:t>
            </w:r>
          </w:p>
        </w:tc>
      </w:tr>
      <w:tr>
        <w:trPr>
          <w:trHeight w:val="245"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Stavba - bez kalkulace</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15 000,00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8"/>
                <w:szCs w:val="18"/>
              </w:rPr>
            </w:pPr>
            <w:r>
              <w:rPr>
                <w:rFonts w:ascii="Calibri" w:eastAsia="Calibri" w:hAnsi="Calibri" w:cs="Calibri"/>
                <w:color w:val="000000"/>
                <w:spacing w:val="0"/>
                <w:w w:val="100"/>
                <w:position w:val="0"/>
                <w:sz w:val="18"/>
                <w:szCs w:val="18"/>
                <w:shd w:val="clear" w:color="auto" w:fill="auto"/>
                <w:lang w:val="cs-CZ" w:eastAsia="cs-CZ" w:bidi="cs-CZ"/>
              </w:rPr>
              <w:t>16 200,00</w:t>
            </w:r>
          </w:p>
        </w:tc>
      </w:tr>
      <w:tr>
        <w:trPr>
          <w:trHeight w:val="23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Kalkulace</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5 000,00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18"/>
                <w:szCs w:val="18"/>
              </w:rPr>
            </w:pPr>
            <w:r>
              <w:rPr>
                <w:rFonts w:ascii="Calibri" w:eastAsia="Calibri" w:hAnsi="Calibri" w:cs="Calibri"/>
                <w:color w:val="000000"/>
                <w:spacing w:val="0"/>
                <w:w w:val="100"/>
                <w:position w:val="0"/>
                <w:sz w:val="18"/>
                <w:szCs w:val="18"/>
                <w:shd w:val="clear" w:color="auto" w:fill="auto"/>
                <w:lang w:val="cs-CZ" w:eastAsia="cs-CZ" w:bidi="cs-CZ"/>
              </w:rPr>
              <w:t>5 400,00</w:t>
            </w:r>
          </w:p>
        </w:tc>
      </w:tr>
      <w:tr>
        <w:trPr>
          <w:trHeight w:val="245"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0005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Editace datových základen</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10 000,00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8"/>
                <w:szCs w:val="18"/>
              </w:rPr>
            </w:pPr>
            <w:r>
              <w:rPr>
                <w:rFonts w:ascii="Calibri" w:eastAsia="Calibri" w:hAnsi="Calibri" w:cs="Calibri"/>
                <w:color w:val="000000"/>
                <w:spacing w:val="0"/>
                <w:w w:val="100"/>
                <w:position w:val="0"/>
                <w:sz w:val="18"/>
                <w:szCs w:val="18"/>
                <w:shd w:val="clear" w:color="auto" w:fill="auto"/>
                <w:lang w:val="cs-CZ" w:eastAsia="cs-CZ" w:bidi="cs-CZ"/>
              </w:rPr>
              <w:t>10 800,00</w:t>
            </w:r>
          </w:p>
        </w:tc>
      </w:tr>
      <w:tr>
        <w:trPr>
          <w:trHeight w:val="245"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0006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Čerpání rozpočtu</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15 000,00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18"/>
                <w:szCs w:val="18"/>
              </w:rPr>
            </w:pPr>
            <w:r>
              <w:rPr>
                <w:rFonts w:ascii="Calibri" w:eastAsia="Calibri" w:hAnsi="Calibri" w:cs="Calibri"/>
                <w:color w:val="000000"/>
                <w:spacing w:val="0"/>
                <w:w w:val="100"/>
                <w:position w:val="0"/>
                <w:sz w:val="18"/>
                <w:szCs w:val="18"/>
                <w:shd w:val="clear" w:color="auto" w:fill="auto"/>
                <w:lang w:val="cs-CZ" w:eastAsia="cs-CZ" w:bidi="cs-CZ"/>
              </w:rPr>
              <w:t>2 700,00</w:t>
            </w:r>
          </w:p>
        </w:tc>
      </w:tr>
      <w:tr>
        <w:trPr>
          <w:trHeight w:val="245"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Vyhodnocení nabídek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10 000,00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1 800,00</w:t>
            </w:r>
          </w:p>
        </w:tc>
      </w:tr>
      <w:tr>
        <w:trPr>
          <w:trHeight w:val="245"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0030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Převodový můstek - OTSKP 6 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5 000,00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18"/>
                <w:szCs w:val="18"/>
              </w:rPr>
            </w:pPr>
            <w:r>
              <w:rPr>
                <w:rFonts w:ascii="Calibri" w:eastAsia="Calibri" w:hAnsi="Calibri" w:cs="Calibri"/>
                <w:color w:val="000000"/>
                <w:spacing w:val="0"/>
                <w:w w:val="100"/>
                <w:position w:val="0"/>
                <w:sz w:val="18"/>
                <w:szCs w:val="18"/>
                <w:shd w:val="clear" w:color="auto" w:fill="auto"/>
                <w:lang w:val="cs-CZ" w:eastAsia="cs-CZ" w:bidi="cs-CZ"/>
              </w:rPr>
              <w:t>5 400,00</w:t>
            </w:r>
          </w:p>
        </w:tc>
      </w:tr>
      <w:tr>
        <w:trPr>
          <w:trHeight w:val="245" w:hRule="exact"/>
        </w:trPr>
        <w:tc>
          <w:tcPr>
            <w:tcBorders/>
            <w:shd w:val="clear" w:color="auto" w:fill="FFFFFF"/>
            <w:vAlign w:val="top"/>
          </w:tcPr>
          <w:p>
            <w:pPr>
              <w:widowControl w:val="0"/>
              <w:rPr>
                <w:sz w:val="10"/>
                <w:szCs w:val="10"/>
              </w:rPr>
            </w:pPr>
          </w:p>
        </w:tc>
        <w:tc>
          <w:tcPr>
            <w:gridSpan w:val="5"/>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Celkem za klíč</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49 500,00</w:t>
            </w:r>
          </w:p>
        </w:tc>
      </w:tr>
      <w:tr>
        <w:trPr>
          <w:trHeight w:val="245" w:hRule="exact"/>
        </w:trPr>
        <w:tc>
          <w:tcPr>
            <w:gridSpan w:val="2"/>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96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Cena za roční Podporu</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8"/>
                <w:szCs w:val="18"/>
              </w:rPr>
            </w:pPr>
            <w:r>
              <w:rPr>
                <w:rFonts w:ascii="Calibri" w:eastAsia="Calibri" w:hAnsi="Calibri" w:cs="Calibri"/>
                <w:color w:val="000000"/>
                <w:spacing w:val="0"/>
                <w:w w:val="100"/>
                <w:position w:val="0"/>
                <w:sz w:val="18"/>
                <w:szCs w:val="18"/>
                <w:shd w:val="clear" w:color="auto" w:fill="auto"/>
                <w:lang w:val="cs-CZ" w:eastAsia="cs-CZ" w:bidi="cs-CZ"/>
              </w:rPr>
              <w:t>49 500,00</w:t>
            </w:r>
          </w:p>
        </w:tc>
      </w:tr>
      <w:tr>
        <w:trPr>
          <w:trHeight w:val="241" w:hRule="exact"/>
        </w:trPr>
        <w:tc>
          <w:tcPr>
            <w:gridSpan w:val="2"/>
            <w:tcBorders/>
            <w:shd w:val="clear" w:color="auto" w:fill="FFFFFF"/>
            <w:vAlign w:val="top"/>
          </w:tcPr>
          <w:p>
            <w:pPr>
              <w:widowControl w:val="0"/>
              <w:rPr>
                <w:sz w:val="10"/>
                <w:szCs w:val="10"/>
              </w:rPr>
            </w:pPr>
          </w:p>
        </w:tc>
        <w:tc>
          <w:tcPr>
            <w:gridSpan w:val="3"/>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16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Poměrná část roční ceny za období od 1.3.2014 do 31.12.2014</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0,00</w:t>
            </w:r>
          </w:p>
        </w:tc>
      </w:tr>
      <w:tr>
        <w:trPr>
          <w:trHeight w:val="248" w:hRule="exact"/>
        </w:trPr>
        <w:tc>
          <w:tcPr>
            <w:gridSpan w:val="2"/>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96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DPH 21 %</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0,00</w:t>
            </w:r>
          </w:p>
        </w:tc>
      </w:tr>
      <w:tr>
        <w:trPr>
          <w:trHeight w:val="256" w:hRule="exact"/>
        </w:trPr>
        <w:tc>
          <w:tcPr>
            <w:gridSpan w:val="2"/>
            <w:tcBorders/>
            <w:shd w:val="clear" w:color="auto" w:fill="FFFFFF"/>
            <w:vAlign w:val="top"/>
          </w:tcPr>
          <w:p>
            <w:pPr>
              <w:widowControl w:val="0"/>
              <w:rPr>
                <w:sz w:val="10"/>
                <w:szCs w:val="10"/>
              </w:rPr>
            </w:pPr>
          </w:p>
        </w:tc>
        <w:tc>
          <w:tcPr>
            <w:tcBorders>
              <w:top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96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Cena celkem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0,00</w:t>
            </w:r>
          </w:p>
        </w:tc>
      </w:tr>
    </w:tbl>
    <w:p>
      <w:pPr>
        <w:pStyle w:val="Style6"/>
        <w:keepNext w:val="0"/>
        <w:keepLines w:val="0"/>
        <w:widowControl w:val="0"/>
        <w:shd w:val="clear" w:color="auto" w:fill="auto"/>
        <w:tabs>
          <w:tab w:pos="2394" w:val="left"/>
          <w:tab w:pos="3452" w:val="left"/>
        </w:tabs>
        <w:bidi w:val="0"/>
        <w:spacing w:before="0" w:after="0" w:line="240" w:lineRule="auto"/>
        <w:ind w:left="0" w:right="0" w:firstLine="0"/>
        <w:jc w:val="left"/>
      </w:pPr>
      <w:r>
        <w:rPr>
          <w:rFonts w:ascii="Calibri" w:eastAsia="Calibri" w:hAnsi="Calibri" w:cs="Calibri"/>
          <w:color w:val="000000"/>
          <w:spacing w:val="0"/>
          <w:w w:val="100"/>
          <w:position w:val="0"/>
          <w:sz w:val="18"/>
          <w:szCs w:val="18"/>
          <w:shd w:val="clear" w:color="auto" w:fill="auto"/>
          <w:lang w:val="cs-CZ" w:eastAsia="cs-CZ" w:bidi="cs-CZ"/>
        </w:rPr>
        <w:t>Splátky ceny roční Podpory:</w:t>
        <w:tab/>
      </w:r>
      <w:r>
        <w:rPr>
          <w:rFonts w:ascii="Calibri" w:eastAsia="Calibri" w:hAnsi="Calibri" w:cs="Calibri"/>
          <w:smallCaps/>
          <w:color w:val="000000"/>
          <w:spacing w:val="0"/>
          <w:w w:val="100"/>
          <w:position w:val="0"/>
          <w:sz w:val="20"/>
          <w:szCs w:val="20"/>
          <w:shd w:val="clear" w:color="auto" w:fill="auto"/>
          <w:lang w:val="cs-CZ" w:eastAsia="cs-CZ" w:bidi="cs-CZ"/>
        </w:rPr>
        <w:t>ročně</w:t>
      </w:r>
      <w:r>
        <w:rPr>
          <w:color w:val="000000"/>
          <w:spacing w:val="0"/>
          <w:w w:val="100"/>
          <w:position w:val="0"/>
          <w:shd w:val="clear" w:color="auto" w:fill="auto"/>
          <w:lang w:val="cs-CZ" w:eastAsia="cs-CZ" w:bidi="cs-CZ"/>
        </w:rPr>
        <w:t xml:space="preserve"> (18%)</w:t>
        <w:tab/>
        <w:t xml:space="preserve">□ POLOLETNĚ (19%) □ </w:t>
      </w:r>
      <w:r>
        <w:rPr>
          <w:rFonts w:ascii="Calibri" w:eastAsia="Calibri" w:hAnsi="Calibri" w:cs="Calibri"/>
          <w:smallCaps/>
          <w:color w:val="000000"/>
          <w:spacing w:val="0"/>
          <w:w w:val="100"/>
          <w:position w:val="0"/>
          <w:sz w:val="20"/>
          <w:szCs w:val="20"/>
          <w:shd w:val="clear" w:color="auto" w:fill="auto"/>
          <w:lang w:val="cs-CZ" w:eastAsia="cs-CZ" w:bidi="cs-CZ"/>
        </w:rPr>
        <w:t>čtvrtletně</w:t>
      </w:r>
      <w:r>
        <w:rPr>
          <w:color w:val="000000"/>
          <w:spacing w:val="0"/>
          <w:w w:val="100"/>
          <w:position w:val="0"/>
          <w:shd w:val="clear" w:color="auto" w:fill="auto"/>
          <w:lang w:val="cs-CZ" w:eastAsia="cs-CZ" w:bidi="cs-CZ"/>
        </w:rPr>
        <w:t xml:space="preserve"> (20%)</w:t>
      </w:r>
    </w:p>
    <w:p>
      <w:pPr>
        <w:widowControl w:val="0"/>
        <w:spacing w:after="179" w:line="1" w:lineRule="exact"/>
      </w:pPr>
    </w:p>
    <w:p>
      <w:pPr>
        <w:pStyle w:val="Style21"/>
        <w:keepNext w:val="0"/>
        <w:keepLines w:val="0"/>
        <w:widowControl w:val="0"/>
        <w:shd w:val="clear" w:color="auto" w:fill="auto"/>
        <w:bidi w:val="0"/>
        <w:spacing w:before="0" w:after="140"/>
        <w:ind w:left="0" w:right="0" w:firstLine="140"/>
        <w:jc w:val="both"/>
      </w:pPr>
      <w:r>
        <w:rPr>
          <w:color w:val="000000"/>
          <w:spacing w:val="0"/>
          <w:w w:val="100"/>
          <w:position w:val="0"/>
          <w:shd w:val="clear" w:color="auto" w:fill="auto"/>
          <w:lang w:val="cs-CZ" w:eastAsia="cs-CZ" w:bidi="cs-CZ"/>
        </w:rPr>
        <w:t>Poskytovatel se na základě této smlouvy zavazuje provádět pro Nabyvatele technickou podporu a update software Aspe' (dále též jen jako „Podpora") a Nabyvatel se zavazuje zaplatit za to Poskytovateli sjednanou cenu. Podmínky provádění Podpory jsou uvedeny na lícové a rubové straně tohoto dokumentu. Smluvní strany se zavazují tyto podmínky dodržovat.</w:t>
      </w:r>
      <w:r>
        <w:br w:type="page"/>
      </w:r>
    </w:p>
    <w:p>
      <w:pPr>
        <w:pStyle w:val="Style23"/>
        <w:keepNext/>
        <w:keepLines/>
        <w:widowControl w:val="0"/>
        <w:shd w:val="clear" w:color="auto" w:fill="auto"/>
        <w:bidi w:val="0"/>
        <w:spacing w:before="0" w:after="940" w:line="240" w:lineRule="auto"/>
        <w:ind w:left="0" w:right="0" w:firstLine="0"/>
        <w:jc w:val="left"/>
      </w:pPr>
      <w:bookmarkStart w:id="2" w:name="bookmark2"/>
      <w:bookmarkStart w:id="3" w:name="bookmark3"/>
      <w:r>
        <w:rPr>
          <w:color w:val="000000"/>
          <w:spacing w:val="0"/>
          <w:w w:val="100"/>
          <w:position w:val="0"/>
          <w:u w:val="single"/>
          <w:shd w:val="clear" w:color="auto" w:fill="auto"/>
          <w:lang w:val="cs-CZ" w:eastAsia="cs-CZ" w:bidi="cs-CZ"/>
        </w:rPr>
        <w:t>Smluvní podmínky poskytování technické podpory a update software Aspe®</w:t>
      </w:r>
      <w:bookmarkEnd w:id="2"/>
      <w:bookmarkEnd w:id="3"/>
    </w:p>
    <w:p>
      <w:pPr>
        <w:pStyle w:val="Style9"/>
        <w:keepNext w:val="0"/>
        <w:keepLines w:val="0"/>
        <w:widowControl w:val="0"/>
        <w:shd w:val="clear" w:color="auto" w:fill="auto"/>
        <w:bidi w:val="0"/>
        <w:spacing w:before="0" w:after="240" w:line="240" w:lineRule="auto"/>
        <w:ind w:left="0" w:right="0" w:firstLine="140"/>
        <w:jc w:val="left"/>
      </w:pPr>
      <w:r>
        <mc:AlternateContent>
          <mc:Choice Requires="wps">
            <w:drawing>
              <wp:anchor distT="0" distB="0" distL="114300" distR="114300" simplePos="0" relativeHeight="125829383" behindDoc="0" locked="0" layoutInCell="1" allowOverlap="1">
                <wp:simplePos x="0" y="0"/>
                <wp:positionH relativeFrom="page">
                  <wp:posOffset>1299210</wp:posOffset>
                </wp:positionH>
                <wp:positionV relativeFrom="paragraph">
                  <wp:posOffset>266700</wp:posOffset>
                </wp:positionV>
                <wp:extent cx="850265" cy="168910"/>
                <wp:wrapSquare wrapText="right"/>
                <wp:docPr id="11" name="Shape 11"/>
                <a:graphic xmlns:a="http://schemas.openxmlformats.org/drawingml/2006/main">
                  <a:graphicData uri="http://schemas.microsoft.com/office/word/2010/wordprocessingShape">
                    <wps:wsp>
                      <wps:cNvSpPr txBox="1"/>
                      <wps:spPr>
                        <a:xfrm>
                          <a:ext cx="850265" cy="1689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Poskvtnvatela</w:t>
                            </w:r>
                          </w:p>
                        </w:txbxContent>
                      </wps:txbx>
                      <wps:bodyPr wrap="none" lIns="0" tIns="0" rIns="0" bIns="0">
                        <a:noAutoFit/>
                      </wps:bodyPr>
                    </wps:wsp>
                  </a:graphicData>
                </a:graphic>
              </wp:anchor>
            </w:drawing>
          </mc:Choice>
          <mc:Fallback>
            <w:pict>
              <v:shape id="_x0000_s1037" type="#_x0000_t202" style="position:absolute;margin-left:102.3pt;margin-top:21.pt;width:66.950000000000003pt;height:13.300000000000001pt;z-index:-125829370;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Poskvtnvatela</w:t>
                      </w:r>
                    </w:p>
                  </w:txbxContent>
                </v:textbox>
                <w10:wrap type="square" side="right" anchorx="page"/>
              </v:shape>
            </w:pict>
          </mc:Fallback>
        </mc:AlternateContent>
      </w:r>
      <w:r>
        <w:rPr>
          <w:color w:val="000000"/>
          <w:spacing w:val="0"/>
          <w:w w:val="100"/>
          <w:position w:val="0"/>
          <w:shd w:val="clear" w:color="auto" w:fill="auto"/>
          <w:lang w:val="cs-CZ" w:eastAsia="cs-CZ" w:bidi="cs-CZ"/>
        </w:rPr>
        <w:t>V Liberci dne 26.2,2014</w:t>
      </w:r>
    </w:p>
    <w:p>
      <w:pPr>
        <w:pStyle w:val="Style9"/>
        <w:keepNext w:val="0"/>
        <w:keepLines w:val="0"/>
        <w:widowControl w:val="0"/>
        <w:shd w:val="clear" w:color="auto" w:fill="auto"/>
        <w:bidi w:val="0"/>
        <w:spacing w:before="0" w:after="980" w:line="240" w:lineRule="auto"/>
        <w:ind w:left="2880" w:right="0" w:firstLine="0"/>
        <w:jc w:val="left"/>
      </w:pPr>
      <w:r>
        <w:rPr>
          <w:color w:val="000000"/>
          <w:spacing w:val="0"/>
          <w:w w:val="100"/>
          <w:position w:val="0"/>
          <w:shd w:val="clear" w:color="auto" w:fill="auto"/>
          <w:lang w:val="cs-CZ" w:eastAsia="cs-CZ" w:bidi="cs-CZ"/>
        </w:rPr>
        <w:t>Za Nabyvatele (razítko, podpis):</w:t>
      </w:r>
    </w:p>
    <w:p>
      <w:pPr>
        <w:pStyle w:val="Style26"/>
        <w:keepNext/>
        <w:keepLines/>
        <w:widowControl w:val="0"/>
        <w:shd w:val="clear" w:color="auto" w:fill="auto"/>
        <w:bidi w:val="0"/>
        <w:spacing w:before="0" w:after="0" w:line="240" w:lineRule="auto"/>
        <w:ind w:left="140" w:right="0" w:firstLine="0"/>
        <w:jc w:val="left"/>
        <w:sectPr>
          <w:footerReference w:type="default" r:id="rId7"/>
          <w:footerReference w:type="even" r:id="rId8"/>
          <w:footnotePr>
            <w:pos w:val="pageBottom"/>
            <w:numFmt w:val="decimal"/>
            <w:numRestart w:val="continuous"/>
          </w:footnotePr>
          <w:pgSz w:w="11900" w:h="16840"/>
          <w:pgMar w:top="590" w:left="1913" w:right="185" w:bottom="1593" w:header="162" w:footer="3" w:gutter="0"/>
          <w:pgNumType w:start="1"/>
          <w:cols w:space="720"/>
          <w:noEndnote/>
          <w:rtlGutter w:val="0"/>
          <w:docGrid w:linePitch="360"/>
        </w:sectPr>
      </w:pPr>
      <w:bookmarkStart w:id="4" w:name="bookmark4"/>
      <w:bookmarkStart w:id="5" w:name="bookmark5"/>
      <w:r>
        <w:rPr>
          <w:color w:val="000000"/>
          <w:spacing w:val="0"/>
          <w:w w:val="100"/>
          <w:position w:val="0"/>
          <w:shd w:val="clear" w:color="auto" w:fill="auto"/>
          <w:lang w:val="cs-CZ" w:eastAsia="cs-CZ" w:bidi="cs-CZ"/>
        </w:rPr>
        <w:t>ing. zoyneK Lipatfsk^ ředitel střediska jksD£</w:t>
      </w:r>
      <w:bookmarkEnd w:id="4"/>
      <w:bookmarkEnd w:id="5"/>
    </w:p>
    <w:p>
      <w:pPr>
        <w:pStyle w:val="Style23"/>
        <w:keepNext/>
        <w:keepLines/>
        <w:widowControl w:val="0"/>
        <w:pBdr>
          <w:bottom w:val="single" w:sz="4" w:space="0" w:color="auto"/>
        </w:pBdr>
        <w:shd w:val="clear" w:color="auto" w:fill="auto"/>
        <w:bidi w:val="0"/>
        <w:spacing w:before="0" w:after="780" w:line="240" w:lineRule="auto"/>
        <w:ind w:left="0" w:right="0" w:firstLine="0"/>
        <w:jc w:val="left"/>
      </w:pPr>
      <w:r>
        <mc:AlternateContent>
          <mc:Choice Requires="wps">
            <w:drawing>
              <wp:anchor distT="0" distB="0" distL="114300" distR="114300" simplePos="0" relativeHeight="125829385" behindDoc="0" locked="0" layoutInCell="1" allowOverlap="1">
                <wp:simplePos x="0" y="0"/>
                <wp:positionH relativeFrom="page">
                  <wp:posOffset>506095</wp:posOffset>
                </wp:positionH>
                <wp:positionV relativeFrom="paragraph">
                  <wp:posOffset>114300</wp:posOffset>
                </wp:positionV>
                <wp:extent cx="381635" cy="180340"/>
                <wp:wrapSquare wrapText="bothSides"/>
                <wp:docPr id="17" name="Shape 17"/>
                <a:graphic xmlns:a="http://schemas.openxmlformats.org/drawingml/2006/main">
                  <a:graphicData uri="http://schemas.microsoft.com/office/word/2010/wordprocessingShape">
                    <wps:wsp>
                      <wps:cNvSpPr txBox="1"/>
                      <wps:spPr>
                        <a:xfrm>
                          <a:ext cx="381635" cy="180340"/>
                        </a:xfrm>
                        <a:prstGeom prst="rect"/>
                        <a:noFill/>
                      </wps:spPr>
                      <wps:txbx>
                        <w:txbxContent>
                          <w:p>
                            <w:pPr>
                              <w:pStyle w:val="Style11"/>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shd w:val="clear" w:color="auto" w:fill="auto"/>
                                <w:lang w:val="cs-CZ" w:eastAsia="cs-CZ" w:bidi="cs-CZ"/>
                              </w:rPr>
                              <w:t>Aspe</w:t>
                            </w:r>
                          </w:p>
                        </w:txbxContent>
                      </wps:txbx>
                      <wps:bodyPr wrap="none" lIns="0" tIns="0" rIns="0" bIns="0">
                        <a:noAutoFit/>
                      </wps:bodyPr>
                    </wps:wsp>
                  </a:graphicData>
                </a:graphic>
              </wp:anchor>
            </w:drawing>
          </mc:Choice>
          <mc:Fallback>
            <w:pict>
              <v:shape id="_x0000_s1043" type="#_x0000_t202" style="position:absolute;margin-left:39.850000000000001pt;margin-top:9.pt;width:30.050000000000001pt;height:14.199999999999999pt;z-index:-125829368;mso-wrap-distance-left:9.pt;mso-wrap-distance-right:9.pt;mso-position-horizontal-relative:page" filled="f" stroked="f">
                <v:textbox inset="0,0,0,0">
                  <w:txbxContent>
                    <w:p>
                      <w:pPr>
                        <w:pStyle w:val="Style11"/>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shd w:val="clear" w:color="auto" w:fill="auto"/>
                          <w:lang w:val="cs-CZ" w:eastAsia="cs-CZ" w:bidi="cs-CZ"/>
                        </w:rPr>
                        <w:t>Aspe</w:t>
                      </w:r>
                    </w:p>
                  </w:txbxContent>
                </v:textbox>
                <w10:wrap type="square" anchorx="page"/>
              </v:shape>
            </w:pict>
          </mc:Fallback>
        </mc:AlternateContent>
      </w:r>
      <w:bookmarkStart w:id="6" w:name="bookmark6"/>
      <w:bookmarkStart w:id="7" w:name="bookmark7"/>
      <w:r>
        <w:rPr>
          <w:color w:val="000000"/>
          <w:spacing w:val="0"/>
          <w:w w:val="100"/>
          <w:position w:val="0"/>
          <w:shd w:val="clear" w:color="auto" w:fill="auto"/>
          <w:lang w:val="cs-CZ" w:eastAsia="cs-CZ" w:bidi="cs-CZ"/>
        </w:rPr>
        <w:t>Smluvní podmínky poskytování technické podpory a update software Aspe</w:t>
      </w:r>
      <w:bookmarkEnd w:id="6"/>
      <w:bookmarkEnd w:id="7"/>
    </w:p>
    <w:p>
      <w:pPr>
        <w:pStyle w:val="Style26"/>
        <w:keepNext/>
        <w:keepLines/>
        <w:widowControl w:val="0"/>
        <w:numPr>
          <w:ilvl w:val="0"/>
          <w:numId w:val="1"/>
        </w:numPr>
        <w:shd w:val="clear" w:color="auto" w:fill="auto"/>
        <w:tabs>
          <w:tab w:pos="266" w:val="left"/>
        </w:tabs>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Předmět smlouvy</w:t>
      </w:r>
      <w:bookmarkEnd w:id="8"/>
      <w:bookmarkEnd w:id="9"/>
    </w:p>
    <w:p>
      <w:pPr>
        <w:pStyle w:val="Style21"/>
        <w:keepNext w:val="0"/>
        <w:keepLines w:val="0"/>
        <w:widowControl w:val="0"/>
        <w:shd w:val="clear" w:color="auto" w:fill="auto"/>
        <w:bidi w:val="0"/>
        <w:spacing w:before="0" w:after="200"/>
        <w:ind w:left="260" w:right="0" w:firstLine="0"/>
        <w:jc w:val="both"/>
      </w:pPr>
      <w:r>
        <w:rPr>
          <w:color w:val="000000"/>
          <w:spacing w:val="0"/>
          <w:w w:val="100"/>
          <w:position w:val="0"/>
          <w:shd w:val="clear" w:color="auto" w:fill="auto"/>
          <w:lang w:val="cs-CZ" w:eastAsia="cs-CZ" w:bidi="cs-CZ"/>
        </w:rPr>
        <w:t>Poskytovatel a Nabyvatel uzavřeli licenční smlouvu, na jejímž základě je Nabyvatel oprávněn ve sjednaném rozsahu užívat software Aspe* (dále též jen jako „Licenční smlouva"). V souvislosti s Licenční smlouvou se Poskytovatel na základě této smlouvy o podpoře zavazuje provádět pro Nabyvatele technickou Podporu a update software Aspe’ a Nabyvatel se zavazuje zaplatit za to Poskytovateli sjednanou cenu.</w:t>
      </w:r>
    </w:p>
    <w:p>
      <w:pPr>
        <w:pStyle w:val="Style26"/>
        <w:keepNext/>
        <w:keepLines/>
        <w:widowControl w:val="0"/>
        <w:numPr>
          <w:ilvl w:val="0"/>
          <w:numId w:val="1"/>
        </w:numPr>
        <w:shd w:val="clear" w:color="auto" w:fill="auto"/>
        <w:tabs>
          <w:tab w:pos="266" w:val="left"/>
        </w:tabs>
        <w:bidi w:val="0"/>
        <w:spacing w:before="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Podpora zahrnuje</w:t>
      </w:r>
      <w:bookmarkEnd w:id="10"/>
      <w:bookmarkEnd w:id="11"/>
    </w:p>
    <w:p>
      <w:pPr>
        <w:pStyle w:val="Style21"/>
        <w:keepNext w:val="0"/>
        <w:keepLines w:val="0"/>
        <w:widowControl w:val="0"/>
        <w:numPr>
          <w:ilvl w:val="0"/>
          <w:numId w:val="3"/>
        </w:numPr>
        <w:shd w:val="clear" w:color="auto" w:fill="auto"/>
        <w:tabs>
          <w:tab w:pos="512" w:val="left"/>
        </w:tabs>
        <w:bidi w:val="0"/>
        <w:spacing w:before="0" w:after="0"/>
        <w:ind w:left="0" w:right="0" w:firstLine="260"/>
        <w:jc w:val="left"/>
      </w:pPr>
      <w:r>
        <w:rPr>
          <w:color w:val="000000"/>
          <w:spacing w:val="0"/>
          <w:w w:val="100"/>
          <w:position w:val="0"/>
          <w:shd w:val="clear" w:color="auto" w:fill="auto"/>
          <w:lang w:val="cs-CZ" w:eastAsia="cs-CZ" w:bidi="cs-CZ"/>
        </w:rPr>
        <w:t>automatické poskytnutí nových verzí (update) software Aspe’, a to nejméně dvakrát v kalendářním roce</w:t>
      </w:r>
    </w:p>
    <w:p>
      <w:pPr>
        <w:pStyle w:val="Style21"/>
        <w:keepNext w:val="0"/>
        <w:keepLines w:val="0"/>
        <w:widowControl w:val="0"/>
        <w:numPr>
          <w:ilvl w:val="0"/>
          <w:numId w:val="3"/>
        </w:numPr>
        <w:shd w:val="clear" w:color="auto" w:fill="auto"/>
        <w:tabs>
          <w:tab w:pos="888" w:val="left"/>
        </w:tabs>
        <w:bidi w:val="0"/>
        <w:spacing w:before="0" w:after="0"/>
        <w:ind w:left="900" w:right="0" w:hanging="640"/>
        <w:jc w:val="both"/>
      </w:pPr>
      <w:r>
        <w:rPr>
          <w:color w:val="000000"/>
          <w:spacing w:val="0"/>
          <w:w w:val="100"/>
          <w:position w:val="0"/>
          <w:shd w:val="clear" w:color="auto" w:fill="auto"/>
          <w:lang w:val="cs-CZ" w:eastAsia="cs-CZ" w:bidi="cs-CZ"/>
        </w:rPr>
        <w:t xml:space="preserve">poskytování pomoci při řešení provozních problému, poruchových stavů software Aspe' prostřednictvím telefonického poradenství - Hotline, a to v pracovních dnech v době od 8:00 hod. do 16:00 hod. na následujících telefonních číslech: 485 103 336, 485 103 346,485 106 447, 485 103 687, 603 807181; pro pevné linky platí přednostně volby 39 a 41, případně prostřednictvím e ~ mailu </w:t>
      </w:r>
      <w:r>
        <w:fldChar w:fldCharType="begin"/>
      </w:r>
      <w:r>
        <w:rPr/>
        <w:instrText> HYPERLINK "mailto:hotline@aspe.cz" </w:instrText>
      </w:r>
      <w:r>
        <w:fldChar w:fldCharType="separate"/>
      </w:r>
      <w:r>
        <w:rPr>
          <w:color w:val="000000"/>
          <w:spacing w:val="0"/>
          <w:w w:val="100"/>
          <w:position w:val="0"/>
          <w:u w:val="single"/>
          <w:shd w:val="clear" w:color="auto" w:fill="auto"/>
          <w:lang w:val="en-US" w:eastAsia="en-US" w:bidi="en-US"/>
        </w:rPr>
        <w:t>hotline@aspe.cz</w:t>
      </w:r>
      <w:r>
        <w:fldChar w:fldCharType="end"/>
      </w:r>
      <w:r>
        <w:rPr>
          <w:color w:val="000000"/>
          <w:spacing w:val="0"/>
          <w:w w:val="100"/>
          <w:position w:val="0"/>
          <w:shd w:val="clear" w:color="auto" w:fill="auto"/>
          <w:lang w:val="en-US" w:eastAsia="en-US" w:bidi="en-US"/>
        </w:rPr>
        <w:t>,</w:t>
      </w:r>
    </w:p>
    <w:p>
      <w:pPr>
        <w:pStyle w:val="Style21"/>
        <w:keepNext w:val="0"/>
        <w:keepLines w:val="0"/>
        <w:widowControl w:val="0"/>
        <w:numPr>
          <w:ilvl w:val="0"/>
          <w:numId w:val="3"/>
        </w:numPr>
        <w:shd w:val="clear" w:color="auto" w:fill="auto"/>
        <w:tabs>
          <w:tab w:pos="888" w:val="left"/>
        </w:tabs>
        <w:bidi w:val="0"/>
        <w:spacing w:before="0" w:after="0"/>
        <w:ind w:left="900" w:right="0" w:hanging="640"/>
        <w:jc w:val="both"/>
      </w:pPr>
      <w:r>
        <w:rPr>
          <w:color w:val="000000"/>
          <w:spacing w:val="0"/>
          <w:w w:val="100"/>
          <w:position w:val="0"/>
          <w:shd w:val="clear" w:color="auto" w:fill="auto"/>
          <w:lang w:val="cs-CZ" w:eastAsia="cs-CZ" w:bidi="cs-CZ"/>
        </w:rPr>
        <w:t xml:space="preserve">odstraňování poruchových stavů na základě nahlášených požadavků Nabyvatele prostřednictvím telefonních linek Hotline nebo e - mailem na </w:t>
      </w:r>
      <w:r>
        <w:fldChar w:fldCharType="begin"/>
      </w:r>
      <w:r>
        <w:rPr/>
        <w:instrText> HYPERLINK "mailto:servis@aspe.cz" </w:instrText>
      </w:r>
      <w:r>
        <w:fldChar w:fldCharType="separate"/>
      </w:r>
      <w:r>
        <w:rPr>
          <w:color w:val="000000"/>
          <w:spacing w:val="0"/>
          <w:w w:val="100"/>
          <w:position w:val="0"/>
          <w:shd w:val="clear" w:color="auto" w:fill="auto"/>
          <w:lang w:val="en-US" w:eastAsia="en-US" w:bidi="en-US"/>
        </w:rPr>
        <w:t>servis@aspe.cz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souladu s bodem 3. dále.</w:t>
      </w:r>
    </w:p>
    <w:p>
      <w:pPr>
        <w:pStyle w:val="Style21"/>
        <w:keepNext w:val="0"/>
        <w:keepLines w:val="0"/>
        <w:widowControl w:val="0"/>
        <w:numPr>
          <w:ilvl w:val="0"/>
          <w:numId w:val="3"/>
        </w:numPr>
        <w:shd w:val="clear" w:color="auto" w:fill="auto"/>
        <w:tabs>
          <w:tab w:pos="888" w:val="left"/>
        </w:tabs>
        <w:bidi w:val="0"/>
        <w:spacing w:before="0" w:after="0"/>
        <w:ind w:left="900" w:right="0" w:hanging="640"/>
        <w:jc w:val="both"/>
      </w:pPr>
      <w:r>
        <w:rPr>
          <w:color w:val="000000"/>
          <w:spacing w:val="0"/>
          <w:w w:val="100"/>
          <w:position w:val="0"/>
          <w:shd w:val="clear" w:color="auto" w:fill="auto"/>
          <w:lang w:val="cs-CZ" w:eastAsia="cs-CZ" w:bidi="cs-CZ"/>
        </w:rPr>
        <w:t xml:space="preserve">poskytnutí přístupu do uživatelské části internetových stránek </w:t>
      </w:r>
      <w:r>
        <w:fldChar w:fldCharType="begin"/>
      </w:r>
      <w:r>
        <w:rPr/>
        <w:instrText> HYPERLINK "http://www.aspe.cz" </w:instrText>
      </w:r>
      <w:r>
        <w:fldChar w:fldCharType="separate"/>
      </w:r>
      <w:r>
        <w:rPr>
          <w:color w:val="000000"/>
          <w:spacing w:val="0"/>
          <w:w w:val="100"/>
          <w:position w:val="0"/>
          <w:u w:val="single"/>
          <w:shd w:val="clear" w:color="auto" w:fill="auto"/>
          <w:lang w:val="en-US" w:eastAsia="en-US" w:bidi="en-US"/>
        </w:rPr>
        <w:t>www.aspe.cz</w:t>
      </w:r>
      <w:r>
        <w:fldChar w:fldCharType="end"/>
      </w:r>
      <w:r>
        <w:rPr>
          <w:color w:val="000000"/>
          <w:spacing w:val="0"/>
          <w:w w:val="100"/>
          <w:position w:val="0"/>
          <w:u w:val="single"/>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přístupové jméno a heslo přidělí Poskytovatel Nabyvateli po uzavření této smlouvy</w:t>
      </w:r>
    </w:p>
    <w:p>
      <w:pPr>
        <w:pStyle w:val="Style21"/>
        <w:keepNext w:val="0"/>
        <w:keepLines w:val="0"/>
        <w:widowControl w:val="0"/>
        <w:numPr>
          <w:ilvl w:val="0"/>
          <w:numId w:val="3"/>
        </w:numPr>
        <w:shd w:val="clear" w:color="auto" w:fill="auto"/>
        <w:tabs>
          <w:tab w:pos="526" w:val="left"/>
        </w:tabs>
        <w:bidi w:val="0"/>
        <w:spacing w:before="0" w:after="200"/>
        <w:ind w:left="0" w:right="0" w:firstLine="260"/>
        <w:jc w:val="left"/>
      </w:pPr>
      <w:r>
        <w:rPr>
          <w:color w:val="000000"/>
          <w:spacing w:val="0"/>
          <w:w w:val="100"/>
          <w:position w:val="0"/>
          <w:shd w:val="clear" w:color="auto" w:fill="auto"/>
          <w:lang w:val="cs-CZ" w:eastAsia="cs-CZ" w:bidi="cs-CZ"/>
        </w:rPr>
        <w:t>poskytnutí zvýhodněných sazeb úhrad za služby poskytované nad rámec této smlouvy,</w:t>
      </w:r>
    </w:p>
    <w:p>
      <w:pPr>
        <w:pStyle w:val="Style26"/>
        <w:keepNext/>
        <w:keepLines/>
        <w:widowControl w:val="0"/>
        <w:numPr>
          <w:ilvl w:val="0"/>
          <w:numId w:val="1"/>
        </w:numPr>
        <w:shd w:val="clear" w:color="auto" w:fill="auto"/>
        <w:tabs>
          <w:tab w:pos="270" w:val="left"/>
        </w:tabs>
        <w:bidi w:val="0"/>
        <w:spacing w:before="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Odstraňování poruchových stavů</w:t>
      </w:r>
      <w:bookmarkEnd w:id="12"/>
      <w:bookmarkEnd w:id="13"/>
    </w:p>
    <w:p>
      <w:pPr>
        <w:pStyle w:val="Style21"/>
        <w:keepNext w:val="0"/>
        <w:keepLines w:val="0"/>
        <w:widowControl w:val="0"/>
        <w:shd w:val="clear" w:color="auto" w:fill="auto"/>
        <w:bidi w:val="0"/>
        <w:spacing w:before="0" w:after="0"/>
        <w:ind w:left="260" w:right="0" w:firstLine="0"/>
        <w:jc w:val="both"/>
      </w:pPr>
      <w:r>
        <w:rPr>
          <w:color w:val="000000"/>
          <w:spacing w:val="0"/>
          <w:w w:val="100"/>
          <w:position w:val="0"/>
          <w:shd w:val="clear" w:color="auto" w:fill="auto"/>
          <w:lang w:val="cs-CZ" w:eastAsia="cs-CZ" w:bidi="cs-CZ"/>
        </w:rPr>
        <w:t>Poskytovatel se v souladu s bodem 2. písm. c) zavazuje v níže uvedených lhůtách odstranit Nabyvatelem nahlášené poruchové stavy software Aspe*. Poruchovým stavem se rozumí stav, kdy software Aspe neplní funkce uvedené v uživatelské příručce, dává chybné výsledky, bezdůvodně se zastavuje, nebo se z jiného důvodu chová tak, že možnost jeho užití je omezena.</w:t>
      </w:r>
    </w:p>
    <w:p>
      <w:pPr>
        <w:pStyle w:val="Style21"/>
        <w:keepNext w:val="0"/>
        <w:keepLines w:val="0"/>
        <w:widowControl w:val="0"/>
        <w:shd w:val="clear" w:color="auto" w:fill="auto"/>
        <w:bidi w:val="0"/>
        <w:spacing w:before="0" w:after="0"/>
        <w:ind w:left="0" w:right="0" w:firstLine="260"/>
        <w:jc w:val="left"/>
      </w:pPr>
      <w:r>
        <w:rPr>
          <w:color w:val="000000"/>
          <w:spacing w:val="0"/>
          <w:w w:val="100"/>
          <w:position w:val="0"/>
          <w:shd w:val="clear" w:color="auto" w:fill="auto"/>
          <w:lang w:val="cs-CZ" w:eastAsia="cs-CZ" w:bidi="cs-CZ"/>
        </w:rPr>
        <w:t>Rozdělení poruchových stavů do kategorií a Ihůty pro odstranění:</w:t>
      </w:r>
    </w:p>
    <w:p>
      <w:pPr>
        <w:pStyle w:val="Style21"/>
        <w:keepNext w:val="0"/>
        <w:keepLines w:val="0"/>
        <w:widowControl w:val="0"/>
        <w:numPr>
          <w:ilvl w:val="0"/>
          <w:numId w:val="5"/>
        </w:numPr>
        <w:shd w:val="clear" w:color="auto" w:fill="auto"/>
        <w:tabs>
          <w:tab w:pos="888" w:val="left"/>
        </w:tabs>
        <w:bidi w:val="0"/>
        <w:spacing w:before="0" w:after="0"/>
        <w:ind w:left="900" w:right="720" w:hanging="580"/>
        <w:jc w:val="both"/>
      </w:pPr>
      <w:r>
        <w:rPr>
          <w:color w:val="000000"/>
          <w:spacing w:val="0"/>
          <w:w w:val="100"/>
          <w:position w:val="0"/>
          <w:shd w:val="clear" w:color="auto" w:fill="auto"/>
          <w:lang w:val="cs-CZ" w:eastAsia="cs-CZ" w:bidi="cs-CZ"/>
        </w:rPr>
        <w:t>stavy znemožňující užívání software, tj. způsobující „zamrznutí", „zhroucení" nebo nemožnost užívání významné části funkcí software během normálního provozu - lhůta pro odstranění do 2 pracovních dnů od oznámení</w:t>
      </w:r>
    </w:p>
    <w:p>
      <w:pPr>
        <w:pStyle w:val="Style21"/>
        <w:keepNext w:val="0"/>
        <w:keepLines w:val="0"/>
        <w:widowControl w:val="0"/>
        <w:numPr>
          <w:ilvl w:val="0"/>
          <w:numId w:val="5"/>
        </w:numPr>
        <w:shd w:val="clear" w:color="auto" w:fill="auto"/>
        <w:tabs>
          <w:tab w:pos="888" w:val="left"/>
        </w:tabs>
        <w:bidi w:val="0"/>
        <w:spacing w:before="0" w:after="0"/>
        <w:ind w:left="900" w:right="720" w:hanging="580"/>
        <w:jc w:val="both"/>
      </w:pPr>
      <w:r>
        <w:rPr>
          <w:color w:val="000000"/>
          <w:spacing w:val="0"/>
          <w:w w:val="100"/>
          <w:position w:val="0"/>
          <w:shd w:val="clear" w:color="auto" w:fill="auto"/>
          <w:lang w:val="cs-CZ" w:eastAsia="cs-CZ" w:bidi="cs-CZ"/>
        </w:rPr>
        <w:t>stavy způsobující vážné problémy při užívání software, které jsou překonatelné dočasným náhradním postupem - lhůta pro odstranění do 5 pracovních dnů od oznámení.</w:t>
      </w:r>
    </w:p>
    <w:p>
      <w:pPr>
        <w:pStyle w:val="Style21"/>
        <w:keepNext w:val="0"/>
        <w:keepLines w:val="0"/>
        <w:widowControl w:val="0"/>
        <w:numPr>
          <w:ilvl w:val="0"/>
          <w:numId w:val="5"/>
        </w:numPr>
        <w:shd w:val="clear" w:color="auto" w:fill="auto"/>
        <w:tabs>
          <w:tab w:pos="888" w:val="left"/>
        </w:tabs>
        <w:bidi w:val="0"/>
        <w:spacing w:before="0" w:after="200"/>
        <w:ind w:left="900" w:right="720" w:hanging="580"/>
        <w:jc w:val="both"/>
      </w:pPr>
      <w:r>
        <w:rPr>
          <w:color w:val="000000"/>
          <w:spacing w:val="0"/>
          <w:w w:val="100"/>
          <w:position w:val="0"/>
          <w:shd w:val="clear" w:color="auto" w:fill="auto"/>
          <w:lang w:val="cs-CZ" w:eastAsia="cs-CZ" w:bidi="cs-CZ"/>
        </w:rPr>
        <w:t>stavy komplikující postupy při užívání software, které se objevují jako neshody s předepsaným chováním software, ale nemají vliv na celkovou funkčnost software - lhůta pro odstranění do 3 měsíců od oznámení, nebo v rámci nejbližšího update, podle toho co nastane dříve</w:t>
      </w:r>
    </w:p>
    <w:p>
      <w:pPr>
        <w:pStyle w:val="Style26"/>
        <w:keepNext/>
        <w:keepLines/>
        <w:widowControl w:val="0"/>
        <w:numPr>
          <w:ilvl w:val="0"/>
          <w:numId w:val="1"/>
        </w:numPr>
        <w:shd w:val="clear" w:color="auto" w:fill="auto"/>
        <w:tabs>
          <w:tab w:pos="273" w:val="left"/>
        </w:tabs>
        <w:bidi w:val="0"/>
        <w:spacing w:before="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Povinnosti Nabyvatele</w:t>
      </w:r>
      <w:bookmarkEnd w:id="14"/>
      <w:bookmarkEnd w:id="15"/>
    </w:p>
    <w:p>
      <w:pPr>
        <w:pStyle w:val="Style21"/>
        <w:keepNext w:val="0"/>
        <w:keepLines w:val="0"/>
        <w:widowControl w:val="0"/>
        <w:shd w:val="clear" w:color="auto" w:fill="auto"/>
        <w:bidi w:val="0"/>
        <w:spacing w:before="0" w:after="200" w:line="290" w:lineRule="auto"/>
        <w:ind w:left="260" w:right="0" w:firstLine="0"/>
        <w:jc w:val="both"/>
      </w:pPr>
      <w:r>
        <w:rPr>
          <w:color w:val="000000"/>
          <w:spacing w:val="0"/>
          <w:w w:val="100"/>
          <w:position w:val="0"/>
          <w:shd w:val="clear" w:color="auto" w:fill="auto"/>
          <w:lang w:val="cs-CZ" w:eastAsia="cs-CZ" w:bidi="cs-CZ"/>
        </w:rPr>
        <w:t>Nabyvatel je povinen poskytnout Poskytovateli potřebnou součinnost pro splnění jeho závazků z této smlouvy, zejména umožnit Poskytovateli přístup k software v místě jeho instalace.</w:t>
      </w:r>
    </w:p>
    <w:p>
      <w:pPr>
        <w:pStyle w:val="Style26"/>
        <w:keepNext/>
        <w:keepLines/>
        <w:widowControl w:val="0"/>
        <w:numPr>
          <w:ilvl w:val="0"/>
          <w:numId w:val="1"/>
        </w:numPr>
        <w:shd w:val="clear" w:color="auto" w:fill="auto"/>
        <w:tabs>
          <w:tab w:pos="273" w:val="left"/>
        </w:tabs>
        <w:bidi w:val="0"/>
        <w:spacing w:before="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Doplňující služby</w:t>
      </w:r>
      <w:bookmarkEnd w:id="16"/>
      <w:bookmarkEnd w:id="17"/>
    </w:p>
    <w:p>
      <w:pPr>
        <w:pStyle w:val="Style21"/>
        <w:keepNext w:val="0"/>
        <w:keepLines w:val="0"/>
        <w:widowControl w:val="0"/>
        <w:shd w:val="clear" w:color="auto" w:fill="auto"/>
        <w:bidi w:val="0"/>
        <w:spacing w:before="0" w:after="200" w:line="295" w:lineRule="auto"/>
        <w:ind w:left="260" w:right="0" w:firstLine="0"/>
        <w:jc w:val="both"/>
      </w:pPr>
      <w:r>
        <w:rPr>
          <w:color w:val="000000"/>
          <w:spacing w:val="0"/>
          <w:w w:val="100"/>
          <w:position w:val="0"/>
          <w:shd w:val="clear" w:color="auto" w:fill="auto"/>
          <w:lang w:val="cs-CZ" w:eastAsia="cs-CZ" w:bidi="cs-CZ"/>
        </w:rPr>
        <w:t>Služby požadované Nabyvatelem nad rámec této smlouvy, jako např. školení, konzultace, přizpůsobení software, rozšíření software apod. lze provést pouze na základě samostatně uzavřené smlouvy specifikující podmínky a cenu poskytnutí takových služeb.</w:t>
      </w:r>
    </w:p>
    <w:p>
      <w:pPr>
        <w:pStyle w:val="Style26"/>
        <w:keepNext/>
        <w:keepLines/>
        <w:widowControl w:val="0"/>
        <w:numPr>
          <w:ilvl w:val="0"/>
          <w:numId w:val="1"/>
        </w:numPr>
        <w:shd w:val="clear" w:color="auto" w:fill="auto"/>
        <w:tabs>
          <w:tab w:pos="273" w:val="left"/>
        </w:tabs>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Cena Podpory a platební podmínky</w:t>
      </w:r>
      <w:bookmarkEnd w:id="18"/>
      <w:bookmarkEnd w:id="19"/>
    </w:p>
    <w:p>
      <w:pPr>
        <w:pStyle w:val="Style21"/>
        <w:keepNext w:val="0"/>
        <w:keepLines w:val="0"/>
        <w:widowControl w:val="0"/>
        <w:shd w:val="clear" w:color="auto" w:fill="auto"/>
        <w:bidi w:val="0"/>
        <w:spacing w:before="0"/>
        <w:ind w:left="260" w:right="0" w:firstLine="0"/>
        <w:jc w:val="both"/>
      </w:pPr>
      <w:r>
        <w:rPr>
          <w:color w:val="000000"/>
          <w:spacing w:val="0"/>
          <w:w w:val="100"/>
          <w:position w:val="0"/>
          <w:shd w:val="clear" w:color="auto" w:fill="auto"/>
          <w:lang w:val="cs-CZ" w:eastAsia="cs-CZ" w:bidi="cs-CZ"/>
        </w:rPr>
        <w:t>Výše ceny Podpory se stanoví vždy za kalendářní rok podle ceníku software Aspe', a to v závislosti na rozsahu licence dle Licenční smlouvy uzavřené mezi Poskytovatelem a Nabyvatelem. Cena Podpory pro první kalendářní rok trvání této smlouvy je uvedena na lícové straně tohoto dokumentu a je, resp. její odpovídající poměrná část, splatná po uzavření této smlouvy na základě faktury Poskytovatele doručené Nabyvateli se splatností 14 dnů od doručení, nedohodnou - li se strany jinak. Pro každý další následující kalendářní rok bude cena roční Podpory stanovována, a to opakovaně vždy k 1. 1. daného roku, podle stejných pravidel, a to na základě ceníku software Aspe’ platného k 1,1 daného roku. Cenu Podpory pro další rok oznámí Poskytovatel Nabyvateli nejpozději do 30. 1. tohoto roku doručením soupisu rozsahu poskytnutých licencí s uvedením nové ceny Podpory spolu s fakturou na cenu roční Podpory, resp. její odpovídající část (splátku). Nabyvatel je oprávněn tuto smlouvu vypovědět ve lhůtě 15 - ti dnů od oznámení ceny Podpory na další rok. Výpovědní doba je dva měsíce a počíná běžet prvého dne měsíce následujícího po doručení výpovědi. Za období běhu výpovědní Ihůty se Nabyvatel zavazuje zaplatit Poskytovateli poměrnou Část ceny za roční Podporu, vypočtenou podle dosavadní výše ceny roční Podpory. Pokud Nabyvatel nevyužije práva na výpověď smlouvy a nadále využívá Podporu, platí, že se změnou ceny Podpory pro další kalendářní rok vyslovil souhlas. V případě, že Poskytovatel ve stanovené době neoznámí Nabyvateli změnu ceny Podpory pro další kalendářní rok, platí, že cena Podpory pro další kalendářní rok je shodná s cenou za předcházející rok. Cena Podpory za kalendářní rok je splatná jednorázově, nebo v poměrných splátkách zvolených Nabyvatelem (viz líc smlouvy). Cena (splátka) je splatná na základě faktury Poskytovatele, se splatností 21 - dnů od doručení faktury Nabyvateli, a to vždy předem na počátku příslušného období za toto období. V případě prodlení Nabyvatele se zaplacením ceny (splátky) Podpory se Nabyvatel zavazuje zaplatit Poskytovateli i úrok z prodlení ve výši 0,05% z dlužné Částky za každý den prodlení. V případě, že Nabyvatel vyžaduje v rámci Podpory odstranění poruchového stavu nebo jiné závady nebo omezení možnosti užívání software Aspe', který spočívá, má původ nebo vznikl z důvodů na straně Nabyvatele (např. užíváním software v rozporu s uživatelskou příručkou, provedením nedovolených zásahů do software, provedením nevhodných změn operačního systému nebo nastavení počítače Nabyvatele apod.), zavazuje se Nabyvatel zaplatit Poskytovateli cenu takového úkonu ve výši stanovené v ceníku Poskytovatele platnému ke dni provedení úkonu a související účelně vynaložené náklady v prokázané nebo zákonné výši.</w:t>
      </w:r>
      <w:r>
        <w:br w:type="page"/>
      </w:r>
    </w:p>
    <w:p>
      <w:pPr>
        <w:pStyle w:val="Style29"/>
        <w:keepNext w:val="0"/>
        <w:keepLines w:val="0"/>
        <w:widowControl w:val="0"/>
        <w:shd w:val="clear" w:color="auto" w:fill="auto"/>
        <w:tabs>
          <w:tab w:leader="hyphen" w:pos="7294" w:val="left"/>
        </w:tabs>
        <w:bidi w:val="0"/>
        <w:spacing w:before="0" w:after="0"/>
        <w:ind w:left="0" w:right="0" w:firstLine="0"/>
        <w:jc w:val="left"/>
      </w:pPr>
      <w:r>
        <w:drawing>
          <wp:anchor distT="0" distB="0" distL="114300" distR="114300" simplePos="0" relativeHeight="125829387" behindDoc="0" locked="0" layoutInCell="1" allowOverlap="1">
            <wp:simplePos x="0" y="0"/>
            <wp:positionH relativeFrom="page">
              <wp:posOffset>421005</wp:posOffset>
            </wp:positionH>
            <wp:positionV relativeFrom="paragraph">
              <wp:posOffset>88900</wp:posOffset>
            </wp:positionV>
            <wp:extent cx="579120" cy="567055"/>
            <wp:wrapSquare wrapText="bothSides"/>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9"/>
                    <a:stretch/>
                  </pic:blipFill>
                  <pic:spPr>
                    <a:xfrm>
                      <a:ext cx="579120" cy="567055"/>
                    </a:xfrm>
                    <a:prstGeom prst="rect"/>
                  </pic:spPr>
                </pic:pic>
              </a:graphicData>
            </a:graphic>
          </wp:anchor>
        </w:drawing>
      </w:r>
      <w:r>
        <w:rPr>
          <w:color w:val="000000"/>
          <w:spacing w:val="0"/>
          <w:w w:val="100"/>
          <w:position w:val="0"/>
          <w:shd w:val="clear" w:color="auto" w:fill="auto"/>
          <w:lang w:val="cs-CZ" w:eastAsia="cs-CZ" w:bidi="cs-CZ"/>
        </w:rPr>
        <w:tab/>
        <w:t xml:space="preserve"> Krajská správa</w:t>
      </w:r>
    </w:p>
    <w:p>
      <w:pPr>
        <w:pStyle w:val="Style23"/>
        <w:keepNext/>
        <w:keepLines/>
        <w:widowControl w:val="0"/>
        <w:shd w:val="clear" w:color="auto" w:fill="auto"/>
        <w:bidi w:val="0"/>
        <w:spacing w:before="0" w:after="760" w:line="154" w:lineRule="auto"/>
        <w:ind w:left="0" w:right="0" w:firstLine="0"/>
        <w:jc w:val="right"/>
      </w:pPr>
      <w:bookmarkStart w:id="20" w:name="bookmark20"/>
      <w:bookmarkStart w:id="21" w:name="bookmark21"/>
      <w:r>
        <w:rPr>
          <w:rFonts w:ascii="Arial" w:eastAsia="Arial" w:hAnsi="Arial" w:cs="Arial"/>
          <w:b w:val="0"/>
          <w:bCs w:val="0"/>
          <w:i/>
          <w:iCs/>
          <w:color w:val="000000"/>
          <w:spacing w:val="0"/>
          <w:w w:val="100"/>
          <w:position w:val="0"/>
          <w:sz w:val="28"/>
          <w:szCs w:val="28"/>
          <w:shd w:val="clear" w:color="auto" w:fill="auto"/>
          <w:lang w:val="cs-CZ" w:eastAsia="cs-CZ" w:bidi="cs-CZ"/>
        </w:rPr>
        <w:t xml:space="preserve">silnic Vysočiny </w:t>
      </w:r>
      <w:r>
        <w:rPr>
          <w:color w:val="000000"/>
          <w:spacing w:val="0"/>
          <w:w w:val="100"/>
          <w:position w:val="0"/>
          <w:shd w:val="clear" w:color="auto" w:fill="auto"/>
          <w:lang w:val="cs-CZ" w:eastAsia="cs-CZ" w:bidi="cs-CZ"/>
        </w:rPr>
        <w:t xml:space="preserve">Smluvní podmínky poskytování technické podpory a update sol </w:t>
      </w:r>
      <w:r>
        <w:rPr>
          <w:rFonts w:ascii="Arial" w:eastAsia="Arial" w:hAnsi="Arial" w:cs="Arial"/>
          <w:b w:val="0"/>
          <w:bCs w:val="0"/>
          <w:i/>
          <w:iCs/>
          <w:color w:val="000000"/>
          <w:spacing w:val="0"/>
          <w:w w:val="100"/>
          <w:position w:val="0"/>
          <w:sz w:val="28"/>
          <w:szCs w:val="28"/>
          <w:shd w:val="clear" w:color="auto" w:fill="auto"/>
          <w:vertAlign w:val="subscript"/>
          <w:lang w:val="cs-CZ" w:eastAsia="cs-CZ" w:bidi="cs-CZ"/>
        </w:rPr>
        <w:t>přísp</w:t>
      </w:r>
      <w:r>
        <w:rPr>
          <w:rFonts w:ascii="Arial" w:eastAsia="Arial" w:hAnsi="Arial" w:cs="Arial"/>
          <w:b w:val="0"/>
          <w:bCs w:val="0"/>
          <w:i/>
          <w:iCs/>
          <w:color w:val="000000"/>
          <w:spacing w:val="0"/>
          <w:w w:val="100"/>
          <w:position w:val="0"/>
          <w:sz w:val="28"/>
          <w:szCs w:val="28"/>
          <w:shd w:val="clear" w:color="auto" w:fill="auto"/>
          <w:lang w:val="cs-CZ" w:eastAsia="cs-CZ" w:bidi="cs-CZ"/>
        </w:rPr>
        <w:t>ěvková organizace</w:t>
      </w:r>
      <w:bookmarkEnd w:id="20"/>
      <w:bookmarkEnd w:id="21"/>
    </w:p>
    <w:p>
      <w:pPr>
        <w:pStyle w:val="Style26"/>
        <w:keepNext/>
        <w:keepLines/>
        <w:widowControl w:val="0"/>
        <w:numPr>
          <w:ilvl w:val="0"/>
          <w:numId w:val="1"/>
        </w:numPr>
        <w:shd w:val="clear" w:color="auto" w:fill="auto"/>
        <w:tabs>
          <w:tab w:pos="262" w:val="left"/>
        </w:tabs>
        <w:bidi w:val="0"/>
        <w:spacing w:before="0" w:after="14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Doba trvání smlouvy a omezení Podpory</w:t>
      </w:r>
      <w:bookmarkEnd w:id="22"/>
      <w:bookmarkEnd w:id="23"/>
    </w:p>
    <w:p>
      <w:pPr>
        <w:pStyle w:val="Style21"/>
        <w:keepNext w:val="0"/>
        <w:keepLines w:val="0"/>
        <w:widowControl w:val="0"/>
        <w:shd w:val="clear" w:color="auto" w:fill="auto"/>
        <w:bidi w:val="0"/>
        <w:spacing w:before="0" w:after="60"/>
        <w:ind w:left="360" w:right="0" w:firstLine="0"/>
        <w:jc w:val="both"/>
      </w:pPr>
      <w:r>
        <w:rPr>
          <w:color w:val="000000"/>
          <w:spacing w:val="0"/>
          <w:w w:val="100"/>
          <w:position w:val="0"/>
          <w:shd w:val="clear" w:color="auto" w:fill="auto"/>
          <w:lang w:val="cs-CZ" w:eastAsia="cs-CZ" w:bidi="cs-CZ"/>
        </w:rPr>
        <w:t>Tato smlouva se uzavírá na dobu neurčitou. Kterákoliv ze stran je oprávněna tuto smlouvu kdykoliv písemně vypovědět, a to i bez uvedení důvodu. Výpovědní lhůta je 2 měsíce a počíná běžet dnem následujícím po doručení výpovědi druhé smluvní straně. Smluvní strany se dohodly, že výpověď, jakož i každá jiná písemnost zasílaná mezi stranami na základě této smlouvy, se považuje za doručenou třetím dnem po jejím odeslání doporučenou poštou prostřednictvím držitele poštovní licence na adresu sídla smluvní strany, a to bez ohledu na to, zda ke skutečnému doručení došlo či nikoliv. Po uplynutí výpovědní doby provede Poskytovatel vyúčtování přeplatku/nedoplatku ceny Podpory za předchozí období. Smluvní strany se zavazují vypořádat tento přeplatek/nedoplatek do 14 - ti dnů po uplynutí výpovědní doby.</w:t>
      </w:r>
    </w:p>
    <w:p>
      <w:pPr>
        <w:pStyle w:val="Style21"/>
        <w:keepNext w:val="0"/>
        <w:keepLines w:val="0"/>
        <w:widowControl w:val="0"/>
        <w:shd w:val="clear" w:color="auto" w:fill="auto"/>
        <w:bidi w:val="0"/>
        <w:spacing w:before="0" w:after="200"/>
        <w:ind w:left="360" w:right="0" w:firstLine="0"/>
        <w:jc w:val="both"/>
      </w:pPr>
      <w:r>
        <w:rPr>
          <w:color w:val="000000"/>
          <w:spacing w:val="0"/>
          <w:w w:val="100"/>
          <w:position w:val="0"/>
          <w:shd w:val="clear" w:color="auto" w:fill="auto"/>
          <w:lang w:val="cs-CZ" w:eastAsia="cs-CZ" w:bidi="cs-CZ"/>
        </w:rPr>
        <w:t>Nabyvatel je oprávněn jednostranným písemným oznámením doručeným Poskytovateli, vždy s účinností k poslednímu dni kalendářního měsíce, v němž bylo oznámení Poskytovateli doručeno, omezit rozsah poskytované Podpory ve vztahu k libovolnému rozsahu poskytnuté licence dle Licenční smlouvy. Ke dni účinnosti takového oznámení pozbývá Nabyvatel dočasně v odpovídajícím rozsahu licenční oprávnění, stejně tak, jako v odpovídajícím rozsahu dočasně odpadá jeho povinnost k placení ceny Podpory, to však jen za předpokladu, že ve stejné lhůtě odevzdal Poskytovateli příslušný počet HW klíčů do úschovy a/nebo umožnil Poskytovateli provedení technických opatření k příslušnému omezeni (zamezení} využitelnosti příslušných částí licence (dále též jen jako „Omezující opatření") a uhradil Poskytovateli paušální poplatek za omezení rozsahu licence, úschovu HW klíčů a Omezující opatření ve výši 200,- Kč za každý měsíc trvání omezení. Paušální poplatek je splatný ročně pozadu, vždy v následujícím kalendářním roce za odpovídající kalendářní měsíce předcházejícího roku, a to na základě faktury Poskytovatele, doručené Nabyvateli se splatností 14 dnů po doručení. Nabyvatel je oprávněn jednostranným písemným oznámením doručeným Poskytovateli dočasné omezení kdykoliv zrušit, a to s účinností k prvnímu dni měsíce následujícího po měsíci, v němž došlo k doručení takového oznámení Poskytovateli. Zrušením omezení se ke dni jeho účinnosti v odpovídajícím rozsahu obnovuje příslušné licenční oprávnění Nabyvatele, stejně tak, jako se v tomtéž rozsahu obnovuje jeho povinnost k placení sjednané ceny za Podporu. Poskytovatel se zavazuje poskytnout Nabyvateli potřebnou součinnost v souvislosti s obnovením licenčních oprávnění. Nabyvatel nemá v v souvislosti s omezením rozsahu licence Poskytovateli právo na vrácení ceny zaplacené za poskytnutí licence dle Licenční smlouvy, ani její části.</w:t>
      </w:r>
    </w:p>
    <w:p>
      <w:pPr>
        <w:pStyle w:val="Style26"/>
        <w:keepNext/>
        <w:keepLines/>
        <w:widowControl w:val="0"/>
        <w:numPr>
          <w:ilvl w:val="0"/>
          <w:numId w:val="1"/>
        </w:numPr>
        <w:shd w:val="clear" w:color="auto" w:fill="auto"/>
        <w:tabs>
          <w:tab w:pos="270" w:val="left"/>
        </w:tabs>
        <w:bidi w:val="0"/>
        <w:spacing w:before="0" w:after="140" w:line="240" w:lineRule="auto"/>
        <w:ind w:left="0" w:right="0" w:firstLine="0"/>
        <w:jc w:val="both"/>
      </w:pPr>
      <w:bookmarkStart w:id="24" w:name="bookmark24"/>
      <w:bookmarkStart w:id="25" w:name="bookmark25"/>
      <w:r>
        <w:rPr>
          <w:color w:val="000000"/>
          <w:spacing w:val="0"/>
          <w:w w:val="100"/>
          <w:position w:val="0"/>
          <w:shd w:val="clear" w:color="auto" w:fill="auto"/>
          <w:lang w:val="cs-CZ" w:eastAsia="cs-CZ" w:bidi="cs-CZ"/>
        </w:rPr>
        <w:t>Rozšíření a zúžení licence</w:t>
      </w:r>
      <w:bookmarkEnd w:id="24"/>
      <w:bookmarkEnd w:id="25"/>
    </w:p>
    <w:p>
      <w:pPr>
        <w:pStyle w:val="Style21"/>
        <w:keepNext w:val="0"/>
        <w:keepLines w:val="0"/>
        <w:widowControl w:val="0"/>
        <w:shd w:val="clear" w:color="auto" w:fill="auto"/>
        <w:bidi w:val="0"/>
        <w:spacing w:before="0" w:after="60"/>
        <w:ind w:left="360" w:right="0" w:firstLine="0"/>
        <w:jc w:val="both"/>
      </w:pPr>
      <w:r>
        <w:rPr>
          <w:color w:val="000000"/>
          <w:spacing w:val="0"/>
          <w:w w:val="100"/>
          <w:position w:val="0"/>
          <w:shd w:val="clear" w:color="auto" w:fill="auto"/>
          <w:lang w:val="cs-CZ" w:eastAsia="cs-CZ" w:bidi="cs-CZ"/>
        </w:rPr>
        <w:t>Pro případ, že mezi Poskytovatelem a Nabyvatelem dojde na základě dohody k rozšíření oprávnění z Licenční smlouvy, dohodly se smluvní strany, že nebude - li písemně sjednáno jinak, vztahuje se na toto rozšíření Podpora podle této smlouvy, tj. s účinností ke dni rozšíření se odpovídajícím způsobem zvyšuje cena Podpory, jejíž aktuální výši oznámí Poskytovatel Nabyvateli bezodkladně doručením nového aktuálního soupisu rozsahu poskytnutých licencí.</w:t>
      </w:r>
    </w:p>
    <w:p>
      <w:pPr>
        <w:pStyle w:val="Style21"/>
        <w:keepNext w:val="0"/>
        <w:keepLines w:val="0"/>
        <w:widowControl w:val="0"/>
        <w:shd w:val="clear" w:color="auto" w:fill="auto"/>
        <w:bidi w:val="0"/>
        <w:spacing w:before="0" w:after="200"/>
        <w:ind w:left="360" w:right="0" w:firstLine="0"/>
        <w:jc w:val="both"/>
      </w:pPr>
      <w:r>
        <w:rPr>
          <w:color w:val="000000"/>
          <w:spacing w:val="0"/>
          <w:w w:val="100"/>
          <w:position w:val="0"/>
          <w:shd w:val="clear" w:color="auto" w:fill="auto"/>
          <w:lang w:val="cs-CZ" w:eastAsia="cs-CZ" w:bidi="cs-CZ"/>
        </w:rPr>
        <w:t>Nabyvatel je oprávněn jednostranným písemným oznámením doručeným Poskytovateli, vždy s účinností ke dni splatnosti nejbližší následující sjednané splátky ceny roční Podpory po doručení oznámení, odstoupit od Licenční smlouvy ve vztahu k libovolnému rozsahu poskytnuté licence. Ke dni účinnosti takového oznámení zaniká v odpovídajícím rozsahu licenční oprávnění Nabyvatele užívat software Aspe , stejně tak, jako v odpovídajícím rozsahu zaniká jeho povinnost k placení ceny Podpory, jestliže ve stejné lhůtě vrátil Poskytovateli příslušný počet HW klíčů a/nebo umožnil provedení Omezujících opatření. Nabyvatel však nemá v takovém případě vůči Poskytovateli právo na vrácení ceny zaplacené za poskytnutí licence dle Licenční smlouvy ani její části.</w:t>
      </w:r>
    </w:p>
    <w:p>
      <w:pPr>
        <w:pStyle w:val="Style26"/>
        <w:keepNext/>
        <w:keepLines/>
        <w:widowControl w:val="0"/>
        <w:numPr>
          <w:ilvl w:val="0"/>
          <w:numId w:val="1"/>
        </w:numPr>
        <w:shd w:val="clear" w:color="auto" w:fill="auto"/>
        <w:tabs>
          <w:tab w:pos="270" w:val="left"/>
        </w:tabs>
        <w:bidi w:val="0"/>
        <w:spacing w:before="0" w:after="14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Další ujednání</w:t>
      </w:r>
      <w:bookmarkEnd w:id="26"/>
      <w:bookmarkEnd w:id="27"/>
    </w:p>
    <w:p>
      <w:pPr>
        <w:pStyle w:val="Style21"/>
        <w:keepNext w:val="0"/>
        <w:keepLines w:val="0"/>
        <w:widowControl w:val="0"/>
        <w:shd w:val="clear" w:color="auto" w:fill="auto"/>
        <w:bidi w:val="0"/>
        <w:spacing w:before="0" w:after="300" w:line="295" w:lineRule="auto"/>
        <w:ind w:left="360" w:right="860" w:firstLine="0"/>
        <w:jc w:val="both"/>
      </w:pPr>
      <w:r>
        <w:rPr>
          <w:color w:val="000000"/>
          <w:spacing w:val="0"/>
          <w:w w:val="100"/>
          <w:position w:val="0"/>
          <w:shd w:val="clear" w:color="auto" w:fill="auto"/>
          <w:lang w:val="cs-CZ" w:eastAsia="cs-CZ" w:bidi="cs-CZ"/>
        </w:rPr>
        <w:t>Tuto smlouvu je možno měnit pouze písemnou dohodou smluvních stran; jiná než písemná forma je vyloučena. Ustanovení § 1799 a § 1800 o.z. se pro úpravu vztahů smluvních stran podle této smlouvy neužijí, Nabyvatel přebírá na sebe riziko změny okolností ve smyslu § 1765 odst.2 o.z.; Nabyvatel nemůže uplatňovat práva uvedená v § 1765 odst.1 o.z. Odstoupit od této smlouvy lze pouze z důvodů stanovených touto smlouvou nebo zákonem; odstoupení je, není - li sjednáno výslovně jinak, účinné doručením oznámení o odstoupení druhé smluvní straně. Odstoupením se smlouva ruší vždy s účinky ex nunc.</w:t>
      </w:r>
    </w:p>
    <w:p>
      <w:pPr>
        <w:pStyle w:val="Style21"/>
        <w:keepNext w:val="0"/>
        <w:keepLines w:val="0"/>
        <w:widowControl w:val="0"/>
        <w:shd w:val="clear" w:color="auto" w:fill="auto"/>
        <w:bidi w:val="0"/>
        <w:spacing w:before="0" w:after="180" w:line="295" w:lineRule="auto"/>
        <w:ind w:left="360" w:right="860" w:firstLine="0"/>
        <w:jc w:val="both"/>
      </w:pPr>
      <w:r>
        <w:rPr>
          <w:color w:val="000000"/>
          <w:spacing w:val="0"/>
          <w:w w:val="100"/>
          <w:position w:val="0"/>
          <w:shd w:val="clear" w:color="auto" w:fill="auto"/>
          <w:lang w:val="cs-CZ" w:eastAsia="cs-CZ" w:bidi="cs-CZ"/>
        </w:rPr>
        <w:t>Strany si smlouvu přečetly, s jejím zněním souhlasí a na důkaz toho připojují své podpisy. Tato smlouva je sepsána ve dvou vyhotoveních, po jednom pro každou smluvní stranu. Smlouva nabývá platnost po podpisu obou smluvních stran a prokazatelném doručení Poskytovateli. Den doručení potvrzené smlouvy Poskytovateli bude považován za DÚZP.</w:t>
      </w:r>
    </w:p>
    <w:sectPr>
      <w:footerReference w:type="default" r:id="rId11"/>
      <w:footerReference w:type="even" r:id="rId12"/>
      <w:footnotePr>
        <w:pos w:val="pageBottom"/>
        <w:numFmt w:val="decimal"/>
        <w:numRestart w:val="continuous"/>
      </w:footnotePr>
      <w:pgSz w:w="11900" w:h="16840"/>
      <w:pgMar w:top="590" w:left="1913" w:right="185" w:bottom="159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1242060</wp:posOffset>
              </wp:positionH>
              <wp:positionV relativeFrom="page">
                <wp:posOffset>10257155</wp:posOffset>
              </wp:positionV>
              <wp:extent cx="4723130" cy="363220"/>
              <wp:wrapNone/>
              <wp:docPr id="13" name="Shape 13"/>
              <a:graphic xmlns:a="http://schemas.openxmlformats.org/drawingml/2006/main">
                <a:graphicData uri="http://schemas.microsoft.com/office/word/2010/wordprocessingShape">
                  <wps:wsp>
                    <wps:cNvSpPr txBox="1"/>
                    <wps:spPr>
                      <a:xfrm>
                        <a:ext cx="4723130" cy="3632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Valbek, spoi. s r.o.® Vaňurova 505/17, 460 02 Liberec 3. ® IČ: 48266230, DIČ: CZ48266230</w:t>
                          </w:r>
                        </w:p>
                        <w:p>
                          <w:pPr>
                            <w:pStyle w:val="Style15"/>
                            <w:keepNext w:val="0"/>
                            <w:keepLines w:val="0"/>
                            <w:widowControl w:val="0"/>
                            <w:shd w:val="clear" w:color="auto" w:fill="auto"/>
                            <w:tabs>
                              <w:tab w:pos="4907"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 Komerční banka, a.s., č. ú.</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tel.: +</w:t>
                          </w:r>
                        </w:p>
                        <w:p>
                          <w:pPr>
                            <w:pStyle w:val="Style15"/>
                            <w:keepNext w:val="0"/>
                            <w:keepLines w:val="0"/>
                            <w:widowControl w:val="0"/>
                            <w:shd w:val="clear" w:color="auto" w:fill="auto"/>
                            <w:tabs>
                              <w:tab w:pos="2545" w:val="right"/>
                              <w:tab w:pos="3827"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Kotlině Aspe®:</w:t>
                            <w:tab/>
                          </w:r>
                          <w:r>
                            <w:rPr>
                              <w:rFonts w:ascii="Arial" w:eastAsia="Arial" w:hAnsi="Arial" w:cs="Arial"/>
                              <w:color w:val="000000"/>
                              <w:spacing w:val="0"/>
                              <w:w w:val="100"/>
                              <w:position w:val="0"/>
                              <w:sz w:val="14"/>
                              <w:szCs w:val="14"/>
                              <w:shd w:val="clear" w:color="auto" w:fill="auto"/>
                              <w:vertAlign w:val="superscript"/>
                              <w:lang w:val="cs-CZ" w:eastAsia="cs-CZ" w:bidi="cs-CZ"/>
                            </w:rPr>
                            <w:t>H</w:t>
                          </w:r>
                          <w:r>
                            <w:rPr>
                              <w:rFonts w:ascii="Arial" w:eastAsia="Arial" w:hAnsi="Arial" w:cs="Arial"/>
                              <w:color w:val="000000"/>
                              <w:spacing w:val="0"/>
                              <w:w w:val="100"/>
                              <w:position w:val="0"/>
                              <w:sz w:val="14"/>
                              <w:szCs w:val="14"/>
                              <w:shd w:val="clear" w:color="auto" w:fill="auto"/>
                              <w:lang w:val="cs-CZ" w:eastAsia="cs-CZ" w:bidi="cs-CZ"/>
                            </w:rPr>
                            <w:t xml:space="preserve"> fax:</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e-mail: </w:t>
                          </w:r>
                          <w:r>
                            <w:rPr>
                              <w:rFonts w:ascii="Arial" w:eastAsia="Arial" w:hAnsi="Arial" w:cs="Arial"/>
                              <w:color w:val="000000"/>
                              <w:spacing w:val="0"/>
                              <w:w w:val="100"/>
                              <w:position w:val="0"/>
                              <w:sz w:val="14"/>
                              <w:szCs w:val="14"/>
                              <w:shd w:val="clear" w:color="auto" w:fill="auto"/>
                              <w:lang w:val="en-US" w:eastAsia="en-US" w:bidi="en-US"/>
                            </w:rPr>
                            <w:t xml:space="preserve">info@aspe.cz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 xml:space="preserve">www.valbek.cz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www.aspe.cz</w:t>
                          </w:r>
                        </w:p>
                      </w:txbxContent>
                    </wps:txbx>
                    <wps:bodyPr lIns="0" tIns="0" rIns="0" bIns="0">
                      <a:spAutoFit/>
                    </wps:bodyPr>
                  </wps:wsp>
                </a:graphicData>
              </a:graphic>
            </wp:anchor>
          </w:drawing>
        </mc:Choice>
        <mc:Fallback>
          <w:pict>
            <v:shape id="_x0000_s1039" type="#_x0000_t202" style="position:absolute;margin-left:97.799999999999997pt;margin-top:807.64999999999998pt;width:371.89999999999998pt;height:28.600000000000001pt;z-index:-188744063;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Valbek, spoi. s r.o.® Vaňurova 505/17, 460 02 Liberec 3. ® IČ: 48266230, DIČ: CZ48266230</w:t>
                    </w:r>
                  </w:p>
                  <w:p>
                    <w:pPr>
                      <w:pStyle w:val="Style15"/>
                      <w:keepNext w:val="0"/>
                      <w:keepLines w:val="0"/>
                      <w:widowControl w:val="0"/>
                      <w:shd w:val="clear" w:color="auto" w:fill="auto"/>
                      <w:tabs>
                        <w:tab w:pos="4907"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 Komerční banka, a.s., č. ú.</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tel.: +</w:t>
                    </w:r>
                  </w:p>
                  <w:p>
                    <w:pPr>
                      <w:pStyle w:val="Style15"/>
                      <w:keepNext w:val="0"/>
                      <w:keepLines w:val="0"/>
                      <w:widowControl w:val="0"/>
                      <w:shd w:val="clear" w:color="auto" w:fill="auto"/>
                      <w:tabs>
                        <w:tab w:pos="2545" w:val="right"/>
                        <w:tab w:pos="3827"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Kotlině Aspe®:</w:t>
                      <w:tab/>
                    </w:r>
                    <w:r>
                      <w:rPr>
                        <w:rFonts w:ascii="Arial" w:eastAsia="Arial" w:hAnsi="Arial" w:cs="Arial"/>
                        <w:color w:val="000000"/>
                        <w:spacing w:val="0"/>
                        <w:w w:val="100"/>
                        <w:position w:val="0"/>
                        <w:sz w:val="14"/>
                        <w:szCs w:val="14"/>
                        <w:shd w:val="clear" w:color="auto" w:fill="auto"/>
                        <w:vertAlign w:val="superscript"/>
                        <w:lang w:val="cs-CZ" w:eastAsia="cs-CZ" w:bidi="cs-CZ"/>
                      </w:rPr>
                      <w:t>H</w:t>
                    </w:r>
                    <w:r>
                      <w:rPr>
                        <w:rFonts w:ascii="Arial" w:eastAsia="Arial" w:hAnsi="Arial" w:cs="Arial"/>
                        <w:color w:val="000000"/>
                        <w:spacing w:val="0"/>
                        <w:w w:val="100"/>
                        <w:position w:val="0"/>
                        <w:sz w:val="14"/>
                        <w:szCs w:val="14"/>
                        <w:shd w:val="clear" w:color="auto" w:fill="auto"/>
                        <w:lang w:val="cs-CZ" w:eastAsia="cs-CZ" w:bidi="cs-CZ"/>
                      </w:rPr>
                      <w:t xml:space="preserve"> fax:</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e-mail: </w:t>
                    </w:r>
                    <w:r>
                      <w:rPr>
                        <w:rFonts w:ascii="Arial" w:eastAsia="Arial" w:hAnsi="Arial" w:cs="Arial"/>
                        <w:color w:val="000000"/>
                        <w:spacing w:val="0"/>
                        <w:w w:val="100"/>
                        <w:position w:val="0"/>
                        <w:sz w:val="14"/>
                        <w:szCs w:val="14"/>
                        <w:shd w:val="clear" w:color="auto" w:fill="auto"/>
                        <w:lang w:val="en-US" w:eastAsia="en-US" w:bidi="en-US"/>
                      </w:rPr>
                      <w:t xml:space="preserve">info@aspe.cz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 xml:space="preserve">www.valbek.cz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www.aspe.cz</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1242060</wp:posOffset>
              </wp:positionH>
              <wp:positionV relativeFrom="page">
                <wp:posOffset>10257155</wp:posOffset>
              </wp:positionV>
              <wp:extent cx="4723130" cy="363220"/>
              <wp:wrapNone/>
              <wp:docPr id="15" name="Shape 15"/>
              <a:graphic xmlns:a="http://schemas.openxmlformats.org/drawingml/2006/main">
                <a:graphicData uri="http://schemas.microsoft.com/office/word/2010/wordprocessingShape">
                  <wps:wsp>
                    <wps:cNvSpPr txBox="1"/>
                    <wps:spPr>
                      <a:xfrm>
                        <a:ext cx="4723130" cy="36322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Valbek, spoi. s r.o.® Vaňurova 505/17, 460 02 Liberec 3. ® IČ: 48266230, DIČ: CZ48266230</w:t>
                          </w:r>
                        </w:p>
                        <w:p>
                          <w:pPr>
                            <w:pStyle w:val="Style15"/>
                            <w:keepNext w:val="0"/>
                            <w:keepLines w:val="0"/>
                            <w:widowControl w:val="0"/>
                            <w:shd w:val="clear" w:color="auto" w:fill="auto"/>
                            <w:tabs>
                              <w:tab w:pos="4907"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 Komerční banka, a.s., č. ú.</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tel.: +</w:t>
                          </w:r>
                        </w:p>
                        <w:p>
                          <w:pPr>
                            <w:pStyle w:val="Style15"/>
                            <w:keepNext w:val="0"/>
                            <w:keepLines w:val="0"/>
                            <w:widowControl w:val="0"/>
                            <w:shd w:val="clear" w:color="auto" w:fill="auto"/>
                            <w:tabs>
                              <w:tab w:pos="2545" w:val="right"/>
                              <w:tab w:pos="3827"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Kotlině Aspe®:</w:t>
                            <w:tab/>
                          </w:r>
                          <w:r>
                            <w:rPr>
                              <w:rFonts w:ascii="Arial" w:eastAsia="Arial" w:hAnsi="Arial" w:cs="Arial"/>
                              <w:color w:val="000000"/>
                              <w:spacing w:val="0"/>
                              <w:w w:val="100"/>
                              <w:position w:val="0"/>
                              <w:sz w:val="14"/>
                              <w:szCs w:val="14"/>
                              <w:shd w:val="clear" w:color="auto" w:fill="auto"/>
                              <w:vertAlign w:val="superscript"/>
                              <w:lang w:val="cs-CZ" w:eastAsia="cs-CZ" w:bidi="cs-CZ"/>
                            </w:rPr>
                            <w:t>H</w:t>
                          </w:r>
                          <w:r>
                            <w:rPr>
                              <w:rFonts w:ascii="Arial" w:eastAsia="Arial" w:hAnsi="Arial" w:cs="Arial"/>
                              <w:color w:val="000000"/>
                              <w:spacing w:val="0"/>
                              <w:w w:val="100"/>
                              <w:position w:val="0"/>
                              <w:sz w:val="14"/>
                              <w:szCs w:val="14"/>
                              <w:shd w:val="clear" w:color="auto" w:fill="auto"/>
                              <w:lang w:val="cs-CZ" w:eastAsia="cs-CZ" w:bidi="cs-CZ"/>
                            </w:rPr>
                            <w:t xml:space="preserve"> fax:</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e-mail: </w:t>
                          </w:r>
                          <w:r>
                            <w:rPr>
                              <w:rFonts w:ascii="Arial" w:eastAsia="Arial" w:hAnsi="Arial" w:cs="Arial"/>
                              <w:color w:val="000000"/>
                              <w:spacing w:val="0"/>
                              <w:w w:val="100"/>
                              <w:position w:val="0"/>
                              <w:sz w:val="14"/>
                              <w:szCs w:val="14"/>
                              <w:shd w:val="clear" w:color="auto" w:fill="auto"/>
                              <w:lang w:val="en-US" w:eastAsia="en-US" w:bidi="en-US"/>
                            </w:rPr>
                            <w:t xml:space="preserve">info@aspe.cz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 xml:space="preserve">www.valbek.cz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www.aspe.cz</w:t>
                          </w:r>
                        </w:p>
                      </w:txbxContent>
                    </wps:txbx>
                    <wps:bodyPr lIns="0" tIns="0" rIns="0" bIns="0">
                      <a:spAutoFit/>
                    </wps:bodyPr>
                  </wps:wsp>
                </a:graphicData>
              </a:graphic>
            </wp:anchor>
          </w:drawing>
        </mc:Choice>
        <mc:Fallback>
          <w:pict>
            <v:shape id="_x0000_s1041" type="#_x0000_t202" style="position:absolute;margin-left:97.799999999999997pt;margin-top:807.64999999999998pt;width:371.89999999999998pt;height:28.600000000000001pt;z-index:-188744061;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Valbek, spoi. s r.o.® Vaňurova 505/17, 460 02 Liberec 3. ® IČ: 48266230, DIČ: CZ48266230</w:t>
                    </w:r>
                  </w:p>
                  <w:p>
                    <w:pPr>
                      <w:pStyle w:val="Style15"/>
                      <w:keepNext w:val="0"/>
                      <w:keepLines w:val="0"/>
                      <w:widowControl w:val="0"/>
                      <w:shd w:val="clear" w:color="auto" w:fill="auto"/>
                      <w:tabs>
                        <w:tab w:pos="4907"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 Komerční banka, a.s., č. ú.</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tel.: +</w:t>
                    </w:r>
                  </w:p>
                  <w:p>
                    <w:pPr>
                      <w:pStyle w:val="Style15"/>
                      <w:keepNext w:val="0"/>
                      <w:keepLines w:val="0"/>
                      <w:widowControl w:val="0"/>
                      <w:shd w:val="clear" w:color="auto" w:fill="auto"/>
                      <w:tabs>
                        <w:tab w:pos="2545" w:val="right"/>
                        <w:tab w:pos="3827" w:val="lef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Kotlině Aspe®:</w:t>
                      <w:tab/>
                    </w:r>
                    <w:r>
                      <w:rPr>
                        <w:rFonts w:ascii="Arial" w:eastAsia="Arial" w:hAnsi="Arial" w:cs="Arial"/>
                        <w:color w:val="000000"/>
                        <w:spacing w:val="0"/>
                        <w:w w:val="100"/>
                        <w:position w:val="0"/>
                        <w:sz w:val="14"/>
                        <w:szCs w:val="14"/>
                        <w:shd w:val="clear" w:color="auto" w:fill="auto"/>
                        <w:vertAlign w:val="superscript"/>
                        <w:lang w:val="cs-CZ" w:eastAsia="cs-CZ" w:bidi="cs-CZ"/>
                      </w:rPr>
                      <w:t>H</w:t>
                    </w:r>
                    <w:r>
                      <w:rPr>
                        <w:rFonts w:ascii="Arial" w:eastAsia="Arial" w:hAnsi="Arial" w:cs="Arial"/>
                        <w:color w:val="000000"/>
                        <w:spacing w:val="0"/>
                        <w:w w:val="100"/>
                        <w:position w:val="0"/>
                        <w:sz w:val="14"/>
                        <w:szCs w:val="14"/>
                        <w:shd w:val="clear" w:color="auto" w:fill="auto"/>
                        <w:lang w:val="cs-CZ" w:eastAsia="cs-CZ" w:bidi="cs-CZ"/>
                      </w:rPr>
                      <w:t xml:space="preserve"> fax:</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e-mail: </w:t>
                    </w:r>
                    <w:r>
                      <w:rPr>
                        <w:rFonts w:ascii="Arial" w:eastAsia="Arial" w:hAnsi="Arial" w:cs="Arial"/>
                        <w:color w:val="000000"/>
                        <w:spacing w:val="0"/>
                        <w:w w:val="100"/>
                        <w:position w:val="0"/>
                        <w:sz w:val="14"/>
                        <w:szCs w:val="14"/>
                        <w:shd w:val="clear" w:color="auto" w:fill="auto"/>
                        <w:lang w:val="en-US" w:eastAsia="en-US" w:bidi="en-US"/>
                      </w:rPr>
                      <w:t xml:space="preserve">info@aspe.cz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 xml:space="preserve">www.valbek.cz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www.aspe.cz</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1250950</wp:posOffset>
              </wp:positionH>
              <wp:positionV relativeFrom="page">
                <wp:posOffset>9874885</wp:posOffset>
              </wp:positionV>
              <wp:extent cx="3749040" cy="351790"/>
              <wp:wrapNone/>
              <wp:docPr id="21" name="Shape 21"/>
              <a:graphic xmlns:a="http://schemas.openxmlformats.org/drawingml/2006/main">
                <a:graphicData uri="http://schemas.microsoft.com/office/word/2010/wordprocessingShape">
                  <wps:wsp>
                    <wps:cNvSpPr txBox="1"/>
                    <wps:spPr>
                      <a:xfrm>
                        <a:ext cx="3749040" cy="35179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Valbek, spol. s r.o.» Vaňurova 505/17,460 02 Liberec 3.</w:t>
                          </w:r>
                          <w:r>
                            <w:rPr>
                              <w:rFonts w:ascii="Arial" w:eastAsia="Arial" w:hAnsi="Arial" w:cs="Arial"/>
                              <w:color w:val="000000"/>
                              <w:spacing w:val="0"/>
                              <w:w w:val="100"/>
                              <w:position w:val="0"/>
                              <w:sz w:val="14"/>
                              <w:szCs w:val="14"/>
                              <w:shd w:val="clear" w:color="auto" w:fill="auto"/>
                              <w:vertAlign w:val="superscript"/>
                              <w:lang w:val="cs-CZ" w:eastAsia="cs-CZ" w:bidi="cs-CZ"/>
                            </w:rPr>
                            <w:t>0</w:t>
                          </w:r>
                          <w:r>
                            <w:rPr>
                              <w:rFonts w:ascii="Arial" w:eastAsia="Arial" w:hAnsi="Arial" w:cs="Arial"/>
                              <w:color w:val="000000"/>
                              <w:spacing w:val="0"/>
                              <w:w w:val="100"/>
                              <w:position w:val="0"/>
                              <w:sz w:val="14"/>
                              <w:szCs w:val="14"/>
                              <w:shd w:val="clear" w:color="auto" w:fill="auto"/>
                              <w:lang w:val="cs-CZ" w:eastAsia="cs-CZ" w:bidi="cs-CZ"/>
                            </w:rPr>
                            <w:t xml:space="preserve"> IČ: AJWK230, DIČ: CZ48266230</w:t>
                          </w:r>
                        </w:p>
                        <w:p>
                          <w:pPr>
                            <w:pStyle w:val="Style15"/>
                            <w:keepNext w:val="0"/>
                            <w:keepLines w:val="0"/>
                            <w:widowControl w:val="0"/>
                            <w:shd w:val="clear" w:color="auto" w:fill="auto"/>
                            <w:tabs>
                              <w:tab w:pos="4878"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 Komerční banka, a.s., č. ú.</w:t>
                            <w:tab/>
                          </w:r>
                          <w:r>
                            <w:rPr>
                              <w:rFonts w:ascii="Arial" w:eastAsia="Arial" w:hAnsi="Arial" w:cs="Arial"/>
                              <w:color w:val="000000"/>
                              <w:spacing w:val="0"/>
                              <w:w w:val="100"/>
                              <w:position w:val="0"/>
                              <w:sz w:val="14"/>
                              <w:szCs w:val="14"/>
                              <w:shd w:val="clear" w:color="auto" w:fill="auto"/>
                              <w:vertAlign w:val="superscript"/>
                              <w:lang w:val="cs-CZ" w:eastAsia="cs-CZ" w:bidi="cs-CZ"/>
                            </w:rPr>
                            <w:t>B</w:t>
                          </w:r>
                          <w:r>
                            <w:rPr>
                              <w:rFonts w:ascii="Arial" w:eastAsia="Arial" w:hAnsi="Arial" w:cs="Arial"/>
                              <w:color w:val="000000"/>
                              <w:spacing w:val="0"/>
                              <w:w w:val="100"/>
                              <w:position w:val="0"/>
                              <w:sz w:val="14"/>
                              <w:szCs w:val="14"/>
                              <w:shd w:val="clear" w:color="auto" w:fill="auto"/>
                              <w:lang w:val="cs-CZ" w:eastAsia="cs-CZ" w:bidi="cs-CZ"/>
                            </w:rPr>
                            <w:t xml:space="preserve"> tel.: ■</w:t>
                          </w:r>
                        </w:p>
                        <w:p>
                          <w:pPr>
                            <w:pStyle w:val="Style15"/>
                            <w:keepNext w:val="0"/>
                            <w:keepLines w:val="0"/>
                            <w:widowControl w:val="0"/>
                            <w:shd w:val="clear" w:color="auto" w:fill="auto"/>
                            <w:tabs>
                              <w:tab w:pos="2570" w:val="right"/>
                              <w:tab w:pos="4900" w:val="right"/>
                              <w:tab w:pos="5652" w:val="right"/>
                              <w:tab w:pos="5897"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Hotline Aspe®:</w:t>
                            <w:tab/>
                          </w:r>
                          <w:r>
                            <w:rPr>
                              <w:rFonts w:ascii="Arial" w:eastAsia="Arial" w:hAnsi="Arial" w:cs="Arial"/>
                              <w:color w:val="000000"/>
                              <w:spacing w:val="0"/>
                              <w:w w:val="100"/>
                              <w:position w:val="0"/>
                              <w:sz w:val="14"/>
                              <w:szCs w:val="14"/>
                              <w:shd w:val="clear" w:color="auto" w:fill="auto"/>
                              <w:lang w:val="cs-CZ" w:eastAsia="cs-CZ" w:bidi="cs-CZ"/>
                            </w:rPr>
                            <w:t>■ fax;</w:t>
                            <w:tab/>
                          </w:r>
                          <w:r>
                            <w:rPr>
                              <w:rFonts w:ascii="Arial" w:eastAsia="Arial" w:hAnsi="Arial" w:cs="Arial"/>
                              <w:color w:val="000000"/>
                              <w:spacing w:val="0"/>
                              <w:w w:val="100"/>
                              <w:position w:val="0"/>
                              <w:sz w:val="14"/>
                              <w:szCs w:val="14"/>
                              <w:shd w:val="clear" w:color="auto" w:fill="auto"/>
                              <w:vertAlign w:val="superscript"/>
                              <w:lang w:val="cs-CZ" w:eastAsia="cs-CZ" w:bidi="cs-CZ"/>
                            </w:rPr>
                            <w:t>a</w:t>
                          </w:r>
                          <w:r>
                            <w:rPr>
                              <w:rFonts w:ascii="Arial" w:eastAsia="Arial" w:hAnsi="Arial" w:cs="Arial"/>
                              <w:color w:val="000000"/>
                              <w:spacing w:val="0"/>
                              <w:w w:val="100"/>
                              <w:position w:val="0"/>
                              <w:sz w:val="14"/>
                              <w:szCs w:val="14"/>
                              <w:shd w:val="clear" w:color="auto" w:fill="auto"/>
                              <w:lang w:val="cs-CZ" w:eastAsia="cs-CZ" w:bidi="cs-CZ"/>
                            </w:rPr>
                            <w:t xml:space="preserve"> e-mail: ínfo@a</w:t>
                            <w:tab/>
                            <w:tab/>
                          </w:r>
                        </w:p>
                      </w:txbxContent>
                    </wps:txbx>
                    <wps:bodyPr lIns="0" tIns="0" rIns="0" bIns="0">
                      <a:spAutoFit/>
                    </wps:bodyPr>
                  </wps:wsp>
                </a:graphicData>
              </a:graphic>
            </wp:anchor>
          </w:drawing>
        </mc:Choice>
        <mc:Fallback>
          <w:pict>
            <v:shape id="_x0000_s1047" type="#_x0000_t202" style="position:absolute;margin-left:98.5pt;margin-top:777.54999999999995pt;width:295.19999999999999pt;height:27.699999999999999pt;z-index:-188744059;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Valbek, spol. s r.o.» Vaňurova 505/17,460 02 Liberec 3.</w:t>
                    </w:r>
                    <w:r>
                      <w:rPr>
                        <w:rFonts w:ascii="Arial" w:eastAsia="Arial" w:hAnsi="Arial" w:cs="Arial"/>
                        <w:color w:val="000000"/>
                        <w:spacing w:val="0"/>
                        <w:w w:val="100"/>
                        <w:position w:val="0"/>
                        <w:sz w:val="14"/>
                        <w:szCs w:val="14"/>
                        <w:shd w:val="clear" w:color="auto" w:fill="auto"/>
                        <w:vertAlign w:val="superscript"/>
                        <w:lang w:val="cs-CZ" w:eastAsia="cs-CZ" w:bidi="cs-CZ"/>
                      </w:rPr>
                      <w:t>0</w:t>
                    </w:r>
                    <w:r>
                      <w:rPr>
                        <w:rFonts w:ascii="Arial" w:eastAsia="Arial" w:hAnsi="Arial" w:cs="Arial"/>
                        <w:color w:val="000000"/>
                        <w:spacing w:val="0"/>
                        <w:w w:val="100"/>
                        <w:position w:val="0"/>
                        <w:sz w:val="14"/>
                        <w:szCs w:val="14"/>
                        <w:shd w:val="clear" w:color="auto" w:fill="auto"/>
                        <w:lang w:val="cs-CZ" w:eastAsia="cs-CZ" w:bidi="cs-CZ"/>
                      </w:rPr>
                      <w:t xml:space="preserve"> IČ: AJWK230, DIČ: CZ48266230</w:t>
                    </w:r>
                  </w:p>
                  <w:p>
                    <w:pPr>
                      <w:pStyle w:val="Style15"/>
                      <w:keepNext w:val="0"/>
                      <w:keepLines w:val="0"/>
                      <w:widowControl w:val="0"/>
                      <w:shd w:val="clear" w:color="auto" w:fill="auto"/>
                      <w:tabs>
                        <w:tab w:pos="4878"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 Komerční banka, a.s., č. ú.</w:t>
                      <w:tab/>
                    </w:r>
                    <w:r>
                      <w:rPr>
                        <w:rFonts w:ascii="Arial" w:eastAsia="Arial" w:hAnsi="Arial" w:cs="Arial"/>
                        <w:color w:val="000000"/>
                        <w:spacing w:val="0"/>
                        <w:w w:val="100"/>
                        <w:position w:val="0"/>
                        <w:sz w:val="14"/>
                        <w:szCs w:val="14"/>
                        <w:shd w:val="clear" w:color="auto" w:fill="auto"/>
                        <w:vertAlign w:val="superscript"/>
                        <w:lang w:val="cs-CZ" w:eastAsia="cs-CZ" w:bidi="cs-CZ"/>
                      </w:rPr>
                      <w:t>B</w:t>
                    </w:r>
                    <w:r>
                      <w:rPr>
                        <w:rFonts w:ascii="Arial" w:eastAsia="Arial" w:hAnsi="Arial" w:cs="Arial"/>
                        <w:color w:val="000000"/>
                        <w:spacing w:val="0"/>
                        <w:w w:val="100"/>
                        <w:position w:val="0"/>
                        <w:sz w:val="14"/>
                        <w:szCs w:val="14"/>
                        <w:shd w:val="clear" w:color="auto" w:fill="auto"/>
                        <w:lang w:val="cs-CZ" w:eastAsia="cs-CZ" w:bidi="cs-CZ"/>
                      </w:rPr>
                      <w:t xml:space="preserve"> tel.: ■</w:t>
                    </w:r>
                  </w:p>
                  <w:p>
                    <w:pPr>
                      <w:pStyle w:val="Style15"/>
                      <w:keepNext w:val="0"/>
                      <w:keepLines w:val="0"/>
                      <w:widowControl w:val="0"/>
                      <w:shd w:val="clear" w:color="auto" w:fill="auto"/>
                      <w:tabs>
                        <w:tab w:pos="2570" w:val="right"/>
                        <w:tab w:pos="4900" w:val="right"/>
                        <w:tab w:pos="5652" w:val="right"/>
                        <w:tab w:pos="5897"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Hotline Aspe®:</w:t>
                      <w:tab/>
                    </w:r>
                    <w:r>
                      <w:rPr>
                        <w:rFonts w:ascii="Arial" w:eastAsia="Arial" w:hAnsi="Arial" w:cs="Arial"/>
                        <w:color w:val="000000"/>
                        <w:spacing w:val="0"/>
                        <w:w w:val="100"/>
                        <w:position w:val="0"/>
                        <w:sz w:val="14"/>
                        <w:szCs w:val="14"/>
                        <w:shd w:val="clear" w:color="auto" w:fill="auto"/>
                        <w:lang w:val="cs-CZ" w:eastAsia="cs-CZ" w:bidi="cs-CZ"/>
                      </w:rPr>
                      <w:t>■ fax;</w:t>
                      <w:tab/>
                    </w:r>
                    <w:r>
                      <w:rPr>
                        <w:rFonts w:ascii="Arial" w:eastAsia="Arial" w:hAnsi="Arial" w:cs="Arial"/>
                        <w:color w:val="000000"/>
                        <w:spacing w:val="0"/>
                        <w:w w:val="100"/>
                        <w:position w:val="0"/>
                        <w:sz w:val="14"/>
                        <w:szCs w:val="14"/>
                        <w:shd w:val="clear" w:color="auto" w:fill="auto"/>
                        <w:vertAlign w:val="superscript"/>
                        <w:lang w:val="cs-CZ" w:eastAsia="cs-CZ" w:bidi="cs-CZ"/>
                      </w:rPr>
                      <w:t>a</w:t>
                    </w:r>
                    <w:r>
                      <w:rPr>
                        <w:rFonts w:ascii="Arial" w:eastAsia="Arial" w:hAnsi="Arial" w:cs="Arial"/>
                        <w:color w:val="000000"/>
                        <w:spacing w:val="0"/>
                        <w:w w:val="100"/>
                        <w:position w:val="0"/>
                        <w:sz w:val="14"/>
                        <w:szCs w:val="14"/>
                        <w:shd w:val="clear" w:color="auto" w:fill="auto"/>
                        <w:lang w:val="cs-CZ" w:eastAsia="cs-CZ" w:bidi="cs-CZ"/>
                      </w:rPr>
                      <w:t xml:space="preserve"> e-mail: ínfo@a</w:t>
                      <w:tab/>
                      <w:tab/>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1253490</wp:posOffset>
              </wp:positionH>
              <wp:positionV relativeFrom="page">
                <wp:posOffset>10194925</wp:posOffset>
              </wp:positionV>
              <wp:extent cx="4718050" cy="361315"/>
              <wp:wrapNone/>
              <wp:docPr id="23" name="Shape 23"/>
              <a:graphic xmlns:a="http://schemas.openxmlformats.org/drawingml/2006/main">
                <a:graphicData uri="http://schemas.microsoft.com/office/word/2010/wordprocessingShape">
                  <wps:wsp>
                    <wps:cNvSpPr txBox="1"/>
                    <wps:spPr>
                      <a:xfrm>
                        <a:ext cx="4718050" cy="3613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Valbek, spol. s r.o.</w:t>
                          </w:r>
                          <w:r>
                            <w:rPr>
                              <w:rFonts w:ascii="Arial" w:eastAsia="Arial" w:hAnsi="Arial" w:cs="Arial"/>
                              <w:color w:val="000000"/>
                              <w:spacing w:val="0"/>
                              <w:w w:val="100"/>
                              <w:position w:val="0"/>
                              <w:sz w:val="14"/>
                              <w:szCs w:val="14"/>
                              <w:shd w:val="clear" w:color="auto" w:fill="auto"/>
                              <w:vertAlign w:val="superscript"/>
                              <w:lang w:val="cs-CZ" w:eastAsia="cs-CZ" w:bidi="cs-CZ"/>
                            </w:rPr>
                            <w:t>a</w:t>
                          </w:r>
                          <w:r>
                            <w:rPr>
                              <w:rFonts w:ascii="Arial" w:eastAsia="Arial" w:hAnsi="Arial" w:cs="Arial"/>
                              <w:color w:val="000000"/>
                              <w:spacing w:val="0"/>
                              <w:w w:val="100"/>
                              <w:position w:val="0"/>
                              <w:sz w:val="14"/>
                              <w:szCs w:val="14"/>
                              <w:shd w:val="clear" w:color="auto" w:fill="auto"/>
                              <w:lang w:val="cs-CZ" w:eastAsia="cs-CZ" w:bidi="cs-CZ"/>
                            </w:rPr>
                            <w:t xml:space="preserve"> Vaňurova 505/17, 460 02 Liberec 3.</w:t>
                          </w:r>
                          <w:r>
                            <w:rPr>
                              <w:rFonts w:ascii="Arial" w:eastAsia="Arial" w:hAnsi="Arial" w:cs="Arial"/>
                              <w:color w:val="000000"/>
                              <w:spacing w:val="0"/>
                              <w:w w:val="100"/>
                              <w:position w:val="0"/>
                              <w:sz w:val="14"/>
                              <w:szCs w:val="14"/>
                              <w:shd w:val="clear" w:color="auto" w:fill="auto"/>
                              <w:vertAlign w:val="superscript"/>
                              <w:lang w:val="cs-CZ" w:eastAsia="cs-CZ" w:bidi="cs-CZ"/>
                            </w:rPr>
                            <w:t>H</w:t>
                          </w:r>
                          <w:r>
                            <w:rPr>
                              <w:rFonts w:ascii="Arial" w:eastAsia="Arial" w:hAnsi="Arial" w:cs="Arial"/>
                              <w:color w:val="000000"/>
                              <w:spacing w:val="0"/>
                              <w:w w:val="100"/>
                              <w:position w:val="0"/>
                              <w:sz w:val="14"/>
                              <w:szCs w:val="14"/>
                              <w:shd w:val="clear" w:color="auto" w:fill="auto"/>
                              <w:lang w:val="cs-CZ" w:eastAsia="cs-CZ" w:bidi="cs-CZ"/>
                            </w:rPr>
                            <w:t xml:space="preserve"> IČ: 48266230, DIČ: CZ48266230</w:t>
                          </w:r>
                        </w:p>
                        <w:p>
                          <w:pPr>
                            <w:pStyle w:val="Style15"/>
                            <w:keepNext w:val="0"/>
                            <w:keepLines w:val="0"/>
                            <w:widowControl w:val="0"/>
                            <w:shd w:val="clear" w:color="auto" w:fill="auto"/>
                            <w:tabs>
                              <w:tab w:pos="4781"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 Komerční banka, a.s., č. ú.:</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tel.:</w:t>
                          </w:r>
                        </w:p>
                        <w:p>
                          <w:pPr>
                            <w:pStyle w:val="Style15"/>
                            <w:keepNext w:val="0"/>
                            <w:keepLines w:val="0"/>
                            <w:widowControl w:val="0"/>
                            <w:shd w:val="clear" w:color="auto" w:fill="auto"/>
                            <w:tabs>
                              <w:tab w:pos="2646" w:val="right"/>
                              <w:tab w:pos="7423"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Hotline Aspe®:</w:t>
                            <w:tab/>
                          </w:r>
                          <w:r>
                            <w:rPr>
                              <w:rFonts w:ascii="Arial" w:eastAsia="Arial" w:hAnsi="Arial" w:cs="Arial"/>
                              <w:color w:val="000000"/>
                              <w:spacing w:val="0"/>
                              <w:w w:val="100"/>
                              <w:position w:val="0"/>
                              <w:sz w:val="14"/>
                              <w:szCs w:val="14"/>
                              <w:shd w:val="clear" w:color="auto" w:fill="auto"/>
                              <w:vertAlign w:val="superscript"/>
                              <w:lang w:val="cs-CZ" w:eastAsia="cs-CZ" w:bidi="cs-CZ"/>
                            </w:rPr>
                            <w:t>a</w:t>
                          </w:r>
                          <w:r>
                            <w:rPr>
                              <w:rFonts w:ascii="Arial" w:eastAsia="Arial" w:hAnsi="Arial" w:cs="Arial"/>
                              <w:color w:val="000000"/>
                              <w:spacing w:val="0"/>
                              <w:w w:val="100"/>
                              <w:position w:val="0"/>
                              <w:sz w:val="14"/>
                              <w:szCs w:val="14"/>
                              <w:shd w:val="clear" w:color="auto" w:fill="auto"/>
                              <w:lang w:val="cs-CZ" w:eastAsia="cs-CZ" w:bidi="cs-CZ"/>
                            </w:rPr>
                            <w:t xml:space="preserve"> fax: </w:t>
                          </w:r>
                          <w:r>
                            <w:rPr>
                              <w:rFonts w:ascii="Calibri" w:eastAsia="Calibri" w:hAnsi="Calibri" w:cs="Calibri"/>
                              <w:smallCaps/>
                              <w:color w:val="000000"/>
                              <w:spacing w:val="0"/>
                              <w:w w:val="100"/>
                              <w:position w:val="0"/>
                              <w:sz w:val="20"/>
                              <w:szCs w:val="20"/>
                              <w:shd w:val="clear" w:color="auto" w:fill="auto"/>
                              <w:lang w:val="cs-CZ" w:eastAsia="cs-CZ" w:bidi="cs-CZ"/>
                            </w:rPr>
                            <w:t>h</w:t>
                          </w:r>
                          <w:r>
                            <w:rPr>
                              <w:rFonts w:ascii="Arial" w:eastAsia="Arial" w:hAnsi="Arial" w:cs="Arial"/>
                              <w:color w:val="000000"/>
                              <w:spacing w:val="0"/>
                              <w:w w:val="100"/>
                              <w:position w:val="0"/>
                              <w:sz w:val="14"/>
                              <w:szCs w:val="14"/>
                              <w:shd w:val="clear" w:color="auto" w:fill="auto"/>
                              <w:lang w:val="cs-CZ" w:eastAsia="cs-CZ" w:bidi="cs-CZ"/>
                            </w:rPr>
                            <w:tab/>
                          </w:r>
                          <w:r>
                            <w:rPr>
                              <w:rFonts w:ascii="Arial" w:eastAsia="Arial" w:hAnsi="Arial" w:cs="Arial"/>
                              <w:color w:val="000000"/>
                              <w:spacing w:val="0"/>
                              <w:w w:val="100"/>
                              <w:position w:val="0"/>
                              <w:sz w:val="14"/>
                              <w:szCs w:val="14"/>
                              <w:shd w:val="clear" w:color="auto" w:fill="auto"/>
                              <w:vertAlign w:val="superscript"/>
                              <w:lang w:val="cs-CZ" w:eastAsia="cs-CZ" w:bidi="cs-CZ"/>
                            </w:rPr>
                            <w:t>0</w:t>
                          </w:r>
                          <w:r>
                            <w:rPr>
                              <w:rFonts w:ascii="Arial" w:eastAsia="Arial" w:hAnsi="Arial" w:cs="Arial"/>
                              <w:color w:val="000000"/>
                              <w:spacing w:val="0"/>
                              <w:w w:val="100"/>
                              <w:position w:val="0"/>
                              <w:sz w:val="14"/>
                              <w:szCs w:val="14"/>
                              <w:shd w:val="clear" w:color="auto" w:fill="auto"/>
                              <w:lang w:val="cs-CZ" w:eastAsia="cs-CZ" w:bidi="cs-CZ"/>
                            </w:rPr>
                            <w:t xml:space="preserve"> e-mail: </w:t>
                          </w:r>
                          <w:r>
                            <w:rPr>
                              <w:rFonts w:ascii="Arial" w:eastAsia="Arial" w:hAnsi="Arial" w:cs="Arial"/>
                              <w:color w:val="000000"/>
                              <w:spacing w:val="0"/>
                              <w:w w:val="100"/>
                              <w:position w:val="0"/>
                              <w:sz w:val="14"/>
                              <w:szCs w:val="14"/>
                              <w:shd w:val="clear" w:color="auto" w:fill="auto"/>
                              <w:lang w:val="en-US" w:eastAsia="en-US" w:bidi="en-US"/>
                            </w:rPr>
                            <w:t xml:space="preserve">info@aspe.cz </w:t>
                          </w:r>
                          <w:r>
                            <w:rPr>
                              <w:rFonts w:ascii="Arial" w:eastAsia="Arial" w:hAnsi="Arial" w:cs="Arial"/>
                              <w:color w:val="000000"/>
                              <w:spacing w:val="0"/>
                              <w:w w:val="100"/>
                              <w:position w:val="0"/>
                              <w:sz w:val="14"/>
                              <w:szCs w:val="14"/>
                              <w:shd w:val="clear" w:color="auto" w:fill="auto"/>
                              <w:vertAlign w:val="superscript"/>
                              <w:lang w:val="cs-CZ" w:eastAsia="cs-CZ" w:bidi="cs-CZ"/>
                            </w:rPr>
                            <w:t>8</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 xml:space="preserve">www.valbek.cz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www.aspe.cz</w:t>
                          </w:r>
                        </w:p>
                      </w:txbxContent>
                    </wps:txbx>
                    <wps:bodyPr lIns="0" tIns="0" rIns="0" bIns="0">
                      <a:spAutoFit/>
                    </wps:bodyPr>
                  </wps:wsp>
                </a:graphicData>
              </a:graphic>
            </wp:anchor>
          </w:drawing>
        </mc:Choice>
        <mc:Fallback>
          <w:pict>
            <v:shape id="_x0000_s1049" type="#_x0000_t202" style="position:absolute;margin-left:98.700000000000003pt;margin-top:802.75pt;width:371.5pt;height:28.449999999999999pt;z-index:-188744057;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Valbek, spol. s r.o.</w:t>
                    </w:r>
                    <w:r>
                      <w:rPr>
                        <w:rFonts w:ascii="Arial" w:eastAsia="Arial" w:hAnsi="Arial" w:cs="Arial"/>
                        <w:color w:val="000000"/>
                        <w:spacing w:val="0"/>
                        <w:w w:val="100"/>
                        <w:position w:val="0"/>
                        <w:sz w:val="14"/>
                        <w:szCs w:val="14"/>
                        <w:shd w:val="clear" w:color="auto" w:fill="auto"/>
                        <w:vertAlign w:val="superscript"/>
                        <w:lang w:val="cs-CZ" w:eastAsia="cs-CZ" w:bidi="cs-CZ"/>
                      </w:rPr>
                      <w:t>a</w:t>
                    </w:r>
                    <w:r>
                      <w:rPr>
                        <w:rFonts w:ascii="Arial" w:eastAsia="Arial" w:hAnsi="Arial" w:cs="Arial"/>
                        <w:color w:val="000000"/>
                        <w:spacing w:val="0"/>
                        <w:w w:val="100"/>
                        <w:position w:val="0"/>
                        <w:sz w:val="14"/>
                        <w:szCs w:val="14"/>
                        <w:shd w:val="clear" w:color="auto" w:fill="auto"/>
                        <w:lang w:val="cs-CZ" w:eastAsia="cs-CZ" w:bidi="cs-CZ"/>
                      </w:rPr>
                      <w:t xml:space="preserve"> Vaňurova 505/17, 460 02 Liberec 3.</w:t>
                    </w:r>
                    <w:r>
                      <w:rPr>
                        <w:rFonts w:ascii="Arial" w:eastAsia="Arial" w:hAnsi="Arial" w:cs="Arial"/>
                        <w:color w:val="000000"/>
                        <w:spacing w:val="0"/>
                        <w:w w:val="100"/>
                        <w:position w:val="0"/>
                        <w:sz w:val="14"/>
                        <w:szCs w:val="14"/>
                        <w:shd w:val="clear" w:color="auto" w:fill="auto"/>
                        <w:vertAlign w:val="superscript"/>
                        <w:lang w:val="cs-CZ" w:eastAsia="cs-CZ" w:bidi="cs-CZ"/>
                      </w:rPr>
                      <w:t>H</w:t>
                    </w:r>
                    <w:r>
                      <w:rPr>
                        <w:rFonts w:ascii="Arial" w:eastAsia="Arial" w:hAnsi="Arial" w:cs="Arial"/>
                        <w:color w:val="000000"/>
                        <w:spacing w:val="0"/>
                        <w:w w:val="100"/>
                        <w:position w:val="0"/>
                        <w:sz w:val="14"/>
                        <w:szCs w:val="14"/>
                        <w:shd w:val="clear" w:color="auto" w:fill="auto"/>
                        <w:lang w:val="cs-CZ" w:eastAsia="cs-CZ" w:bidi="cs-CZ"/>
                      </w:rPr>
                      <w:t xml:space="preserve"> IČ: 48266230, DIČ: CZ48266230</w:t>
                    </w:r>
                  </w:p>
                  <w:p>
                    <w:pPr>
                      <w:pStyle w:val="Style15"/>
                      <w:keepNext w:val="0"/>
                      <w:keepLines w:val="0"/>
                      <w:widowControl w:val="0"/>
                      <w:shd w:val="clear" w:color="auto" w:fill="auto"/>
                      <w:tabs>
                        <w:tab w:pos="4781"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Bankovní spojení - Komerční banka, a.s., č. ú.:</w:t>
                      <w:tab/>
                    </w:r>
                    <w:r>
                      <w:rPr>
                        <w:rFonts w:ascii="Arial" w:eastAsia="Arial" w:hAnsi="Arial" w:cs="Arial"/>
                        <w:color w:val="000000"/>
                        <w:spacing w:val="0"/>
                        <w:w w:val="100"/>
                        <w:position w:val="0"/>
                        <w:sz w:val="14"/>
                        <w:szCs w:val="14"/>
                        <w:shd w:val="clear" w:color="auto" w:fill="auto"/>
                        <w:vertAlign w:val="superscript"/>
                        <w:lang w:val="cs-CZ" w:eastAsia="cs-CZ" w:bidi="cs-CZ"/>
                      </w:rPr>
                      <w:t>1</w:t>
                    </w:r>
                    <w:r>
                      <w:rPr>
                        <w:rFonts w:ascii="Arial" w:eastAsia="Arial" w:hAnsi="Arial" w:cs="Arial"/>
                        <w:color w:val="000000"/>
                        <w:spacing w:val="0"/>
                        <w:w w:val="100"/>
                        <w:position w:val="0"/>
                        <w:sz w:val="14"/>
                        <w:szCs w:val="14"/>
                        <w:shd w:val="clear" w:color="auto" w:fill="auto"/>
                        <w:lang w:val="cs-CZ" w:eastAsia="cs-CZ" w:bidi="cs-CZ"/>
                      </w:rPr>
                      <w:t xml:space="preserve"> tel.:</w:t>
                    </w:r>
                  </w:p>
                  <w:p>
                    <w:pPr>
                      <w:pStyle w:val="Style15"/>
                      <w:keepNext w:val="0"/>
                      <w:keepLines w:val="0"/>
                      <w:widowControl w:val="0"/>
                      <w:shd w:val="clear" w:color="auto" w:fill="auto"/>
                      <w:tabs>
                        <w:tab w:pos="2646" w:val="right"/>
                        <w:tab w:pos="7423"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Hotline Aspe®:</w:t>
                      <w:tab/>
                    </w:r>
                    <w:r>
                      <w:rPr>
                        <w:rFonts w:ascii="Arial" w:eastAsia="Arial" w:hAnsi="Arial" w:cs="Arial"/>
                        <w:color w:val="000000"/>
                        <w:spacing w:val="0"/>
                        <w:w w:val="100"/>
                        <w:position w:val="0"/>
                        <w:sz w:val="14"/>
                        <w:szCs w:val="14"/>
                        <w:shd w:val="clear" w:color="auto" w:fill="auto"/>
                        <w:vertAlign w:val="superscript"/>
                        <w:lang w:val="cs-CZ" w:eastAsia="cs-CZ" w:bidi="cs-CZ"/>
                      </w:rPr>
                      <w:t>a</w:t>
                    </w:r>
                    <w:r>
                      <w:rPr>
                        <w:rFonts w:ascii="Arial" w:eastAsia="Arial" w:hAnsi="Arial" w:cs="Arial"/>
                        <w:color w:val="000000"/>
                        <w:spacing w:val="0"/>
                        <w:w w:val="100"/>
                        <w:position w:val="0"/>
                        <w:sz w:val="14"/>
                        <w:szCs w:val="14"/>
                        <w:shd w:val="clear" w:color="auto" w:fill="auto"/>
                        <w:lang w:val="cs-CZ" w:eastAsia="cs-CZ" w:bidi="cs-CZ"/>
                      </w:rPr>
                      <w:t xml:space="preserve"> fax: </w:t>
                    </w:r>
                    <w:r>
                      <w:rPr>
                        <w:rFonts w:ascii="Calibri" w:eastAsia="Calibri" w:hAnsi="Calibri" w:cs="Calibri"/>
                        <w:smallCaps/>
                        <w:color w:val="000000"/>
                        <w:spacing w:val="0"/>
                        <w:w w:val="100"/>
                        <w:position w:val="0"/>
                        <w:sz w:val="20"/>
                        <w:szCs w:val="20"/>
                        <w:shd w:val="clear" w:color="auto" w:fill="auto"/>
                        <w:lang w:val="cs-CZ" w:eastAsia="cs-CZ" w:bidi="cs-CZ"/>
                      </w:rPr>
                      <w:t>h</w:t>
                    </w:r>
                    <w:r>
                      <w:rPr>
                        <w:rFonts w:ascii="Arial" w:eastAsia="Arial" w:hAnsi="Arial" w:cs="Arial"/>
                        <w:color w:val="000000"/>
                        <w:spacing w:val="0"/>
                        <w:w w:val="100"/>
                        <w:position w:val="0"/>
                        <w:sz w:val="14"/>
                        <w:szCs w:val="14"/>
                        <w:shd w:val="clear" w:color="auto" w:fill="auto"/>
                        <w:lang w:val="cs-CZ" w:eastAsia="cs-CZ" w:bidi="cs-CZ"/>
                      </w:rPr>
                      <w:tab/>
                    </w:r>
                    <w:r>
                      <w:rPr>
                        <w:rFonts w:ascii="Arial" w:eastAsia="Arial" w:hAnsi="Arial" w:cs="Arial"/>
                        <w:color w:val="000000"/>
                        <w:spacing w:val="0"/>
                        <w:w w:val="100"/>
                        <w:position w:val="0"/>
                        <w:sz w:val="14"/>
                        <w:szCs w:val="14"/>
                        <w:shd w:val="clear" w:color="auto" w:fill="auto"/>
                        <w:vertAlign w:val="superscript"/>
                        <w:lang w:val="cs-CZ" w:eastAsia="cs-CZ" w:bidi="cs-CZ"/>
                      </w:rPr>
                      <w:t>0</w:t>
                    </w:r>
                    <w:r>
                      <w:rPr>
                        <w:rFonts w:ascii="Arial" w:eastAsia="Arial" w:hAnsi="Arial" w:cs="Arial"/>
                        <w:color w:val="000000"/>
                        <w:spacing w:val="0"/>
                        <w:w w:val="100"/>
                        <w:position w:val="0"/>
                        <w:sz w:val="14"/>
                        <w:szCs w:val="14"/>
                        <w:shd w:val="clear" w:color="auto" w:fill="auto"/>
                        <w:lang w:val="cs-CZ" w:eastAsia="cs-CZ" w:bidi="cs-CZ"/>
                      </w:rPr>
                      <w:t xml:space="preserve"> e-mail: </w:t>
                    </w:r>
                    <w:r>
                      <w:rPr>
                        <w:rFonts w:ascii="Arial" w:eastAsia="Arial" w:hAnsi="Arial" w:cs="Arial"/>
                        <w:color w:val="000000"/>
                        <w:spacing w:val="0"/>
                        <w:w w:val="100"/>
                        <w:position w:val="0"/>
                        <w:sz w:val="14"/>
                        <w:szCs w:val="14"/>
                        <w:shd w:val="clear" w:color="auto" w:fill="auto"/>
                        <w:lang w:val="en-US" w:eastAsia="en-US" w:bidi="en-US"/>
                      </w:rPr>
                      <w:t xml:space="preserve">info@aspe.cz </w:t>
                    </w:r>
                    <w:r>
                      <w:rPr>
                        <w:rFonts w:ascii="Arial" w:eastAsia="Arial" w:hAnsi="Arial" w:cs="Arial"/>
                        <w:color w:val="000000"/>
                        <w:spacing w:val="0"/>
                        <w:w w:val="100"/>
                        <w:position w:val="0"/>
                        <w:sz w:val="14"/>
                        <w:szCs w:val="14"/>
                        <w:shd w:val="clear" w:color="auto" w:fill="auto"/>
                        <w:vertAlign w:val="superscript"/>
                        <w:lang w:val="cs-CZ" w:eastAsia="cs-CZ" w:bidi="cs-CZ"/>
                      </w:rPr>
                      <w:t>8</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 xml:space="preserve">www.valbek.cz </w:t>
                    </w:r>
                    <w:r>
                      <w:rPr>
                        <w:rFonts w:ascii="Arial" w:eastAsia="Arial" w:hAnsi="Arial" w:cs="Arial"/>
                        <w:color w:val="000000"/>
                        <w:spacing w:val="0"/>
                        <w:w w:val="100"/>
                        <w:position w:val="0"/>
                        <w:sz w:val="14"/>
                        <w:szCs w:val="14"/>
                        <w:shd w:val="clear" w:color="auto" w:fill="auto"/>
                        <w:lang w:val="cs-CZ" w:eastAsia="cs-CZ" w:bidi="cs-CZ"/>
                      </w:rPr>
                      <w:t xml:space="preserve">® </w:t>
                    </w:r>
                    <w:r>
                      <w:rPr>
                        <w:rFonts w:ascii="Arial" w:eastAsia="Arial" w:hAnsi="Arial" w:cs="Arial"/>
                        <w:color w:val="000000"/>
                        <w:spacing w:val="0"/>
                        <w:w w:val="100"/>
                        <w:position w:val="0"/>
                        <w:sz w:val="14"/>
                        <w:szCs w:val="14"/>
                        <w:shd w:val="clear" w:color="auto" w:fill="auto"/>
                        <w:lang w:val="en-US" w:eastAsia="en-US" w:bidi="en-US"/>
                      </w:rPr>
                      <w:t>www.aspe.cz</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4"/>
      <w:szCs w:val="14"/>
      <w:u w:val="none"/>
    </w:rPr>
  </w:style>
  <w:style w:type="character" w:customStyle="1" w:styleId="CharStyle7">
    <w:name w:val="Titulek tabulky_"/>
    <w:basedOn w:val="DefaultParagraphFont"/>
    <w:link w:val="Style6"/>
    <w:rPr>
      <w:rFonts w:ascii="Arial" w:eastAsia="Arial" w:hAnsi="Arial" w:cs="Arial"/>
      <w:b w:val="0"/>
      <w:bCs w:val="0"/>
      <w:i w:val="0"/>
      <w:iCs w:val="0"/>
      <w:smallCaps w:val="0"/>
      <w:strike w:val="0"/>
      <w:sz w:val="14"/>
      <w:szCs w:val="14"/>
      <w:u w:val="none"/>
    </w:rPr>
  </w:style>
  <w:style w:type="character" w:customStyle="1" w:styleId="CharStyle10">
    <w:name w:val="Základní text (2)_"/>
    <w:basedOn w:val="DefaultParagraphFont"/>
    <w:link w:val="Style9"/>
    <w:rPr>
      <w:rFonts w:ascii="Calibri" w:eastAsia="Calibri" w:hAnsi="Calibri" w:cs="Calibri"/>
      <w:b w:val="0"/>
      <w:bCs w:val="0"/>
      <w:i w:val="0"/>
      <w:iCs w:val="0"/>
      <w:smallCaps w:val="0"/>
      <w:strike w:val="0"/>
      <w:sz w:val="18"/>
      <w:szCs w:val="18"/>
      <w:u w:val="none"/>
    </w:rPr>
  </w:style>
  <w:style w:type="character" w:customStyle="1" w:styleId="CharStyle12">
    <w:name w:val="Základní text (4)_"/>
    <w:basedOn w:val="DefaultParagraphFont"/>
    <w:link w:val="Style11"/>
    <w:rPr>
      <w:rFonts w:ascii="Arial" w:eastAsia="Arial" w:hAnsi="Arial" w:cs="Arial"/>
      <w:b w:val="0"/>
      <w:bCs w:val="0"/>
      <w:i w:val="0"/>
      <w:iCs w:val="0"/>
      <w:smallCaps w:val="0"/>
      <w:strike w:val="0"/>
      <w:color w:val="EBEBEB"/>
      <w:sz w:val="20"/>
      <w:szCs w:val="20"/>
      <w:u w:val="none"/>
    </w:rPr>
  </w:style>
  <w:style w:type="character" w:customStyle="1" w:styleId="CharStyle14">
    <w:name w:val="Nadpis #1_"/>
    <w:basedOn w:val="DefaultParagraphFont"/>
    <w:link w:val="Style13"/>
    <w:rPr>
      <w:rFonts w:ascii="Calibri" w:eastAsia="Calibri" w:hAnsi="Calibri" w:cs="Calibri"/>
      <w:b w:val="0"/>
      <w:bCs w:val="0"/>
      <w:i w:val="0"/>
      <w:iCs w:val="0"/>
      <w:smallCaps w:val="0"/>
      <w:strike w:val="0"/>
      <w:sz w:val="36"/>
      <w:szCs w:val="36"/>
      <w:u w:val="none"/>
    </w:rPr>
  </w:style>
  <w:style w:type="character" w:customStyle="1" w:styleId="CharStyle16">
    <w:name w:val="Záhlaví nebo zápatí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2">
    <w:name w:val="Základní text_"/>
    <w:basedOn w:val="DefaultParagraphFont"/>
    <w:link w:val="Style21"/>
    <w:rPr>
      <w:rFonts w:ascii="Arial" w:eastAsia="Arial" w:hAnsi="Arial" w:cs="Arial"/>
      <w:b w:val="0"/>
      <w:bCs w:val="0"/>
      <w:i w:val="0"/>
      <w:iCs w:val="0"/>
      <w:smallCaps w:val="0"/>
      <w:strike w:val="0"/>
      <w:sz w:val="14"/>
      <w:szCs w:val="14"/>
      <w:u w:val="none"/>
    </w:rPr>
  </w:style>
  <w:style w:type="character" w:customStyle="1" w:styleId="CharStyle24">
    <w:name w:val="Nadpis #2_"/>
    <w:basedOn w:val="DefaultParagraphFont"/>
    <w:link w:val="Style23"/>
    <w:rPr>
      <w:rFonts w:ascii="Calibri" w:eastAsia="Calibri" w:hAnsi="Calibri" w:cs="Calibri"/>
      <w:b/>
      <w:bCs/>
      <w:i w:val="0"/>
      <w:iCs w:val="0"/>
      <w:smallCaps w:val="0"/>
      <w:strike w:val="0"/>
      <w:sz w:val="28"/>
      <w:szCs w:val="28"/>
      <w:u w:val="none"/>
    </w:rPr>
  </w:style>
  <w:style w:type="character" w:customStyle="1" w:styleId="CharStyle27">
    <w:name w:val="Nadpis #3_"/>
    <w:basedOn w:val="DefaultParagraphFont"/>
    <w:link w:val="Style26"/>
    <w:rPr>
      <w:rFonts w:ascii="Calibri" w:eastAsia="Calibri" w:hAnsi="Calibri" w:cs="Calibri"/>
      <w:b/>
      <w:bCs/>
      <w:i w:val="0"/>
      <w:iCs w:val="0"/>
      <w:smallCaps w:val="0"/>
      <w:strike w:val="0"/>
      <w:sz w:val="18"/>
      <w:szCs w:val="18"/>
      <w:u w:val="none"/>
    </w:rPr>
  </w:style>
  <w:style w:type="character" w:customStyle="1" w:styleId="CharStyle30">
    <w:name w:val="Základní text (3)_"/>
    <w:basedOn w:val="DefaultParagraphFont"/>
    <w:link w:val="Style29"/>
    <w:rPr>
      <w:rFonts w:ascii="Arial" w:eastAsia="Arial" w:hAnsi="Arial" w:cs="Arial"/>
      <w:b w:val="0"/>
      <w:bCs w:val="0"/>
      <w:i/>
      <w:iCs/>
      <w:smallCaps w:val="0"/>
      <w:strike w:val="0"/>
      <w:sz w:val="28"/>
      <w:szCs w:val="28"/>
      <w:u w:val="none"/>
    </w:rPr>
  </w:style>
  <w:style w:type="paragraph" w:customStyle="1" w:styleId="Style2">
    <w:name w:val="Jiné"/>
    <w:basedOn w:val="Normal"/>
    <w:link w:val="CharStyle3"/>
    <w:pPr>
      <w:widowControl w:val="0"/>
      <w:shd w:val="clear" w:color="auto" w:fill="FFFFFF"/>
      <w:spacing w:after="120" w:line="293" w:lineRule="auto"/>
    </w:pPr>
    <w:rPr>
      <w:rFonts w:ascii="Arial" w:eastAsia="Arial" w:hAnsi="Arial" w:cs="Arial"/>
      <w:b w:val="0"/>
      <w:bCs w:val="0"/>
      <w:i w:val="0"/>
      <w:iCs w:val="0"/>
      <w:smallCaps w:val="0"/>
      <w:strike w:val="0"/>
      <w:sz w:val="14"/>
      <w:szCs w:val="14"/>
      <w:u w:val="none"/>
    </w:rPr>
  </w:style>
  <w:style w:type="paragraph" w:customStyle="1" w:styleId="Style6">
    <w:name w:val="Titulek tabulky"/>
    <w:basedOn w:val="Normal"/>
    <w:link w:val="CharStyle7"/>
    <w:pPr>
      <w:widowControl w:val="0"/>
      <w:shd w:val="clear" w:color="auto" w:fill="FFFFFF"/>
    </w:pPr>
    <w:rPr>
      <w:rFonts w:ascii="Arial" w:eastAsia="Arial" w:hAnsi="Arial" w:cs="Arial"/>
      <w:b w:val="0"/>
      <w:bCs w:val="0"/>
      <w:i w:val="0"/>
      <w:iCs w:val="0"/>
      <w:smallCaps w:val="0"/>
      <w:strike w:val="0"/>
      <w:sz w:val="14"/>
      <w:szCs w:val="14"/>
      <w:u w:val="none"/>
    </w:rPr>
  </w:style>
  <w:style w:type="paragraph" w:customStyle="1" w:styleId="Style9">
    <w:name w:val="Základní text (2)"/>
    <w:basedOn w:val="Normal"/>
    <w:link w:val="CharStyle10"/>
    <w:pPr>
      <w:widowControl w:val="0"/>
      <w:shd w:val="clear" w:color="auto" w:fill="FFFFFF"/>
    </w:pPr>
    <w:rPr>
      <w:rFonts w:ascii="Calibri" w:eastAsia="Calibri" w:hAnsi="Calibri" w:cs="Calibri"/>
      <w:b w:val="0"/>
      <w:bCs w:val="0"/>
      <w:i w:val="0"/>
      <w:iCs w:val="0"/>
      <w:smallCaps w:val="0"/>
      <w:strike w:val="0"/>
      <w:sz w:val="18"/>
      <w:szCs w:val="18"/>
      <w:u w:val="none"/>
    </w:rPr>
  </w:style>
  <w:style w:type="paragraph" w:customStyle="1" w:styleId="Style11">
    <w:name w:val="Základní text (4)"/>
    <w:basedOn w:val="Normal"/>
    <w:link w:val="CharStyle12"/>
    <w:pPr>
      <w:widowControl w:val="0"/>
      <w:shd w:val="clear" w:color="auto" w:fill="FFFFFF"/>
    </w:pPr>
    <w:rPr>
      <w:rFonts w:ascii="Arial" w:eastAsia="Arial" w:hAnsi="Arial" w:cs="Arial"/>
      <w:b w:val="0"/>
      <w:bCs w:val="0"/>
      <w:i w:val="0"/>
      <w:iCs w:val="0"/>
      <w:smallCaps w:val="0"/>
      <w:strike w:val="0"/>
      <w:color w:val="EBEBEB"/>
      <w:sz w:val="20"/>
      <w:szCs w:val="20"/>
      <w:u w:val="none"/>
    </w:rPr>
  </w:style>
  <w:style w:type="paragraph" w:customStyle="1" w:styleId="Style13">
    <w:name w:val="Nadpis #1"/>
    <w:basedOn w:val="Normal"/>
    <w:link w:val="CharStyle14"/>
    <w:pPr>
      <w:widowControl w:val="0"/>
      <w:shd w:val="clear" w:color="auto" w:fill="FFFFFF"/>
      <w:spacing w:after="120"/>
      <w:outlineLvl w:val="0"/>
    </w:pPr>
    <w:rPr>
      <w:rFonts w:ascii="Calibri" w:eastAsia="Calibri" w:hAnsi="Calibri" w:cs="Calibri"/>
      <w:b w:val="0"/>
      <w:bCs w:val="0"/>
      <w:i w:val="0"/>
      <w:iCs w:val="0"/>
      <w:smallCaps w:val="0"/>
      <w:strike w:val="0"/>
      <w:sz w:val="36"/>
      <w:szCs w:val="36"/>
      <w:u w:val="none"/>
    </w:rPr>
  </w:style>
  <w:style w:type="paragraph" w:customStyle="1" w:styleId="Style15">
    <w:name w:val="Záhlaví nebo zápatí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1">
    <w:name w:val="Základní text"/>
    <w:basedOn w:val="Normal"/>
    <w:link w:val="CharStyle22"/>
    <w:pPr>
      <w:widowControl w:val="0"/>
      <w:shd w:val="clear" w:color="auto" w:fill="FFFFFF"/>
      <w:spacing w:after="120" w:line="293" w:lineRule="auto"/>
    </w:pPr>
    <w:rPr>
      <w:rFonts w:ascii="Arial" w:eastAsia="Arial" w:hAnsi="Arial" w:cs="Arial"/>
      <w:b w:val="0"/>
      <w:bCs w:val="0"/>
      <w:i w:val="0"/>
      <w:iCs w:val="0"/>
      <w:smallCaps w:val="0"/>
      <w:strike w:val="0"/>
      <w:sz w:val="14"/>
      <w:szCs w:val="14"/>
      <w:u w:val="none"/>
    </w:rPr>
  </w:style>
  <w:style w:type="paragraph" w:customStyle="1" w:styleId="Style23">
    <w:name w:val="Nadpis #2"/>
    <w:basedOn w:val="Normal"/>
    <w:link w:val="CharStyle24"/>
    <w:pPr>
      <w:widowControl w:val="0"/>
      <w:shd w:val="clear" w:color="auto" w:fill="FFFFFF"/>
      <w:spacing w:after="770" w:line="197" w:lineRule="auto"/>
      <w:outlineLvl w:val="1"/>
    </w:pPr>
    <w:rPr>
      <w:rFonts w:ascii="Calibri" w:eastAsia="Calibri" w:hAnsi="Calibri" w:cs="Calibri"/>
      <w:b/>
      <w:bCs/>
      <w:i w:val="0"/>
      <w:iCs w:val="0"/>
      <w:smallCaps w:val="0"/>
      <w:strike w:val="0"/>
      <w:sz w:val="28"/>
      <w:szCs w:val="28"/>
      <w:u w:val="none"/>
    </w:rPr>
  </w:style>
  <w:style w:type="paragraph" w:customStyle="1" w:styleId="Style26">
    <w:name w:val="Nadpis #3"/>
    <w:basedOn w:val="Normal"/>
    <w:link w:val="CharStyle27"/>
    <w:pPr>
      <w:widowControl w:val="0"/>
      <w:shd w:val="clear" w:color="auto" w:fill="FFFFFF"/>
      <w:spacing w:after="120"/>
      <w:outlineLvl w:val="2"/>
    </w:pPr>
    <w:rPr>
      <w:rFonts w:ascii="Calibri" w:eastAsia="Calibri" w:hAnsi="Calibri" w:cs="Calibri"/>
      <w:b/>
      <w:bCs/>
      <w:i w:val="0"/>
      <w:iCs w:val="0"/>
      <w:smallCaps w:val="0"/>
      <w:strike w:val="0"/>
      <w:sz w:val="18"/>
      <w:szCs w:val="18"/>
      <w:u w:val="none"/>
    </w:rPr>
  </w:style>
  <w:style w:type="paragraph" w:customStyle="1" w:styleId="Style29">
    <w:name w:val="Základní text (3)"/>
    <w:basedOn w:val="Normal"/>
    <w:link w:val="CharStyle30"/>
    <w:pPr>
      <w:widowControl w:val="0"/>
      <w:shd w:val="clear" w:color="auto" w:fill="FFFFFF"/>
      <w:spacing w:line="158" w:lineRule="auto"/>
    </w:pPr>
    <w:rPr>
      <w:rFonts w:ascii="Arial" w:eastAsia="Arial" w:hAnsi="Arial" w:cs="Arial"/>
      <w:b w:val="0"/>
      <w:bCs w:val="0"/>
      <w:i/>
      <w:iCs/>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footer" Target="footer3.xml"/><Relationship Id="rId12" Type="http://schemas.openxmlformats.org/officeDocument/2006/relationships/footer" Target="footer4.xml"/></Relationships>
</file>