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podpoře Aspe č. P-2014-09428-1 ze dne 26. 2. 2014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028/2014-KSÚSV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</w:p>
    <w:tbl>
      <w:tblPr>
        <w:tblOverlap w:val="never"/>
        <w:jc w:val="left"/>
        <w:tblLayout w:type="fixed"/>
      </w:tblPr>
      <w:tblGrid>
        <w:gridCol w:w="2035"/>
        <w:gridCol w:w="6432"/>
      </w:tblGrid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58601 Jihlava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zhotovitele ve věcech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35"/>
        <w:gridCol w:w="6427"/>
      </w:tblGrid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 Necid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35"/>
        <w:gridCol w:w="6427"/>
      </w:tblGrid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47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widowControl w:val="0"/>
        <w:spacing w:after="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35"/>
        <w:gridCol w:w="6427"/>
      </w:tblGrid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IBR Consulting, s.r.o.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Sokolovská 352/215, Vysočany, 190 00 Praha 9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Františkem Benčem, Ph.D. jednatelem</w:t>
            </w:r>
          </w:p>
        </w:tc>
      </w:tr>
      <w:tr>
        <w:trPr>
          <w:trHeight w:val="6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zapsán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Městským soudem v Praze, oddíl C, vložka 235748 Raiffeisenbank a.s.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účtu: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35"/>
        <w:gridCol w:w="6427"/>
      </w:tblGrid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25023446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CZ25023446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nebo jednotlivě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smluvních podmínek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tomto Dodatku č. 2 v souvislosti s odstavcem č. 6 v SoD, kdy dochází ke zvýšení ceny roční technické podpory. Dle aktuálního platného ceníku software Aspe od 1. 1. 2021 se výpočet roční technické podpory vyměřuje 20 % z rozsahu licence dle Licenční smlouvy.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souvislosti s výše uvedenými důvody se navyšuje cena za aktualizaci software Aspe takto: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both"/>
      </w:pPr>
      <w:r>
        <mc:AlternateContent>
          <mc:Choice Requires="wps">
            <w:drawing>
              <wp:anchor distT="0" distB="262255" distL="114300" distR="114300" simplePos="0" relativeHeight="125829378" behindDoc="0" locked="0" layoutInCell="1" allowOverlap="1">
                <wp:simplePos x="0" y="0"/>
                <wp:positionH relativeFrom="page">
                  <wp:posOffset>4712335</wp:posOffset>
                </wp:positionH>
                <wp:positionV relativeFrom="paragraph">
                  <wp:posOffset>12700</wp:posOffset>
                </wp:positionV>
                <wp:extent cx="850265" cy="21336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265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49 500,00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1.05000000000001pt;margin-top:1.pt;width:66.950000000000003pt;height:16.800000000000001pt;z-index:-125829375;mso-wrap-distance-left:9.pt;mso-wrap-distance-right:9.pt;mso-wrap-distance-bottom:20.6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49 500,00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262255" distB="0" distL="114300" distR="114300" simplePos="0" relativeHeight="125829380" behindDoc="0" locked="0" layoutInCell="1" allowOverlap="1">
                <wp:simplePos x="0" y="0"/>
                <wp:positionH relativeFrom="page">
                  <wp:posOffset>4712335</wp:posOffset>
                </wp:positionH>
                <wp:positionV relativeFrom="paragraph">
                  <wp:posOffset>274955</wp:posOffset>
                </wp:positionV>
                <wp:extent cx="850265" cy="21336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265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55 000,00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71.05000000000001pt;margin-top:21.649999999999999pt;width:66.950000000000003pt;height:16.800000000000001pt;z-index:-125829373;mso-wrap-distance-left:9.pt;mso-wrap-distance-top:20.64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55 000,00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cena díla dle smlouvy o dílo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Nově sjednaná cena dle Dodatku č. 2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5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1097915</wp:posOffset>
                </wp:positionH>
                <wp:positionV relativeFrom="paragraph">
                  <wp:posOffset>12700</wp:posOffset>
                </wp:positionV>
                <wp:extent cx="640080" cy="21336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008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DPH 21 %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6.450000000000003pt;margin-top:1.pt;width:50.399999999999999pt;height:16.8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 21 %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11 550,00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0" w:right="0" w:firstLine="800"/>
        <w:jc w:val="both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4712335</wp:posOffset>
                </wp:positionH>
                <wp:positionV relativeFrom="paragraph">
                  <wp:posOffset>12700</wp:posOffset>
                </wp:positionV>
                <wp:extent cx="850265" cy="21336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265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66 550,00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71.05000000000001pt;margin-top:1.pt;width:66.950000000000003pt;height:16.800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66 550,00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Nově sjednaná cena dle Dodatku č. 2 včetně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Ostatní ujednání Smlouvy o dílo č. objednatele 028/2014-KSÚSV ve znění platných dodatků jsou tímto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Dodatkem č.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nedotčené a zůstávají v platnosti v původním znění.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nedílnou součástí smlouvy v aktuálním znění.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vyhotoven v elektronické podobě, přičemž obě smluvní strany obdrží jeho elektronický originál.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účinný dnem jeho uveřejnění v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jsou následující 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8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výpočtu roční technické podpory systému Aspe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8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R-2021-09428-1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60" w:line="240" w:lineRule="auto"/>
        <w:ind w:left="54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599440</wp:posOffset>
                </wp:positionH>
                <wp:positionV relativeFrom="paragraph">
                  <wp:posOffset>12700</wp:posOffset>
                </wp:positionV>
                <wp:extent cx="511810" cy="213360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7.200000000000003pt;margin-top:1.pt;width:40.299999999999997pt;height:16.800000000000001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hanging="72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470" w:left="937" w:right="581" w:bottom="2028" w:header="1042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4954905</wp:posOffset>
                </wp:positionH>
                <wp:positionV relativeFrom="paragraph">
                  <wp:posOffset>12700</wp:posOffset>
                </wp:positionV>
                <wp:extent cx="1301750" cy="399415"/>
                <wp:wrapSquare wrapText="left"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1750" cy="3994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40" w:right="0" w:hanging="24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Ing. Radovan Necid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90.14999999999998pt;margin-top:1.pt;width:102.5pt;height:31.449999999999999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40" w:right="0" w:hanging="24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Ing. Radovan Necid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Ing. František Benč, Ph.D.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bookmarkStart w:id="3" w:name="bookmark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IB</w:t>
        <w:br/>
        <w:t>XR</w:t>
      </w:r>
      <w:bookmarkEnd w:id="2"/>
      <w:bookmarkEnd w:id="3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80"/>
        <w:ind w:left="6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60"/>
        <w:ind w:left="6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Kosovská 1112/16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 01 Jihlava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24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Liberci dne 14.01.2021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500"/>
        <w:ind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výpočtu roční technické podpory systému Aspe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Vážení obchodní přátelé,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Smlouvy o podpoře systému Aspe vám v souvislosti s odstavcem č. 6 oznamujeme, že došlo ke zvýšení ceny roční technické podpory. Dle aktuálního platného ceníku software Aspe od 1.1. 2021 se výpočet roční technické podpory vyměřuje 20% z rozsahu licence dle Licenční smlouvy.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8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Nová cena roční technické podpory je: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55 000,00 Kč bez DPH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20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70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Sales Manager, Aspe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IBR Consulting, s.r.o. </w:t>
      </w:r>
      <w:r>
        <w:rPr>
          <w:color w:val="3E7095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■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Sídlo: Sokolovská 352/215, 190 00, Praha 9" IČO: 25023446 DIČ: CZ25023446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45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Bankovní spojení: Raiffeisenbank, a.s. </w:t>
      </w:r>
      <w:r>
        <w:rPr>
          <w:color w:val="3E7095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■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č. účtu</w:t>
        <w:tab/>
      </w:r>
      <w:r>
        <w:rPr>
          <w:color w:val="3E7095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■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Obchodní rejstřík: Městský soud v Praze, oddíl C, vložka 235748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1546" w:val="left"/>
          <w:tab w:pos="3235" w:val="left"/>
        </w:tabs>
        <w:bidi w:val="0"/>
        <w:spacing w:before="0" w:after="0" w:line="240" w:lineRule="auto"/>
        <w:ind w:left="0" w:right="0" w:firstLine="0"/>
        <w:jc w:val="left"/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874" w:left="773" w:right="749" w:bottom="487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</w:r>
      <w:r>
        <w:rPr>
          <w:color w:val="3E7095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■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fax:</w:t>
        <w:tab/>
      </w:r>
      <w:r>
        <w:rPr>
          <w:color w:val="3E7095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■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e-mail: </w:t>
      </w:r>
      <w:r>
        <w:fldChar w:fldCharType="begin"/>
      </w:r>
      <w:r>
        <w:rPr/>
        <w:instrText> HYPERLINK "mailto:info@aspe.cz"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info@aspe.cz</w:t>
      </w:r>
      <w:r>
        <w:fldChar w:fldCharType="end"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3E7095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■ </w:t>
      </w:r>
      <w:r>
        <w:fldChar w:fldCharType="begin"/>
      </w:r>
      <w:r>
        <w:rPr/>
        <w:instrText> HYPERLINK "http://www.aspe.cz"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www.aspe.cz</w:t>
      </w:r>
      <w:r>
        <w:fldChar w:fldCharType="end"/>
      </w:r>
    </w:p>
    <w:p>
      <w:pPr>
        <w:pStyle w:val="Style26"/>
        <w:keepNext w:val="0"/>
        <w:keepLines w:val="0"/>
        <w:framePr w:w="9077" w:h="610" w:wrap="none" w:hAnchor="page" w:x="870" w:y="155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IBR Consulting, s.r.o. </w:t>
      </w:r>
      <w:r>
        <w:rPr>
          <w:color w:val="3E7095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■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Sídlo: Sokolovská 352/215, 190 00, Praha 9" IČO: 25023446 DIČ: CZ25023446</w:t>
      </w:r>
    </w:p>
    <w:p>
      <w:pPr>
        <w:pStyle w:val="Style26"/>
        <w:keepNext w:val="0"/>
        <w:keepLines w:val="0"/>
        <w:framePr w:w="9077" w:h="610" w:wrap="none" w:hAnchor="page" w:x="870" w:y="15543"/>
        <w:widowControl w:val="0"/>
        <w:shd w:val="clear" w:color="auto" w:fill="auto"/>
        <w:tabs>
          <w:tab w:pos="45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Bankovní spojení: Raiffeisenbank, a.s. </w:t>
      </w:r>
      <w:r>
        <w:rPr>
          <w:color w:val="3E7095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■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č. účtu:</w:t>
        <w:tab/>
      </w:r>
      <w:r>
        <w:rPr>
          <w:color w:val="3E7095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■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Obchodní rejstřík: Městský soud v Praze, oddíl C, vložka 235748</w:t>
      </w:r>
    </w:p>
    <w:p>
      <w:pPr>
        <w:pStyle w:val="Style26"/>
        <w:keepNext w:val="0"/>
        <w:keepLines w:val="0"/>
        <w:framePr w:w="9077" w:h="610" w:wrap="none" w:hAnchor="page" w:x="870" w:y="15543"/>
        <w:widowControl w:val="0"/>
        <w:shd w:val="clear" w:color="auto" w:fill="auto"/>
        <w:tabs>
          <w:tab w:pos="1670" w:val="left"/>
          <w:tab w:pos="323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fax:</w:t>
        <w:tab/>
      </w:r>
      <w:r>
        <w:rPr>
          <w:color w:val="3E7095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■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e-mail: </w:t>
      </w:r>
      <w:r>
        <w:fldChar w:fldCharType="begin"/>
      </w:r>
      <w:r>
        <w:rPr/>
        <w:instrText> HYPERLINK "mailto:info@aspe.cz"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info@aspe.cz</w:t>
      </w:r>
      <w:r>
        <w:fldChar w:fldCharType="end"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3E7095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■ </w:t>
      </w:r>
      <w:r>
        <w:fldChar w:fldCharType="begin"/>
      </w:r>
      <w:r>
        <w:rPr/>
        <w:instrText> HYPERLINK "http://www.aspe.cz"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www.aspe.cz</w:t>
      </w:r>
      <w:r>
        <w:fldChar w:fldCharType="end"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2536190" cy="2536190"/>
            <wp:wrapNone/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536190" cy="25361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" w:left="0" w:right="1954" w:bottom="1" w:header="0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Rekapitulace®: R-2021-09428-1</w:t>
      </w:r>
      <w:bookmarkEnd w:id="4"/>
      <w:bookmarkEnd w:id="5"/>
    </w:p>
    <w:tbl>
      <w:tblPr>
        <w:tblOverlap w:val="never"/>
        <w:jc w:val="center"/>
        <w:tblLayout w:type="fixed"/>
      </w:tblPr>
      <w:tblGrid>
        <w:gridCol w:w="1853"/>
        <w:gridCol w:w="3528"/>
        <w:gridCol w:w="1421"/>
        <w:gridCol w:w="3403"/>
      </w:tblGrid>
      <w:tr>
        <w:trPr>
          <w:trHeight w:val="600" w:hRule="exact"/>
        </w:trPr>
        <w:tc>
          <w:tcPr>
            <w:tcBorders/>
            <w:shd w:val="clear" w:color="auto" w:fill="A7C7EB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3C485C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Koncový uživatel: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  <w:tc>
          <w:tcPr>
            <w:tcBorders>
              <w:left w:val="single" w:sz="4"/>
            </w:tcBorders>
            <w:shd w:val="clear" w:color="auto" w:fill="A7C7EB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3C485C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Číslo zákazníka: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09428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Adresa: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Telefon: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Fax: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00090450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Banka: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Číslo účtu: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" w:right="0" w:firstLine="0"/>
        <w:jc w:val="left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Zápis v OR:</w:t>
      </w: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848"/>
        <w:gridCol w:w="3053"/>
        <w:gridCol w:w="1440"/>
        <w:gridCol w:w="3888"/>
      </w:tblGrid>
      <w:tr>
        <w:trPr>
          <w:trHeight w:val="370" w:hRule="exact"/>
        </w:trPr>
        <w:tc>
          <w:tcPr>
            <w:tcBorders/>
            <w:shd w:val="clear" w:color="auto" w:fill="A7C7EB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3C485C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Poskytující:</w:t>
            </w:r>
          </w:p>
        </w:tc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IBR Consulting, s. r. o.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Ing. František Benč, Ph.D.,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Adresa: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Sokolovská 352/215, 190 00, Praha 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Telefon: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Fax: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25023446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CZ25023446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Banka: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Raiffeisenbank, a.s.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Číslo účtu: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" w:right="0" w:firstLine="0"/>
        <w:jc w:val="left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Zápis v OR: Městský soud v Praze, oddíl C, vložka 235748</w:t>
      </w:r>
    </w:p>
    <w:p>
      <w:pPr>
        <w:widowControl w:val="0"/>
        <w:spacing w:after="239" w:line="1" w:lineRule="exact"/>
      </w:pPr>
    </w:p>
    <w:p>
      <w:pPr>
        <w:pStyle w:val="Style39"/>
        <w:keepNext w:val="0"/>
        <w:keepLines w:val="0"/>
        <w:widowControl w:val="0"/>
        <w:shd w:val="clear" w:color="auto" w:fill="auto"/>
        <w:tabs>
          <w:tab w:pos="165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Fakturační místo: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Krajská správa a údržba silnic Vysočiny, příspěvková organizace, Kosovská 1122/16, 586 01 Jihlava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pracoviště: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organizace, Kosovská 1122/16, 586 01 Jihlava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Platba prováděna: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ročně - výše roční sazby: 20%</w:t>
      </w:r>
    </w:p>
    <w:tbl>
      <w:tblPr>
        <w:tblOverlap w:val="never"/>
        <w:jc w:val="center"/>
        <w:tblLayout w:type="fixed"/>
      </w:tblPr>
      <w:tblGrid>
        <w:gridCol w:w="677"/>
        <w:gridCol w:w="946"/>
        <w:gridCol w:w="3677"/>
        <w:gridCol w:w="922"/>
        <w:gridCol w:w="1325"/>
        <w:gridCol w:w="701"/>
        <w:gridCol w:w="576"/>
        <w:gridCol w:w="1531"/>
      </w:tblGrid>
      <w:tr>
        <w:trPr>
          <w:trHeight w:val="466" w:hRule="exact"/>
        </w:trPr>
        <w:tc>
          <w:tcPr>
            <w:tcBorders/>
            <w:shd w:val="clear" w:color="auto" w:fill="A7C7EB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3C485C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Klíč</w:t>
            </w:r>
          </w:p>
        </w:tc>
        <w:tc>
          <w:tcPr>
            <w:tcBorders>
              <w:left w:val="single" w:sz="4"/>
            </w:tcBorders>
            <w:shd w:val="clear" w:color="auto" w:fill="A7C7EB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3C485C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Modul</w:t>
            </w:r>
          </w:p>
        </w:tc>
        <w:tc>
          <w:tcPr>
            <w:tcBorders>
              <w:left w:val="single" w:sz="4"/>
            </w:tcBorders>
            <w:shd w:val="clear" w:color="auto" w:fill="A7C7EB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3C485C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left w:val="single" w:sz="4"/>
            </w:tcBorders>
            <w:shd w:val="clear" w:color="auto" w:fill="A7C7EB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3C485C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Verze</w:t>
            </w:r>
          </w:p>
        </w:tc>
        <w:tc>
          <w:tcPr>
            <w:tcBorders>
              <w:left w:val="single" w:sz="4"/>
            </w:tcBorders>
            <w:shd w:val="clear" w:color="auto" w:fill="A7C7EB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3C485C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modulu</w:t>
            </w:r>
          </w:p>
        </w:tc>
        <w:tc>
          <w:tcPr>
            <w:tcBorders>
              <w:left w:val="single" w:sz="4"/>
            </w:tcBorders>
            <w:shd w:val="clear" w:color="auto" w:fill="A7C7EB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3C485C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left w:val="single" w:sz="4"/>
            </w:tcBorders>
            <w:shd w:val="clear" w:color="auto" w:fill="A7C7EB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3C485C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%</w:t>
            </w:r>
          </w:p>
        </w:tc>
        <w:tc>
          <w:tcPr>
            <w:tcBorders>
              <w:left w:val="single" w:sz="4"/>
            </w:tcBorders>
            <w:shd w:val="clear" w:color="auto" w:fill="A7C7EB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3C485C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podpory</w:t>
            </w:r>
          </w:p>
        </w:tc>
      </w:tr>
      <w:tr>
        <w:trPr>
          <w:trHeight w:val="245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L007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ASPE - Síť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6 000,00</w:t>
            </w:r>
          </w:p>
        </w:tc>
      </w:tr>
      <w:tr>
        <w:trPr>
          <w:trHeight w:val="24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Stavba - bez kalkulace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15 000,00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18 000,00</w:t>
            </w:r>
          </w:p>
        </w:tc>
      </w:tr>
      <w:tr>
        <w:trPr>
          <w:trHeight w:val="235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Kalkulace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6 000,00</w:t>
            </w:r>
          </w:p>
        </w:tc>
      </w:tr>
      <w:tr>
        <w:trPr>
          <w:trHeight w:val="24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Editace datových základen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24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Čerpání rozpočtu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15 000,00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4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Fakturace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2 000,00</w:t>
            </w:r>
          </w:p>
        </w:tc>
      </w:tr>
      <w:tr>
        <w:trPr>
          <w:trHeight w:val="24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Vyhodnocení nabídek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2 000,00</w:t>
            </w:r>
          </w:p>
        </w:tc>
      </w:tr>
      <w:tr>
        <w:trPr>
          <w:trHeight w:val="24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Převodový můstek - OTSKP 6 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6 000,00</w:t>
            </w:r>
          </w:p>
        </w:tc>
      </w:tr>
      <w:tr>
        <w:trPr>
          <w:trHeight w:val="235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Celkem za klíč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55 000,00</w:t>
            </w:r>
          </w:p>
        </w:tc>
      </w:tr>
      <w:tr>
        <w:trPr>
          <w:trHeight w:val="235" w:hRule="exact"/>
        </w:trPr>
        <w:tc>
          <w:tcPr>
            <w:gridSpan w:val="3"/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55 000,00</w:t>
            </w:r>
          </w:p>
        </w:tc>
      </w:tr>
      <w:tr>
        <w:trPr>
          <w:trHeight w:val="240" w:hRule="exact"/>
        </w:trPr>
        <w:tc>
          <w:tcPr>
            <w:gridSpan w:val="3"/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DPH 21 %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11 550,00</w:t>
            </w:r>
          </w:p>
        </w:tc>
      </w:tr>
      <w:tr>
        <w:trPr>
          <w:trHeight w:val="259" w:hRule="exact"/>
        </w:trPr>
        <w:tc>
          <w:tcPr>
            <w:gridSpan w:val="3"/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66 550,00</w:t>
            </w:r>
          </w:p>
        </w:tc>
      </w:tr>
    </w:tbl>
    <w:p>
      <w:pPr>
        <w:widowControl w:val="0"/>
        <w:spacing w:after="3059" w:line="1" w:lineRule="exact"/>
      </w:pP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451485</wp:posOffset>
                </wp:positionH>
                <wp:positionV relativeFrom="paragraph">
                  <wp:posOffset>12700</wp:posOffset>
                </wp:positionV>
                <wp:extent cx="609600" cy="621665"/>
                <wp:wrapSquare wrapText="bothSides"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9600" cy="621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IB XR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35.549999999999997pt;margin-top:1.pt;width:48.pt;height:48.950000000000003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IB XR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4048125</wp:posOffset>
                </wp:positionH>
                <wp:positionV relativeFrom="paragraph">
                  <wp:posOffset>101600</wp:posOffset>
                </wp:positionV>
                <wp:extent cx="1301750" cy="499745"/>
                <wp:wrapSquare wrapText="left"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1750" cy="499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 25023446</w:t>
                            </w:r>
                          </w:p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 CZ25023446</w:t>
                            </w:r>
                          </w:p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Obchodní rejstřík: Městský soud v Praze, oddíl C, vložka 235748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318.75pt;margin-top:8.pt;width:102.5pt;height:39.350000000000001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25023446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CZ25023446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Obchodní rejstřík: Městský soud v Praze, oddíl C, vložka 235748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IBR Consulting, s. r. o.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Sokolovská 352/215, 190 00 Praha 9 - Vysočany tel./fax: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e-mail: </w:t>
      </w:r>
      <w:r>
        <w:fldChar w:fldCharType="begin"/>
      </w:r>
      <w:r>
        <w:rPr/>
        <w:instrText> HYPERLINK "mailto:info@ibrconsulting.cz"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info@ibrconsulting.cz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fldChar w:fldCharType="begin"/>
      </w:r>
      <w:r>
        <w:rPr/>
        <w:instrText> HYPERLINK "http://www.ibrconsulting.cz"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www.ibrconsulting.cz</w:t>
      </w:r>
      <w:r>
        <w:fldChar w:fldCharType="end"/>
      </w:r>
    </w:p>
    <w:sectPr>
      <w:headerReference w:type="default" r:id="rId9"/>
      <w:footerReference w:type="default" r:id="rId10"/>
      <w:footnotePr>
        <w:pos w:val="pageBottom"/>
        <w:numFmt w:val="decimal"/>
        <w:numRestart w:val="continuous"/>
      </w:footnotePr>
      <w:pgSz w:w="11900" w:h="16840"/>
      <w:pgMar w:top="873" w:left="783" w:right="764" w:bottom="784" w:header="0" w:footer="356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3560445</wp:posOffset>
              </wp:positionH>
              <wp:positionV relativeFrom="page">
                <wp:posOffset>9866630</wp:posOffset>
              </wp:positionV>
              <wp:extent cx="658495" cy="11303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849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80.35000000000002pt;margin-top:776.89999999999998pt;width:51.850000000000001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603885</wp:posOffset>
              </wp:positionH>
              <wp:positionV relativeFrom="page">
                <wp:posOffset>9824085</wp:posOffset>
              </wp:positionV>
              <wp:extent cx="6574790" cy="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47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7.549999999999997pt;margin-top:773.54999999999995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6858000</wp:posOffset>
              </wp:positionH>
              <wp:positionV relativeFrom="page">
                <wp:posOffset>325755</wp:posOffset>
              </wp:positionV>
              <wp:extent cx="113030" cy="57785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3030" cy="577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1 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540.pt;margin-top:25.649999999999999pt;width:8.9000000000000004pt;height:4.5499999999999998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1 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524510</wp:posOffset>
              </wp:positionH>
              <wp:positionV relativeFrom="page">
                <wp:posOffset>470535</wp:posOffset>
              </wp:positionV>
              <wp:extent cx="6477000" cy="0"/>
              <wp:wrapNone/>
              <wp:docPr id="24" name="Shape 2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47700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1.299999999999997pt;margin-top:37.049999999999997pt;width:510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6">
    <w:name w:val="Nadpis #3_"/>
    <w:basedOn w:val="DefaultParagraphFont"/>
    <w:link w:val="Style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Základní text (5)_"/>
    <w:basedOn w:val="DefaultParagraphFont"/>
    <w:link w:val="Style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5">
    <w:name w:val="Jiné_"/>
    <w:basedOn w:val="DefaultParagraphFont"/>
    <w:link w:val="Style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2">
    <w:name w:val="Nadpis #1_"/>
    <w:basedOn w:val="DefaultParagraphFont"/>
    <w:link w:val="Style21"/>
    <w:rPr>
      <w:rFonts w:ascii="Arial" w:eastAsia="Arial" w:hAnsi="Arial" w:cs="Arial"/>
      <w:b/>
      <w:bCs/>
      <w:i w:val="0"/>
      <w:iCs w:val="0"/>
      <w:smallCaps w:val="0"/>
      <w:strike w:val="0"/>
      <w:color w:val="3C485C"/>
      <w:sz w:val="138"/>
      <w:szCs w:val="138"/>
      <w:u w:val="none"/>
    </w:rPr>
  </w:style>
  <w:style w:type="character" w:customStyle="1" w:styleId="CharStyle24">
    <w:name w:val="Základní text (3)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7">
    <w:name w:val="Základní text (2)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color w:val="0C1900"/>
      <w:sz w:val="14"/>
      <w:szCs w:val="14"/>
      <w:u w:val="none"/>
    </w:rPr>
  </w:style>
  <w:style w:type="character" w:customStyle="1" w:styleId="CharStyle30">
    <w:name w:val="Základní text (6)_"/>
    <w:basedOn w:val="DefaultParagraphFont"/>
    <w:link w:val="Style29"/>
    <w:rPr>
      <w:rFonts w:ascii="Arial" w:eastAsia="Arial" w:hAnsi="Arial" w:cs="Arial"/>
      <w:b/>
      <w:bCs/>
      <w:i w:val="0"/>
      <w:iCs w:val="0"/>
      <w:smallCaps w:val="0"/>
      <w:strike w:val="0"/>
      <w:color w:val="3C485C"/>
      <w:sz w:val="56"/>
      <w:szCs w:val="56"/>
      <w:u w:val="none"/>
    </w:rPr>
  </w:style>
  <w:style w:type="character" w:customStyle="1" w:styleId="CharStyle33">
    <w:name w:val="Nadpis #2_"/>
    <w:basedOn w:val="DefaultParagraphFont"/>
    <w:link w:val="Style3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40">
    <w:name w:val="Základní text (4)_"/>
    <w:basedOn w:val="DefaultParagraphFont"/>
    <w:link w:val="Style3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5">
    <w:name w:val="Nadpis #3"/>
    <w:basedOn w:val="Normal"/>
    <w:link w:val="CharStyle6"/>
    <w:pPr>
      <w:widowControl w:val="0"/>
      <w:shd w:val="clear" w:color="auto" w:fill="FFFFFF"/>
      <w:spacing w:after="100"/>
      <w:jc w:val="center"/>
      <w:outlineLvl w:val="2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Základní text (5)"/>
    <w:basedOn w:val="Normal"/>
    <w:link w:val="CharStyle11"/>
    <w:pPr>
      <w:widowControl w:val="0"/>
      <w:shd w:val="clear" w:color="auto" w:fill="FFFFFF"/>
      <w:spacing w:after="30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1">
    <w:name w:val="Nadpis #1"/>
    <w:basedOn w:val="Normal"/>
    <w:link w:val="CharStyle22"/>
    <w:pPr>
      <w:widowControl w:val="0"/>
      <w:shd w:val="clear" w:color="auto" w:fill="FFFFFF"/>
      <w:spacing w:after="180" w:line="175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3C485C"/>
      <w:sz w:val="138"/>
      <w:szCs w:val="138"/>
      <w:u w:val="none"/>
    </w:rPr>
  </w:style>
  <w:style w:type="paragraph" w:customStyle="1" w:styleId="Style23">
    <w:name w:val="Základní text (3)"/>
    <w:basedOn w:val="Normal"/>
    <w:link w:val="CharStyle24"/>
    <w:pPr>
      <w:widowControl w:val="0"/>
      <w:shd w:val="clear" w:color="auto" w:fill="FFFFFF"/>
      <w:spacing w:after="700" w:line="283" w:lineRule="auto"/>
      <w:ind w:left="10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6">
    <w:name w:val="Základní text (2)"/>
    <w:basedOn w:val="Normal"/>
    <w:link w:val="CharStyle27"/>
    <w:pPr>
      <w:widowControl w:val="0"/>
      <w:shd w:val="clear" w:color="auto" w:fill="FFFFFF"/>
      <w:spacing w:line="27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C1900"/>
      <w:sz w:val="14"/>
      <w:szCs w:val="14"/>
      <w:u w:val="none"/>
    </w:rPr>
  </w:style>
  <w:style w:type="paragraph" w:customStyle="1" w:styleId="Style29">
    <w:name w:val="Základní text (6)"/>
    <w:basedOn w:val="Normal"/>
    <w:link w:val="CharStyle30"/>
    <w:pPr>
      <w:widowControl w:val="0"/>
      <w:shd w:val="clear" w:color="auto" w:fill="FFFFFF"/>
      <w:spacing w:line="168" w:lineRule="auto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color w:val="3C485C"/>
      <w:sz w:val="56"/>
      <w:szCs w:val="56"/>
      <w:u w:val="none"/>
    </w:rPr>
  </w:style>
  <w:style w:type="paragraph" w:customStyle="1" w:styleId="Style32">
    <w:name w:val="Nadpis #2"/>
    <w:basedOn w:val="Normal"/>
    <w:link w:val="CharStyle33"/>
    <w:pPr>
      <w:widowControl w:val="0"/>
      <w:shd w:val="clear" w:color="auto" w:fill="FFFFFF"/>
      <w:spacing w:after="11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39">
    <w:name w:val="Základní text (4)"/>
    <w:basedOn w:val="Normal"/>
    <w:link w:val="CharStyle40"/>
    <w:pPr>
      <w:widowControl w:val="0"/>
      <w:shd w:val="clear" w:color="auto" w:fill="FFFFFF"/>
      <w:spacing w:after="1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header" Target="header1.xml"/><Relationship Id="rId10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Tomáš</dc:creator>
  <cp:keywords/>
</cp:coreProperties>
</file>