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5F" w:rsidRPr="001C5423" w:rsidRDefault="00941F5F" w:rsidP="00941F5F">
      <w:pPr>
        <w:tabs>
          <w:tab w:val="left" w:pos="765"/>
          <w:tab w:val="center" w:pos="4535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775E4">
        <w:rPr>
          <w:rFonts w:ascii="Tahoma" w:hAnsi="Tahoma" w:cs="Tahoma"/>
        </w:rPr>
        <w:t xml:space="preserve">                                                                      </w:t>
      </w:r>
      <w:r w:rsidRPr="001C5423">
        <w:rPr>
          <w:rFonts w:ascii="Tahoma" w:hAnsi="Tahoma" w:cs="Tahoma"/>
        </w:rPr>
        <w:t>Číslo smlouvy: C</w:t>
      </w:r>
      <w:r w:rsidR="001775E4">
        <w:rPr>
          <w:rFonts w:ascii="Tahoma" w:hAnsi="Tahoma" w:cs="Tahoma"/>
        </w:rPr>
        <w:t>410900016</w:t>
      </w:r>
      <w:r>
        <w:rPr>
          <w:rFonts w:ascii="Tahoma" w:hAnsi="Tahoma" w:cs="Tahoma"/>
        </w:rPr>
        <w:t xml:space="preserve">                          </w:t>
      </w:r>
    </w:p>
    <w:p w:rsidR="00941F5F" w:rsidRPr="00E132DF" w:rsidRDefault="00941F5F" w:rsidP="00941F5F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sz w:val="10"/>
          <w:u w:val="single"/>
        </w:rPr>
      </w:pPr>
    </w:p>
    <w:p w:rsidR="004A7EEF" w:rsidRDefault="004A7EEF" w:rsidP="00941F5F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</w:p>
    <w:p w:rsidR="00941F5F" w:rsidRPr="00016851" w:rsidRDefault="00941F5F" w:rsidP="00941F5F">
      <w:pPr>
        <w:tabs>
          <w:tab w:val="left" w:pos="765"/>
          <w:tab w:val="center" w:pos="4535"/>
        </w:tabs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Individuální c</w:t>
      </w:r>
      <w:r w:rsidRPr="00016851">
        <w:rPr>
          <w:rFonts w:ascii="Tahoma" w:hAnsi="Tahoma" w:cs="Tahoma"/>
          <w:b/>
          <w:u w:val="single"/>
        </w:rPr>
        <w:t>eník</w:t>
      </w:r>
    </w:p>
    <w:p w:rsidR="00941F5F" w:rsidRPr="009507A6" w:rsidRDefault="00941F5F" w:rsidP="00941F5F">
      <w:pPr>
        <w:jc w:val="both"/>
        <w:rPr>
          <w:rStyle w:val="platne1"/>
          <w:rFonts w:ascii="Tahoma" w:hAnsi="Tahoma" w:cs="Tahoma"/>
          <w:sz w:val="14"/>
          <w:szCs w:val="18"/>
        </w:rPr>
      </w:pPr>
    </w:p>
    <w:p w:rsidR="004A7EEF" w:rsidRDefault="004A7EEF" w:rsidP="00941F5F">
      <w:pPr>
        <w:jc w:val="both"/>
        <w:rPr>
          <w:rStyle w:val="platne1"/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Style w:val="platne1"/>
          <w:rFonts w:ascii="Tahoma" w:hAnsi="Tahoma" w:cs="Tahoma"/>
          <w:sz w:val="18"/>
          <w:szCs w:val="18"/>
        </w:rPr>
      </w:pPr>
    </w:p>
    <w:p w:rsidR="00941F5F" w:rsidRPr="00016851" w:rsidRDefault="00941F5F" w:rsidP="00941F5F">
      <w:pPr>
        <w:jc w:val="both"/>
        <w:rPr>
          <w:rStyle w:val="platne1"/>
          <w:rFonts w:ascii="Tahoma" w:hAnsi="Tahoma" w:cs="Tahoma"/>
          <w:sz w:val="18"/>
          <w:szCs w:val="18"/>
        </w:rPr>
      </w:pPr>
      <w:r w:rsidRPr="00016851">
        <w:rPr>
          <w:rStyle w:val="platne1"/>
          <w:rFonts w:ascii="Tahoma" w:hAnsi="Tahoma" w:cs="Tahoma"/>
          <w:sz w:val="18"/>
          <w:szCs w:val="18"/>
        </w:rPr>
        <w:t xml:space="preserve">vydaný </w:t>
      </w:r>
      <w:r w:rsidRPr="00016851">
        <w:rPr>
          <w:rFonts w:ascii="Tahoma" w:hAnsi="Tahoma" w:cs="Tahoma"/>
          <w:bCs/>
          <w:iCs/>
          <w:sz w:val="18"/>
          <w:szCs w:val="18"/>
        </w:rPr>
        <w:t xml:space="preserve">jako příloha č. </w:t>
      </w:r>
      <w:r w:rsidR="001775E4">
        <w:rPr>
          <w:rFonts w:ascii="Tahoma" w:hAnsi="Tahoma" w:cs="Tahoma"/>
          <w:bCs/>
          <w:iCs/>
          <w:sz w:val="18"/>
          <w:szCs w:val="18"/>
        </w:rPr>
        <w:t>3</w:t>
      </w:r>
      <w:r w:rsidRPr="00016851">
        <w:rPr>
          <w:rFonts w:ascii="Tahoma" w:hAnsi="Tahoma" w:cs="Tahoma"/>
          <w:bCs/>
          <w:iCs/>
          <w:sz w:val="18"/>
          <w:szCs w:val="18"/>
        </w:rPr>
        <w:t xml:space="preserve"> </w:t>
      </w:r>
      <w:r>
        <w:rPr>
          <w:rFonts w:ascii="Tahoma" w:hAnsi="Tahoma" w:cs="Tahoma"/>
          <w:bCs/>
          <w:iCs/>
          <w:sz w:val="18"/>
          <w:szCs w:val="18"/>
        </w:rPr>
        <w:t>Smlouvy</w:t>
      </w:r>
      <w:r w:rsidRPr="00016851">
        <w:rPr>
          <w:rFonts w:ascii="Tahoma" w:hAnsi="Tahoma" w:cs="Tahoma"/>
          <w:bCs/>
          <w:iCs/>
          <w:sz w:val="18"/>
          <w:szCs w:val="18"/>
        </w:rPr>
        <w:t xml:space="preserve"> o zprostředkování Benefitů </w:t>
      </w:r>
    </w:p>
    <w:p w:rsidR="00941F5F" w:rsidRPr="00016851" w:rsidRDefault="00941F5F" w:rsidP="00941F5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016851">
        <w:rPr>
          <w:rStyle w:val="platne1"/>
          <w:rFonts w:ascii="Tahoma" w:hAnsi="Tahoma" w:cs="Tahoma"/>
          <w:sz w:val="18"/>
          <w:szCs w:val="18"/>
        </w:rPr>
        <w:t>společností Sodexo Pass Česká republika a.s.</w:t>
      </w:r>
      <w:r w:rsidRPr="00016851">
        <w:rPr>
          <w:rFonts w:ascii="Tahoma" w:hAnsi="Tahoma" w:cs="Tahoma"/>
          <w:bCs/>
          <w:iCs/>
          <w:sz w:val="18"/>
          <w:szCs w:val="18"/>
        </w:rPr>
        <w:t xml:space="preserve">, se sídlem </w:t>
      </w:r>
      <w:r w:rsidRPr="00016851">
        <w:rPr>
          <w:rStyle w:val="platne"/>
          <w:rFonts w:ascii="Tahoma" w:hAnsi="Tahoma" w:cs="Tahoma"/>
          <w:sz w:val="18"/>
          <w:szCs w:val="18"/>
        </w:rPr>
        <w:t>Praha 5, Radlická 2, PSČ 150 00</w:t>
      </w:r>
    </w:p>
    <w:p w:rsidR="00941F5F" w:rsidRPr="00016851" w:rsidRDefault="00941F5F" w:rsidP="00941F5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016851">
        <w:rPr>
          <w:rFonts w:ascii="Tahoma" w:hAnsi="Tahoma" w:cs="Tahoma"/>
          <w:bCs/>
          <w:iCs/>
          <w:sz w:val="18"/>
          <w:szCs w:val="18"/>
        </w:rPr>
        <w:t>IČ: 618 60 476, DIČ: CZ618 60 476</w:t>
      </w:r>
    </w:p>
    <w:p w:rsidR="00941F5F" w:rsidRPr="00016851" w:rsidRDefault="00941F5F" w:rsidP="00941F5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016851">
        <w:rPr>
          <w:rFonts w:ascii="Tahoma" w:hAnsi="Tahoma" w:cs="Tahoma"/>
          <w:bCs/>
          <w:iCs/>
          <w:sz w:val="18"/>
          <w:szCs w:val="18"/>
        </w:rPr>
        <w:t xml:space="preserve">zapsanou v obchodním rejstříku vedeném Městským soudem v Praze, oddíl B, vložka </w:t>
      </w:r>
      <w:r w:rsidRPr="00016851">
        <w:rPr>
          <w:rFonts w:ascii="Tahoma" w:hAnsi="Tahoma" w:cs="Tahoma"/>
          <w:color w:val="000000"/>
          <w:sz w:val="18"/>
          <w:szCs w:val="18"/>
        </w:rPr>
        <w:t>2947</w:t>
      </w:r>
      <w:r w:rsidRPr="00016851">
        <w:rPr>
          <w:rFonts w:ascii="Tahoma" w:hAnsi="Tahoma" w:cs="Tahoma"/>
          <w:bCs/>
          <w:iCs/>
          <w:sz w:val="18"/>
          <w:szCs w:val="18"/>
        </w:rPr>
        <w:t>,</w:t>
      </w:r>
    </w:p>
    <w:p w:rsidR="004A7EEF" w:rsidRDefault="00941F5F" w:rsidP="004A7EEF">
      <w:pPr>
        <w:jc w:val="both"/>
        <w:rPr>
          <w:rFonts w:ascii="Tahoma" w:hAnsi="Tahoma" w:cs="Tahoma"/>
          <w:bCs/>
          <w:iCs/>
          <w:sz w:val="18"/>
          <w:szCs w:val="18"/>
        </w:rPr>
      </w:pPr>
      <w:r w:rsidRPr="00016851">
        <w:rPr>
          <w:rFonts w:ascii="Tahoma" w:hAnsi="Tahoma" w:cs="Tahoma"/>
          <w:bCs/>
          <w:iCs/>
          <w:sz w:val="18"/>
          <w:szCs w:val="18"/>
        </w:rPr>
        <w:t>(„</w:t>
      </w:r>
      <w:r w:rsidRPr="00016851">
        <w:rPr>
          <w:rFonts w:ascii="Tahoma" w:hAnsi="Tahoma" w:cs="Tahoma"/>
          <w:b/>
          <w:bCs/>
          <w:iCs/>
          <w:sz w:val="18"/>
          <w:szCs w:val="18"/>
        </w:rPr>
        <w:t>Sodexo</w:t>
      </w:r>
      <w:r w:rsidRPr="00016851">
        <w:rPr>
          <w:rFonts w:ascii="Tahoma" w:hAnsi="Tahoma" w:cs="Tahoma"/>
          <w:bCs/>
          <w:iCs/>
          <w:sz w:val="18"/>
          <w:szCs w:val="18"/>
        </w:rPr>
        <w:t>“)</w:t>
      </w:r>
    </w:p>
    <w:p w:rsidR="004A7EEF" w:rsidRDefault="004A7EEF" w:rsidP="004A7EEF">
      <w:pPr>
        <w:jc w:val="both"/>
        <w:rPr>
          <w:rFonts w:ascii="Tahoma" w:hAnsi="Tahoma" w:cs="Tahoma"/>
          <w:bCs/>
          <w:iCs/>
          <w:sz w:val="18"/>
          <w:szCs w:val="18"/>
        </w:rPr>
      </w:pPr>
    </w:p>
    <w:p w:rsidR="001775E4" w:rsidRDefault="001775E4" w:rsidP="004A7EEF">
      <w:pPr>
        <w:jc w:val="both"/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a </w:t>
      </w:r>
    </w:p>
    <w:p w:rsidR="004A7EEF" w:rsidRDefault="004A7EEF" w:rsidP="00941F5F">
      <w:pPr>
        <w:rPr>
          <w:rFonts w:ascii="Tahoma" w:hAnsi="Tahoma" w:cs="Tahoma"/>
          <w:sz w:val="18"/>
          <w:szCs w:val="18"/>
        </w:rPr>
      </w:pPr>
    </w:p>
    <w:p w:rsidR="001775E4" w:rsidRDefault="001775E4" w:rsidP="00941F5F">
      <w:pPr>
        <w:rPr>
          <w:rFonts w:ascii="Tahoma" w:hAnsi="Tahoma" w:cs="Tahoma"/>
          <w:bCs/>
          <w:iCs/>
          <w:sz w:val="18"/>
          <w:szCs w:val="18"/>
        </w:rPr>
      </w:pPr>
      <w:r w:rsidRPr="0041515E">
        <w:rPr>
          <w:rFonts w:ascii="Tahoma" w:hAnsi="Tahoma" w:cs="Tahoma"/>
          <w:sz w:val="18"/>
          <w:szCs w:val="18"/>
        </w:rPr>
        <w:t>Státní fond životního prostředí ČR</w:t>
      </w:r>
      <w:r w:rsidR="00941F5F">
        <w:rPr>
          <w:rFonts w:ascii="Tahoma" w:hAnsi="Tahoma" w:cs="Tahoma"/>
        </w:rPr>
        <w:t xml:space="preserve">, </w:t>
      </w:r>
      <w:r w:rsidR="00941F5F" w:rsidRPr="00016851">
        <w:rPr>
          <w:rFonts w:ascii="Tahoma" w:hAnsi="Tahoma" w:cs="Tahoma"/>
          <w:bCs/>
          <w:iCs/>
          <w:sz w:val="18"/>
          <w:szCs w:val="18"/>
        </w:rPr>
        <w:t>se sídlem</w:t>
      </w:r>
      <w:r w:rsidR="00941F5F">
        <w:rPr>
          <w:rFonts w:ascii="Tahoma" w:hAnsi="Tahoma" w:cs="Tahoma"/>
          <w:bCs/>
          <w:iCs/>
          <w:sz w:val="18"/>
          <w:szCs w:val="18"/>
        </w:rPr>
        <w:t xml:space="preserve"> </w:t>
      </w:r>
      <w:r w:rsidRPr="0041515E">
        <w:rPr>
          <w:rFonts w:ascii="Tahoma" w:hAnsi="Tahoma" w:cs="Tahoma"/>
          <w:bCs/>
          <w:iCs/>
          <w:sz w:val="18"/>
          <w:szCs w:val="18"/>
        </w:rPr>
        <w:t xml:space="preserve">14800 Praha </w:t>
      </w:r>
      <w:r>
        <w:rPr>
          <w:rFonts w:ascii="Tahoma" w:hAnsi="Tahoma" w:cs="Tahoma"/>
          <w:bCs/>
          <w:iCs/>
          <w:sz w:val="18"/>
          <w:szCs w:val="18"/>
        </w:rPr>
        <w:t>11</w:t>
      </w:r>
      <w:r w:rsidRPr="0041515E">
        <w:rPr>
          <w:rFonts w:ascii="Tahoma" w:hAnsi="Tahoma" w:cs="Tahoma"/>
          <w:bCs/>
          <w:iCs/>
          <w:sz w:val="18"/>
          <w:szCs w:val="18"/>
        </w:rPr>
        <w:t>- Chodov, Kaplanova 1931/1</w:t>
      </w:r>
      <w:r w:rsidRPr="001B1699">
        <w:rPr>
          <w:rFonts w:ascii="Tahoma" w:hAnsi="Tahoma" w:cs="Tahoma"/>
          <w:bCs/>
          <w:iCs/>
          <w:sz w:val="18"/>
          <w:szCs w:val="18"/>
        </w:rPr>
        <w:t xml:space="preserve"> </w:t>
      </w:r>
      <w:r w:rsidR="00941F5F">
        <w:rPr>
          <w:rFonts w:ascii="Tahoma" w:hAnsi="Tahoma" w:cs="Tahoma"/>
          <w:bCs/>
          <w:iCs/>
          <w:sz w:val="18"/>
          <w:szCs w:val="18"/>
        </w:rPr>
        <w:t xml:space="preserve">                            </w:t>
      </w:r>
    </w:p>
    <w:p w:rsidR="00941F5F" w:rsidRDefault="00941F5F" w:rsidP="00941F5F">
      <w:pPr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 xml:space="preserve">IČ: </w:t>
      </w:r>
      <w:r w:rsidR="001775E4" w:rsidRPr="0041515E">
        <w:rPr>
          <w:rFonts w:ascii="Tahoma" w:hAnsi="Tahoma" w:cs="Tahoma"/>
          <w:bCs/>
          <w:iCs/>
          <w:sz w:val="18"/>
          <w:szCs w:val="18"/>
        </w:rPr>
        <w:t>00020729</w:t>
      </w:r>
      <w:r w:rsidR="001775E4">
        <w:rPr>
          <w:rFonts w:ascii="Tahoma" w:hAnsi="Tahoma" w:cs="Tahoma"/>
          <w:bCs/>
          <w:iCs/>
          <w:sz w:val="18"/>
          <w:szCs w:val="18"/>
        </w:rPr>
        <w:t>,</w:t>
      </w:r>
      <w:r>
        <w:rPr>
          <w:rFonts w:ascii="Tahoma" w:hAnsi="Tahoma" w:cs="Tahoma"/>
          <w:bCs/>
          <w:iCs/>
          <w:sz w:val="18"/>
          <w:szCs w:val="18"/>
        </w:rPr>
        <w:t xml:space="preserve"> DIČ: </w:t>
      </w:r>
      <w:r w:rsidR="001775E4" w:rsidRPr="0041515E">
        <w:rPr>
          <w:rFonts w:ascii="Tahoma" w:hAnsi="Tahoma" w:cs="Tahoma"/>
          <w:bCs/>
          <w:iCs/>
          <w:sz w:val="18"/>
          <w:szCs w:val="18"/>
        </w:rPr>
        <w:t>CZ00020729</w:t>
      </w:r>
      <w:r>
        <w:rPr>
          <w:rFonts w:ascii="Tahoma" w:hAnsi="Tahoma" w:cs="Tahoma"/>
          <w:bCs/>
          <w:iCs/>
          <w:sz w:val="18"/>
          <w:szCs w:val="18"/>
        </w:rPr>
        <w:t xml:space="preserve">                                    </w:t>
      </w:r>
    </w:p>
    <w:p w:rsidR="001775E4" w:rsidRDefault="001775E4" w:rsidP="001775E4">
      <w:pPr>
        <w:rPr>
          <w:rFonts w:ascii="Tahoma" w:hAnsi="Tahoma" w:cs="Tahoma"/>
          <w:bCs/>
          <w:iCs/>
          <w:sz w:val="18"/>
          <w:szCs w:val="18"/>
        </w:rPr>
      </w:pPr>
      <w:r>
        <w:rPr>
          <w:rStyle w:val="platne1"/>
          <w:rFonts w:ascii="Tahoma" w:hAnsi="Tahoma" w:cs="Tahoma"/>
          <w:sz w:val="18"/>
          <w:szCs w:val="18"/>
        </w:rPr>
        <w:t>zřízen zákonem č. 388/1991 Sb.</w:t>
      </w:r>
      <w:r>
        <w:rPr>
          <w:rFonts w:ascii="Tahoma" w:hAnsi="Tahoma" w:cs="Tahoma"/>
          <w:bCs/>
          <w:iCs/>
          <w:sz w:val="18"/>
          <w:szCs w:val="18"/>
        </w:rPr>
        <w:t xml:space="preserve"> </w:t>
      </w:r>
    </w:p>
    <w:p w:rsidR="00941F5F" w:rsidRDefault="00941F5F" w:rsidP="001775E4">
      <w:pPr>
        <w:rPr>
          <w:rFonts w:ascii="Tahoma" w:hAnsi="Tahoma" w:cs="Tahoma"/>
          <w:bCs/>
          <w:iCs/>
          <w:sz w:val="18"/>
          <w:szCs w:val="18"/>
        </w:rPr>
      </w:pPr>
      <w:r>
        <w:rPr>
          <w:rFonts w:ascii="Tahoma" w:hAnsi="Tahoma" w:cs="Tahoma"/>
          <w:bCs/>
          <w:iCs/>
          <w:sz w:val="18"/>
          <w:szCs w:val="18"/>
        </w:rPr>
        <w:t>(„</w:t>
      </w:r>
      <w:r w:rsidRPr="002965A2">
        <w:rPr>
          <w:rFonts w:ascii="Tahoma" w:hAnsi="Tahoma" w:cs="Tahoma"/>
          <w:b/>
          <w:bCs/>
          <w:iCs/>
          <w:sz w:val="18"/>
          <w:szCs w:val="18"/>
        </w:rPr>
        <w:t>Klient</w:t>
      </w:r>
      <w:r>
        <w:rPr>
          <w:rFonts w:ascii="Tahoma" w:hAnsi="Tahoma" w:cs="Tahoma"/>
          <w:bCs/>
          <w:iCs/>
          <w:sz w:val="18"/>
          <w:szCs w:val="18"/>
        </w:rPr>
        <w:t>“)</w:t>
      </w:r>
    </w:p>
    <w:p w:rsidR="004A7EEF" w:rsidRDefault="004A7EEF" w:rsidP="001775E4">
      <w:pPr>
        <w:rPr>
          <w:rFonts w:ascii="Tahoma" w:hAnsi="Tahoma" w:cs="Tahoma"/>
          <w:bCs/>
          <w:iCs/>
          <w:sz w:val="18"/>
          <w:szCs w:val="18"/>
        </w:rPr>
      </w:pPr>
    </w:p>
    <w:p w:rsidR="00941F5F" w:rsidRPr="009507A6" w:rsidRDefault="00941F5F" w:rsidP="00941F5F">
      <w:pPr>
        <w:jc w:val="both"/>
        <w:rPr>
          <w:rFonts w:ascii="Tahoma" w:hAnsi="Tahoma" w:cs="Tahoma"/>
          <w:bCs/>
          <w:iCs/>
          <w:sz w:val="10"/>
          <w:szCs w:val="18"/>
        </w:rPr>
      </w:pPr>
    </w:p>
    <w:p w:rsidR="00941F5F" w:rsidRPr="00016851" w:rsidRDefault="00941F5F" w:rsidP="00941F5F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 xml:space="preserve">Pojmy začínající velkým písmenem, které zde nejsou přímo definovány, mají stejný význam jako ve VOP. </w:t>
      </w:r>
      <w:r w:rsidRPr="00B8187F">
        <w:rPr>
          <w:rFonts w:ascii="Tahoma" w:hAnsi="Tahoma" w:cs="Tahoma"/>
          <w:sz w:val="18"/>
          <w:szCs w:val="18"/>
        </w:rPr>
        <w:t>Klient je</w:t>
      </w:r>
      <w:r w:rsidRPr="00BE2286">
        <w:rPr>
          <w:rFonts w:ascii="Tahoma" w:hAnsi="Tahoma" w:cs="Tahoma"/>
          <w:sz w:val="18"/>
          <w:szCs w:val="18"/>
        </w:rPr>
        <w:t xml:space="preserve"> zavázán k úhradě následujících cen a poplatků (odměn) ve prospěch společnosti Sodexo</w:t>
      </w:r>
      <w:r w:rsidRPr="00016851">
        <w:rPr>
          <w:rFonts w:ascii="Tahoma" w:hAnsi="Tahoma" w:cs="Tahoma"/>
          <w:sz w:val="18"/>
          <w:szCs w:val="18"/>
        </w:rPr>
        <w:t xml:space="preserve"> za následující Produkty a služby poskytnuté </w:t>
      </w:r>
      <w:r>
        <w:rPr>
          <w:rFonts w:ascii="Tahoma" w:hAnsi="Tahoma" w:cs="Tahoma"/>
          <w:sz w:val="18"/>
          <w:szCs w:val="18"/>
        </w:rPr>
        <w:t xml:space="preserve">společností </w:t>
      </w:r>
      <w:r w:rsidRPr="00016851">
        <w:rPr>
          <w:rFonts w:ascii="Tahoma" w:hAnsi="Tahoma" w:cs="Tahoma"/>
          <w:sz w:val="18"/>
          <w:szCs w:val="18"/>
        </w:rPr>
        <w:t>Sodex</w:t>
      </w:r>
      <w:r>
        <w:rPr>
          <w:rFonts w:ascii="Tahoma" w:hAnsi="Tahoma" w:cs="Tahoma"/>
          <w:sz w:val="18"/>
          <w:szCs w:val="18"/>
        </w:rPr>
        <w:t>o</w:t>
      </w:r>
      <w:r w:rsidRPr="00016851">
        <w:rPr>
          <w:rFonts w:ascii="Tahoma" w:hAnsi="Tahoma" w:cs="Tahoma"/>
          <w:sz w:val="18"/>
          <w:szCs w:val="18"/>
        </w:rPr>
        <w:t xml:space="preserve"> na základě uzavřené Smlouvy: </w:t>
      </w:r>
    </w:p>
    <w:p w:rsidR="00941F5F" w:rsidRPr="009507A6" w:rsidRDefault="00941F5F" w:rsidP="00941F5F">
      <w:pPr>
        <w:jc w:val="both"/>
        <w:rPr>
          <w:rFonts w:ascii="Tahoma" w:hAnsi="Tahoma" w:cs="Tahoma"/>
          <w:sz w:val="12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b/>
          <w:sz w:val="18"/>
          <w:szCs w:val="18"/>
        </w:rPr>
      </w:pPr>
    </w:p>
    <w:p w:rsidR="00941F5F" w:rsidRPr="00016851" w:rsidRDefault="00941F5F" w:rsidP="00941F5F">
      <w:pPr>
        <w:jc w:val="both"/>
        <w:rPr>
          <w:rFonts w:ascii="Tahoma" w:hAnsi="Tahoma" w:cs="Tahoma"/>
          <w:b/>
          <w:sz w:val="18"/>
          <w:szCs w:val="18"/>
        </w:rPr>
      </w:pPr>
      <w:r w:rsidRPr="00016851">
        <w:rPr>
          <w:rFonts w:ascii="Tahoma" w:hAnsi="Tahoma" w:cs="Tahoma"/>
          <w:b/>
          <w:sz w:val="18"/>
          <w:szCs w:val="18"/>
        </w:rPr>
        <w:t>A. Poukázky</w:t>
      </w:r>
    </w:p>
    <w:p w:rsidR="00941F5F" w:rsidRPr="009507A6" w:rsidRDefault="00941F5F" w:rsidP="00941F5F">
      <w:pPr>
        <w:jc w:val="both"/>
        <w:rPr>
          <w:rFonts w:ascii="Tahoma" w:hAnsi="Tahoma" w:cs="Tahoma"/>
          <w:b/>
          <w:sz w:val="14"/>
          <w:szCs w:val="18"/>
        </w:rPr>
      </w:pPr>
    </w:p>
    <w:p w:rsidR="00941F5F" w:rsidRPr="00016851" w:rsidRDefault="00941F5F" w:rsidP="00941F5F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 xml:space="preserve">I. Ceník Poukázek: </w:t>
      </w:r>
    </w:p>
    <w:p w:rsidR="00941F5F" w:rsidRPr="009507A6" w:rsidRDefault="00941F5F" w:rsidP="00941F5F">
      <w:pPr>
        <w:jc w:val="both"/>
        <w:rPr>
          <w:rFonts w:ascii="Tahoma" w:hAnsi="Tahoma" w:cs="Tahoma"/>
          <w:sz w:val="10"/>
          <w:szCs w:val="18"/>
        </w:rPr>
      </w:pPr>
      <w:r w:rsidRPr="009507A6">
        <w:rPr>
          <w:rFonts w:ascii="Tahoma" w:hAnsi="Tahoma" w:cs="Tahoma"/>
          <w:sz w:val="10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984"/>
      </w:tblGrid>
      <w:tr w:rsidR="001775E4" w:rsidRPr="00016851" w:rsidTr="009C0195">
        <w:trPr>
          <w:trHeight w:val="268"/>
        </w:trPr>
        <w:tc>
          <w:tcPr>
            <w:tcW w:w="3969" w:type="dxa"/>
            <w:shd w:val="clear" w:color="auto" w:fill="auto"/>
          </w:tcPr>
          <w:p w:rsidR="001775E4" w:rsidRPr="00660535" w:rsidRDefault="001775E4" w:rsidP="009C0195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60535">
              <w:rPr>
                <w:rFonts w:ascii="Tahoma" w:hAnsi="Tahoma" w:cs="Tahoma"/>
                <w:b/>
                <w:sz w:val="18"/>
                <w:szCs w:val="18"/>
              </w:rPr>
              <w:t>Typ Poukázky</w:t>
            </w:r>
          </w:p>
          <w:p w:rsidR="001775E4" w:rsidRPr="00660535" w:rsidRDefault="001775E4" w:rsidP="009C0195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1775E4" w:rsidRPr="00660535" w:rsidRDefault="001775E4" w:rsidP="009C0195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660535">
              <w:rPr>
                <w:rFonts w:ascii="Tahoma" w:hAnsi="Tahoma" w:cs="Tahoma"/>
                <w:b/>
                <w:sz w:val="18"/>
                <w:szCs w:val="18"/>
              </w:rPr>
              <w:t>Poplatek</w:t>
            </w:r>
            <w:r>
              <w:rPr>
                <w:rFonts w:ascii="Tahoma" w:hAnsi="Tahoma" w:cs="Tahoma"/>
                <w:b/>
                <w:sz w:val="18"/>
                <w:szCs w:val="18"/>
              </w:rPr>
              <w:br/>
            </w:r>
            <w:r w:rsidRPr="00660535">
              <w:rPr>
                <w:rFonts w:ascii="Tahoma" w:hAnsi="Tahoma" w:cs="Tahoma"/>
                <w:b/>
                <w:sz w:val="18"/>
                <w:szCs w:val="18"/>
              </w:rPr>
              <w:t xml:space="preserve">za </w:t>
            </w:r>
            <w:r w:rsidRPr="003101E1">
              <w:rPr>
                <w:rFonts w:ascii="Tahoma" w:hAnsi="Tahoma" w:cs="Tahoma"/>
                <w:b/>
                <w:sz w:val="18"/>
                <w:szCs w:val="18"/>
              </w:rPr>
              <w:t>zprostředkování</w:t>
            </w:r>
            <w:r w:rsidRPr="00660535">
              <w:rPr>
                <w:rFonts w:ascii="Tahoma" w:hAnsi="Tahoma" w:cs="Tahoma"/>
                <w:b/>
                <w:sz w:val="18"/>
                <w:szCs w:val="18"/>
              </w:rPr>
              <w:t xml:space="preserve"> Poukázky</w:t>
            </w:r>
          </w:p>
          <w:p w:rsidR="001775E4" w:rsidRPr="00660535" w:rsidRDefault="001775E4" w:rsidP="009C0195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(po slevě</w:t>
            </w:r>
            <w:r w:rsidRPr="00660535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</w:tc>
      </w:tr>
      <w:tr w:rsidR="001775E4" w:rsidRPr="00016851" w:rsidTr="009C0195">
        <w:trPr>
          <w:trHeight w:val="268"/>
        </w:trPr>
        <w:tc>
          <w:tcPr>
            <w:tcW w:w="3969" w:type="dxa"/>
            <w:shd w:val="clear" w:color="auto" w:fill="auto"/>
          </w:tcPr>
          <w:p w:rsidR="001775E4" w:rsidRPr="00660535" w:rsidRDefault="001775E4" w:rsidP="009C0195">
            <w:pPr>
              <w:spacing w:before="120" w:after="12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660535">
              <w:rPr>
                <w:rFonts w:ascii="Tahoma" w:hAnsi="Tahoma" w:cs="Tahoma"/>
                <w:sz w:val="18"/>
                <w:szCs w:val="18"/>
              </w:rPr>
              <w:t>Gastro Pass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775E4" w:rsidRDefault="001775E4" w:rsidP="009C0195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1,6%</w:t>
            </w:r>
          </w:p>
        </w:tc>
      </w:tr>
    </w:tbl>
    <w:p w:rsidR="001775E4" w:rsidRDefault="001775E4" w:rsidP="00941F5F">
      <w:pPr>
        <w:jc w:val="both"/>
        <w:rPr>
          <w:rFonts w:ascii="Tahoma" w:hAnsi="Tahoma" w:cs="Tahoma"/>
          <w:sz w:val="18"/>
          <w:szCs w:val="18"/>
        </w:rPr>
      </w:pPr>
    </w:p>
    <w:p w:rsidR="00941F5F" w:rsidRPr="00016851" w:rsidRDefault="00941F5F" w:rsidP="00941F5F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>K ceně Po</w:t>
      </w:r>
      <w:r>
        <w:rPr>
          <w:rFonts w:ascii="Tahoma" w:hAnsi="Tahoma" w:cs="Tahoma"/>
          <w:sz w:val="18"/>
          <w:szCs w:val="18"/>
        </w:rPr>
        <w:t>platku</w:t>
      </w:r>
      <w:r w:rsidRPr="00016851">
        <w:rPr>
          <w:rFonts w:ascii="Tahoma" w:hAnsi="Tahoma" w:cs="Tahoma"/>
          <w:sz w:val="18"/>
          <w:szCs w:val="18"/>
        </w:rPr>
        <w:t xml:space="preserve"> bude připočtena zákonná sazba DPH dle právních předpisů. </w:t>
      </w:r>
    </w:p>
    <w:p w:rsidR="00941F5F" w:rsidRPr="00AE2FAC" w:rsidRDefault="00941F5F" w:rsidP="00941F5F">
      <w:pPr>
        <w:jc w:val="both"/>
        <w:rPr>
          <w:rFonts w:ascii="Tahoma" w:hAnsi="Tahoma" w:cs="Tahoma"/>
          <w:sz w:val="16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941F5F" w:rsidRPr="00016851" w:rsidRDefault="00941F5F" w:rsidP="00941F5F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>II. Ceník přepravného pro doručování Poukázek:</w:t>
      </w:r>
    </w:p>
    <w:p w:rsidR="00941F5F" w:rsidRPr="00AE2FAC" w:rsidRDefault="00941F5F" w:rsidP="00941F5F">
      <w:pPr>
        <w:jc w:val="both"/>
        <w:rPr>
          <w:rFonts w:ascii="Tahoma" w:hAnsi="Tahoma" w:cs="Tahoma"/>
          <w:sz w:val="16"/>
          <w:szCs w:val="18"/>
        </w:rPr>
      </w:pP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843"/>
      </w:tblGrid>
      <w:tr w:rsidR="00941F5F" w:rsidRPr="00016851" w:rsidTr="009C019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F5F" w:rsidRPr="00016851" w:rsidRDefault="00941F5F" w:rsidP="009C0195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16851">
              <w:rPr>
                <w:rFonts w:ascii="Tahoma" w:hAnsi="Tahoma" w:cs="Tahoma"/>
                <w:b/>
                <w:sz w:val="18"/>
                <w:szCs w:val="18"/>
              </w:rPr>
              <w:t>Druh přepravy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1F5F" w:rsidRPr="00016851" w:rsidRDefault="00941F5F" w:rsidP="009C0195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16851">
              <w:rPr>
                <w:rFonts w:ascii="Tahoma" w:hAnsi="Tahoma" w:cs="Tahoma"/>
                <w:b/>
                <w:sz w:val="18"/>
                <w:szCs w:val="18"/>
              </w:rPr>
              <w:t>Poplatek</w:t>
            </w:r>
          </w:p>
          <w:p w:rsidR="00941F5F" w:rsidRPr="00BE2286" w:rsidRDefault="001775E4" w:rsidP="009C0195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(standardní</w:t>
            </w:r>
            <w:r w:rsidR="00941F5F" w:rsidRPr="00016851">
              <w:rPr>
                <w:rFonts w:ascii="Tahoma" w:hAnsi="Tahoma" w:cs="Tahoma"/>
                <w:b/>
                <w:sz w:val="18"/>
                <w:szCs w:val="18"/>
              </w:rPr>
              <w:t>)</w:t>
            </w:r>
          </w:p>
          <w:p w:rsidR="00941F5F" w:rsidRPr="00016851" w:rsidRDefault="00941F5F" w:rsidP="009C0195">
            <w:pPr>
              <w:tabs>
                <w:tab w:val="left" w:pos="7371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41F5F" w:rsidRPr="00016851" w:rsidTr="009C0195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5F" w:rsidRPr="00016851" w:rsidRDefault="00941F5F" w:rsidP="009C0195">
            <w:pPr>
              <w:tabs>
                <w:tab w:val="left" w:pos="7371"/>
              </w:tabs>
              <w:rPr>
                <w:rFonts w:ascii="Tahoma" w:hAnsi="Tahoma" w:cs="Tahoma"/>
                <w:sz w:val="18"/>
                <w:szCs w:val="18"/>
              </w:rPr>
            </w:pPr>
            <w:r w:rsidRPr="00016851">
              <w:rPr>
                <w:rFonts w:ascii="Tahoma" w:hAnsi="Tahoma" w:cs="Tahoma"/>
                <w:sz w:val="18"/>
                <w:szCs w:val="18"/>
              </w:rPr>
              <w:t>Česká pošta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5F" w:rsidRDefault="001775E4" w:rsidP="009C0195">
            <w:pPr>
              <w:jc w:val="center"/>
            </w:pPr>
            <w:r w:rsidRPr="001775E4">
              <w:rPr>
                <w:rFonts w:ascii="Tahoma" w:hAnsi="Tahoma" w:cs="Tahoma"/>
                <w:sz w:val="18"/>
                <w:szCs w:val="18"/>
              </w:rPr>
              <w:t>170,- Kč</w:t>
            </w:r>
          </w:p>
        </w:tc>
      </w:tr>
      <w:tr w:rsidR="00941F5F" w:rsidRPr="00016851" w:rsidTr="009C0195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5F" w:rsidRPr="00016851" w:rsidRDefault="00941F5F" w:rsidP="009C0195">
            <w:pPr>
              <w:tabs>
                <w:tab w:val="left" w:pos="7371"/>
              </w:tabs>
              <w:rPr>
                <w:rFonts w:ascii="Tahoma" w:hAnsi="Tahoma" w:cs="Tahoma"/>
                <w:sz w:val="18"/>
                <w:szCs w:val="18"/>
              </w:rPr>
            </w:pPr>
            <w:r w:rsidRPr="00016851">
              <w:rPr>
                <w:rFonts w:ascii="Tahoma" w:hAnsi="Tahoma" w:cs="Tahoma"/>
                <w:sz w:val="18"/>
                <w:szCs w:val="18"/>
              </w:rPr>
              <w:t>Kurýrní služba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5F" w:rsidRDefault="001775E4" w:rsidP="009C0195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190,- Kč</w:t>
            </w:r>
          </w:p>
        </w:tc>
      </w:tr>
      <w:tr w:rsidR="00941F5F" w:rsidRPr="00016851" w:rsidTr="009C0195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5F" w:rsidRPr="00016851" w:rsidRDefault="00941F5F" w:rsidP="009C0195">
            <w:pPr>
              <w:tabs>
                <w:tab w:val="left" w:pos="7371"/>
              </w:tabs>
              <w:rPr>
                <w:rFonts w:ascii="Tahoma" w:hAnsi="Tahoma" w:cs="Tahoma"/>
                <w:sz w:val="18"/>
                <w:szCs w:val="18"/>
              </w:rPr>
            </w:pPr>
            <w:r w:rsidRPr="00016851">
              <w:rPr>
                <w:rFonts w:ascii="Tahoma" w:hAnsi="Tahoma" w:cs="Tahoma"/>
                <w:sz w:val="18"/>
                <w:szCs w:val="18"/>
              </w:rPr>
              <w:t>Bezpečnostní agentura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5F" w:rsidRDefault="001775E4" w:rsidP="009C0195">
            <w:pPr>
              <w:jc w:val="center"/>
            </w:pPr>
            <w:r w:rsidRPr="004A7EEF">
              <w:rPr>
                <w:rFonts w:ascii="Tahoma" w:hAnsi="Tahoma" w:cs="Tahoma"/>
                <w:sz w:val="18"/>
                <w:szCs w:val="18"/>
              </w:rPr>
              <w:t>500,- Kč</w:t>
            </w:r>
          </w:p>
        </w:tc>
      </w:tr>
    </w:tbl>
    <w:p w:rsidR="00941F5F" w:rsidRPr="00E132DF" w:rsidRDefault="00941F5F" w:rsidP="00941F5F">
      <w:pPr>
        <w:jc w:val="both"/>
        <w:rPr>
          <w:rFonts w:ascii="Tahoma" w:hAnsi="Tahoma" w:cs="Tahoma"/>
          <w:sz w:val="6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941F5F" w:rsidRDefault="00941F5F" w:rsidP="00941F5F">
      <w:pPr>
        <w:jc w:val="both"/>
        <w:rPr>
          <w:rFonts w:ascii="Tahoma" w:hAnsi="Tahoma" w:cs="Tahoma"/>
          <w:sz w:val="18"/>
          <w:szCs w:val="18"/>
        </w:rPr>
      </w:pPr>
      <w:r w:rsidRPr="00016851">
        <w:rPr>
          <w:rFonts w:ascii="Tahoma" w:hAnsi="Tahoma" w:cs="Tahoma"/>
          <w:sz w:val="18"/>
          <w:szCs w:val="18"/>
        </w:rPr>
        <w:t xml:space="preserve">K veškerým částkám Poplatku bude připočtena zákonná sazba DPH dle právních předpisů účinných k datu vyúčtování Poplatku. </w:t>
      </w:r>
    </w:p>
    <w:p w:rsidR="004A7EEF" w:rsidRPr="00016851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941F5F" w:rsidRDefault="00941F5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jc w:val="both"/>
        <w:rPr>
          <w:rFonts w:ascii="Tahoma" w:hAnsi="Tahoma" w:cs="Tahoma"/>
          <w:sz w:val="18"/>
          <w:szCs w:val="18"/>
        </w:rPr>
      </w:pPr>
    </w:p>
    <w:p w:rsidR="00941F5F" w:rsidRDefault="001775E4" w:rsidP="00941F5F">
      <w:pPr>
        <w:tabs>
          <w:tab w:val="left" w:pos="1080"/>
        </w:tabs>
        <w:jc w:val="both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ascii="Tahoma" w:hAnsi="Tahoma" w:cs="Tahoma"/>
          <w:b/>
          <w:bCs/>
          <w:iCs/>
          <w:sz w:val="18"/>
          <w:szCs w:val="18"/>
        </w:rPr>
        <w:lastRenderedPageBreak/>
        <w:t>B</w:t>
      </w:r>
      <w:r w:rsidR="00941F5F" w:rsidRPr="00297590">
        <w:rPr>
          <w:rFonts w:ascii="Tahoma" w:hAnsi="Tahoma" w:cs="Tahoma"/>
          <w:b/>
          <w:bCs/>
          <w:iCs/>
          <w:sz w:val="18"/>
          <w:szCs w:val="18"/>
        </w:rPr>
        <w:t>. GPC</w:t>
      </w:r>
      <w:r>
        <w:rPr>
          <w:rFonts w:ascii="Tahoma" w:hAnsi="Tahoma" w:cs="Tahoma"/>
          <w:b/>
          <w:bCs/>
          <w:iCs/>
          <w:sz w:val="18"/>
          <w:szCs w:val="18"/>
        </w:rPr>
        <w:t xml:space="preserve"> (GastroPassCARD)</w:t>
      </w:r>
    </w:p>
    <w:p w:rsidR="004A7EEF" w:rsidRDefault="004A7EEF" w:rsidP="00941F5F">
      <w:pPr>
        <w:tabs>
          <w:tab w:val="left" w:pos="1080"/>
        </w:tabs>
        <w:jc w:val="both"/>
        <w:rPr>
          <w:rFonts w:ascii="Tahoma" w:hAnsi="Tahoma" w:cs="Tahoma"/>
          <w:b/>
          <w:bCs/>
          <w:iCs/>
          <w:sz w:val="18"/>
          <w:szCs w:val="18"/>
        </w:rPr>
      </w:pPr>
    </w:p>
    <w:tbl>
      <w:tblPr>
        <w:tblW w:w="7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3040"/>
        <w:gridCol w:w="2500"/>
      </w:tblGrid>
      <w:tr w:rsidR="00941F5F" w:rsidTr="009C0195">
        <w:trPr>
          <w:trHeight w:val="1020"/>
        </w:trPr>
        <w:tc>
          <w:tcPr>
            <w:tcW w:w="5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Druh služby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4A7EE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Poplatek (</w:t>
            </w:r>
            <w:r w:rsidR="004A7EEF">
              <w:rPr>
                <w:rFonts w:ascii="Tahoma" w:hAnsi="Tahoma" w:cs="Tahoma"/>
                <w:b/>
                <w:bCs/>
                <w:sz w:val="18"/>
                <w:szCs w:val="18"/>
              </w:rPr>
              <w:t>po slevě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)</w:t>
            </w:r>
          </w:p>
        </w:tc>
      </w:tr>
      <w:tr w:rsidR="00941F5F" w:rsidTr="009C0195">
        <w:trPr>
          <w:trHeight w:val="675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Poplatky za službu Gastro Pass CARD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Založení uživatelského účtu (jednorázový poplatek v Kč za 1 uživatele)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1775E4" w:rsidP="004A7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</w:t>
            </w:r>
            <w:r w:rsidR="00941F5F">
              <w:rPr>
                <w:rFonts w:ascii="Tahoma" w:hAnsi="Tahoma" w:cs="Tahoma"/>
                <w:sz w:val="18"/>
                <w:szCs w:val="18"/>
              </w:rPr>
              <w:t xml:space="preserve"> Kč</w:t>
            </w:r>
          </w:p>
        </w:tc>
      </w:tr>
      <w:tr w:rsidR="00941F5F" w:rsidTr="009C0195">
        <w:trPr>
          <w:trHeight w:val="67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Objednání elektronických stravenek (% z objednávaného stravného)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4A7EEF" w:rsidP="004A7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1,6 %</w:t>
            </w:r>
          </w:p>
        </w:tc>
      </w:tr>
      <w:tr w:rsidR="00941F5F" w:rsidTr="004A7EEF">
        <w:trPr>
          <w:trHeight w:val="67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Dobropisování elektronických stravenek (% z dobropisovaného stravného + min. částka)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F5F" w:rsidRDefault="004A7EEF" w:rsidP="004A7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941F5F" w:rsidTr="004A7EEF">
        <w:trPr>
          <w:trHeight w:val="60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Vydání karty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Vydání karty (jednorázový poplatek za 1 kartu)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F5F" w:rsidRDefault="004A7EEF" w:rsidP="004A7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941F5F" w:rsidTr="004A7EEF">
        <w:trPr>
          <w:trHeight w:val="67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Vydání karty při ztrátě či odcizení (ceny platné pouze pro standardní design karty)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F5F" w:rsidRDefault="004A7EEF" w:rsidP="004A7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0,- Kč</w:t>
            </w:r>
          </w:p>
        </w:tc>
      </w:tr>
      <w:tr w:rsidR="00941F5F" w:rsidTr="009C0195">
        <w:trPr>
          <w:trHeight w:val="600"/>
        </w:trPr>
        <w:tc>
          <w:tcPr>
            <w:tcW w:w="2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Doručení karty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F5F" w:rsidRDefault="00941F5F" w:rsidP="009C01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Doručení karty na firemní adresu (jednorázový poplatek za 1 místo doručení)</w:t>
            </w:r>
          </w:p>
        </w:tc>
      </w:tr>
      <w:tr w:rsidR="004A7EEF" w:rsidTr="004A7EEF">
        <w:trPr>
          <w:trHeight w:val="22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EF" w:rsidRDefault="004A7EEF" w:rsidP="009C019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EEF" w:rsidRPr="00016851" w:rsidRDefault="004A7EEF" w:rsidP="009C0195">
            <w:pPr>
              <w:tabs>
                <w:tab w:val="left" w:pos="7371"/>
              </w:tabs>
              <w:rPr>
                <w:rFonts w:ascii="Tahoma" w:hAnsi="Tahoma" w:cs="Tahoma"/>
                <w:sz w:val="18"/>
                <w:szCs w:val="18"/>
              </w:rPr>
            </w:pPr>
            <w:r w:rsidRPr="00016851">
              <w:rPr>
                <w:rFonts w:ascii="Tahoma" w:hAnsi="Tahoma" w:cs="Tahoma"/>
                <w:sz w:val="18"/>
                <w:szCs w:val="18"/>
              </w:rPr>
              <w:t>Česká pošta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EF" w:rsidRDefault="004A7EEF" w:rsidP="009C0195">
            <w:pPr>
              <w:jc w:val="center"/>
            </w:pPr>
            <w:r w:rsidRPr="001775E4">
              <w:rPr>
                <w:rFonts w:ascii="Tahoma" w:hAnsi="Tahoma" w:cs="Tahoma"/>
                <w:sz w:val="18"/>
                <w:szCs w:val="18"/>
              </w:rPr>
              <w:t>170,- Kč</w:t>
            </w:r>
          </w:p>
        </w:tc>
      </w:tr>
      <w:tr w:rsidR="004A7EEF" w:rsidTr="004A7EEF">
        <w:trPr>
          <w:trHeight w:val="22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EF" w:rsidRDefault="004A7EEF" w:rsidP="009C019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EEF" w:rsidRPr="00016851" w:rsidRDefault="004A7EEF" w:rsidP="009C0195">
            <w:pPr>
              <w:tabs>
                <w:tab w:val="left" w:pos="7371"/>
              </w:tabs>
              <w:rPr>
                <w:rFonts w:ascii="Tahoma" w:hAnsi="Tahoma" w:cs="Tahoma"/>
                <w:sz w:val="18"/>
                <w:szCs w:val="18"/>
              </w:rPr>
            </w:pPr>
            <w:r w:rsidRPr="00016851">
              <w:rPr>
                <w:rFonts w:ascii="Tahoma" w:hAnsi="Tahoma" w:cs="Tahoma"/>
                <w:sz w:val="18"/>
                <w:szCs w:val="18"/>
              </w:rPr>
              <w:t>Kurýrní služba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EF" w:rsidRDefault="004A7EEF" w:rsidP="009C0195">
            <w:pPr>
              <w:jc w:val="center"/>
            </w:pPr>
            <w:r>
              <w:rPr>
                <w:rFonts w:ascii="Tahoma" w:hAnsi="Tahoma" w:cs="Tahoma"/>
                <w:sz w:val="18"/>
                <w:szCs w:val="18"/>
              </w:rPr>
              <w:t>190,- Kč</w:t>
            </w:r>
          </w:p>
        </w:tc>
      </w:tr>
      <w:tr w:rsidR="004A7EEF" w:rsidTr="004A7EEF">
        <w:trPr>
          <w:trHeight w:val="675"/>
        </w:trPr>
        <w:tc>
          <w:tcPr>
            <w:tcW w:w="2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EEF" w:rsidRDefault="004A7EEF" w:rsidP="009C019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EEF" w:rsidRDefault="004A7EEF" w:rsidP="009C019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Doručení karty na adresu uživatele ČP (jednorázový poplatek za 1 místo doručení)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7EEF" w:rsidRDefault="004A7EEF" w:rsidP="004A7EE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20,- Kč</w:t>
            </w:r>
          </w:p>
        </w:tc>
      </w:tr>
    </w:tbl>
    <w:p w:rsidR="00941F5F" w:rsidRDefault="00941F5F" w:rsidP="00941F5F">
      <w:pPr>
        <w:tabs>
          <w:tab w:val="left" w:pos="7371"/>
        </w:tabs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tabs>
          <w:tab w:val="left" w:pos="7371"/>
        </w:tabs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tabs>
          <w:tab w:val="left" w:pos="7371"/>
        </w:tabs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tabs>
          <w:tab w:val="left" w:pos="7371"/>
        </w:tabs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tabs>
          <w:tab w:val="left" w:pos="7371"/>
        </w:tabs>
        <w:jc w:val="both"/>
        <w:rPr>
          <w:rFonts w:ascii="Tahoma" w:hAnsi="Tahoma" w:cs="Tahoma"/>
          <w:sz w:val="18"/>
          <w:szCs w:val="18"/>
        </w:rPr>
      </w:pPr>
    </w:p>
    <w:p w:rsidR="004A7EEF" w:rsidRDefault="004A7EEF" w:rsidP="00941F5F">
      <w:pPr>
        <w:tabs>
          <w:tab w:val="left" w:pos="7371"/>
        </w:tabs>
        <w:jc w:val="both"/>
        <w:rPr>
          <w:rFonts w:ascii="Tahoma" w:hAnsi="Tahoma" w:cs="Tahoma"/>
          <w:sz w:val="18"/>
          <w:szCs w:val="18"/>
        </w:rPr>
      </w:pPr>
    </w:p>
    <w:p w:rsidR="00941F5F" w:rsidRDefault="00941F5F" w:rsidP="00941F5F">
      <w:pPr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</w:p>
    <w:p w:rsidR="00941F5F" w:rsidRPr="001B1699" w:rsidRDefault="004A7EEF" w:rsidP="00941F5F">
      <w:pPr>
        <w:keepNext/>
        <w:widowControl w:val="0"/>
        <w:tabs>
          <w:tab w:val="left" w:pos="108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941F5F" w:rsidRPr="001B1699">
        <w:rPr>
          <w:rFonts w:ascii="Tahoma" w:hAnsi="Tahoma" w:cs="Tahoma"/>
          <w:sz w:val="18"/>
          <w:szCs w:val="18"/>
        </w:rPr>
        <w:t xml:space="preserve">V </w:t>
      </w:r>
      <w:r w:rsidR="00941F5F" w:rsidRPr="001B1699">
        <w:rPr>
          <w:rFonts w:ascii="Tahoma" w:hAnsi="Tahoma" w:cs="Tahoma"/>
          <w:sz w:val="18"/>
          <w:szCs w:val="18"/>
        </w:rPr>
        <w:tab/>
      </w:r>
      <w:r w:rsidR="00941F5F" w:rsidRPr="001B1699">
        <w:rPr>
          <w:rFonts w:ascii="Tahoma" w:hAnsi="Tahoma" w:cs="Tahoma"/>
          <w:sz w:val="18"/>
          <w:szCs w:val="18"/>
        </w:rPr>
        <w:tab/>
        <w:t xml:space="preserve">     </w:t>
      </w:r>
      <w:r w:rsidR="00941F5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       </w:t>
      </w:r>
      <w:r w:rsidR="00941F5F" w:rsidRPr="001B1699">
        <w:rPr>
          <w:rFonts w:ascii="Tahoma" w:hAnsi="Tahoma" w:cs="Tahoma"/>
          <w:sz w:val="18"/>
          <w:szCs w:val="18"/>
        </w:rPr>
        <w:t xml:space="preserve">dne     </w:t>
      </w:r>
      <w:r w:rsidR="00941F5F" w:rsidRPr="001B1699">
        <w:rPr>
          <w:rFonts w:ascii="Tahoma" w:hAnsi="Tahoma" w:cs="Tahoma"/>
          <w:sz w:val="18"/>
          <w:szCs w:val="18"/>
        </w:rPr>
        <w:tab/>
      </w:r>
      <w:r w:rsidR="00941F5F" w:rsidRPr="001B1699">
        <w:rPr>
          <w:rFonts w:ascii="Tahoma" w:hAnsi="Tahoma" w:cs="Tahoma"/>
          <w:sz w:val="18"/>
          <w:szCs w:val="18"/>
        </w:rPr>
        <w:tab/>
      </w:r>
      <w:r w:rsidR="00941F5F" w:rsidRPr="001B1699">
        <w:rPr>
          <w:rFonts w:ascii="Tahoma" w:hAnsi="Tahoma" w:cs="Tahoma"/>
          <w:sz w:val="18"/>
          <w:szCs w:val="18"/>
        </w:rPr>
        <w:tab/>
        <w:t>V</w:t>
      </w:r>
      <w:r w:rsidR="00941F5F">
        <w:rPr>
          <w:rFonts w:ascii="Tahoma" w:hAnsi="Tahoma" w:cs="Tahoma"/>
          <w:sz w:val="18"/>
          <w:szCs w:val="18"/>
        </w:rPr>
        <w:t xml:space="preserve"> </w:t>
      </w:r>
      <w:r w:rsidR="00941F5F" w:rsidRPr="001B1699">
        <w:rPr>
          <w:rFonts w:ascii="Tahoma" w:hAnsi="Tahoma" w:cs="Tahoma"/>
          <w:sz w:val="18"/>
          <w:szCs w:val="18"/>
        </w:rPr>
        <w:tab/>
      </w:r>
      <w:r w:rsidR="00941F5F" w:rsidRPr="001B1699">
        <w:rPr>
          <w:rFonts w:ascii="Tahoma" w:hAnsi="Tahoma" w:cs="Tahoma"/>
          <w:sz w:val="18"/>
          <w:szCs w:val="18"/>
        </w:rPr>
        <w:tab/>
      </w:r>
      <w:r w:rsidR="00941F5F" w:rsidRPr="001B1699">
        <w:rPr>
          <w:rFonts w:ascii="Tahoma" w:hAnsi="Tahoma" w:cs="Tahoma"/>
          <w:sz w:val="18"/>
          <w:szCs w:val="18"/>
        </w:rPr>
        <w:tab/>
      </w:r>
      <w:r w:rsidR="00941F5F">
        <w:rPr>
          <w:rFonts w:ascii="Tahoma" w:hAnsi="Tahoma" w:cs="Tahoma"/>
          <w:sz w:val="18"/>
          <w:szCs w:val="18"/>
        </w:rPr>
        <w:t xml:space="preserve"> </w:t>
      </w:r>
      <w:r w:rsidR="00941F5F" w:rsidRPr="001B1699">
        <w:rPr>
          <w:rFonts w:ascii="Tahoma" w:hAnsi="Tahoma" w:cs="Tahoma"/>
          <w:sz w:val="18"/>
          <w:szCs w:val="18"/>
        </w:rPr>
        <w:t xml:space="preserve">dne   </w:t>
      </w:r>
      <w:r w:rsidR="00941F5F">
        <w:rPr>
          <w:rFonts w:ascii="Tahoma" w:hAnsi="Tahoma" w:cs="Tahoma"/>
          <w:sz w:val="18"/>
          <w:szCs w:val="18"/>
        </w:rPr>
        <w:tab/>
      </w:r>
    </w:p>
    <w:p w:rsidR="00941F5F" w:rsidRPr="001B1699" w:rsidRDefault="00941F5F" w:rsidP="00941F5F">
      <w:pPr>
        <w:keepNext/>
        <w:widowControl w:val="0"/>
        <w:jc w:val="both"/>
        <w:rPr>
          <w:rFonts w:ascii="Tahoma" w:hAnsi="Tahoma" w:cs="Tahoma"/>
          <w:bCs/>
          <w:iCs/>
          <w:sz w:val="18"/>
          <w:szCs w:val="18"/>
        </w:rPr>
      </w:pPr>
    </w:p>
    <w:p w:rsidR="00941F5F" w:rsidRDefault="00941F5F" w:rsidP="00941F5F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941F5F" w:rsidRDefault="00941F5F" w:rsidP="00941F5F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941F5F" w:rsidRDefault="00941F5F" w:rsidP="00941F5F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770575" w:rsidRDefault="00770575" w:rsidP="00941F5F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770575" w:rsidRDefault="00770575" w:rsidP="00941F5F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</w:p>
    <w:p w:rsidR="00941F5F" w:rsidRPr="001B1699" w:rsidRDefault="00941F5F" w:rsidP="00941F5F">
      <w:pPr>
        <w:keepNext/>
        <w:widowControl w:val="0"/>
        <w:tabs>
          <w:tab w:val="left" w:pos="3060"/>
        </w:tabs>
        <w:jc w:val="both"/>
        <w:rPr>
          <w:rFonts w:ascii="Tahoma" w:hAnsi="Tahoma" w:cs="Tahoma"/>
          <w:bCs/>
          <w:iCs/>
          <w:sz w:val="18"/>
          <w:szCs w:val="18"/>
        </w:rPr>
      </w:pPr>
      <w:bookmarkStart w:id="0" w:name="_GoBack"/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5"/>
        <w:gridCol w:w="4605"/>
      </w:tblGrid>
      <w:tr w:rsidR="00941F5F" w:rsidRPr="001B1699" w:rsidTr="009C0195">
        <w:trPr>
          <w:jc w:val="center"/>
        </w:trPr>
        <w:tc>
          <w:tcPr>
            <w:tcW w:w="4605" w:type="dxa"/>
          </w:tcPr>
          <w:p w:rsidR="00941F5F" w:rsidRPr="001B1699" w:rsidRDefault="00941F5F" w:rsidP="009C0195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699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  <w:tc>
          <w:tcPr>
            <w:tcW w:w="4605" w:type="dxa"/>
          </w:tcPr>
          <w:p w:rsidR="00941F5F" w:rsidRPr="001B1699" w:rsidRDefault="00941F5F" w:rsidP="009C0195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699">
              <w:rPr>
                <w:rFonts w:ascii="Tahoma" w:hAnsi="Tahoma" w:cs="Tahoma"/>
                <w:bCs/>
                <w:iCs/>
                <w:sz w:val="18"/>
                <w:szCs w:val="18"/>
              </w:rPr>
              <w:t>___________________________</w:t>
            </w:r>
          </w:p>
        </w:tc>
      </w:tr>
      <w:tr w:rsidR="00941F5F" w:rsidRPr="001B1699" w:rsidTr="009C0195">
        <w:trPr>
          <w:jc w:val="center"/>
        </w:trPr>
        <w:tc>
          <w:tcPr>
            <w:tcW w:w="4605" w:type="dxa"/>
          </w:tcPr>
          <w:p w:rsidR="00941F5F" w:rsidRPr="001B1699" w:rsidRDefault="00941F5F" w:rsidP="009C0195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B1699">
              <w:rPr>
                <w:rFonts w:ascii="Tahoma" w:hAnsi="Tahoma" w:cs="Tahoma"/>
                <w:sz w:val="18"/>
                <w:szCs w:val="18"/>
              </w:rPr>
              <w:t>Sodexo Pass Česká republika a.s.</w:t>
            </w:r>
          </w:p>
          <w:p w:rsidR="00941F5F" w:rsidRPr="001B1699" w:rsidRDefault="00941F5F" w:rsidP="009C0195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05" w:type="dxa"/>
          </w:tcPr>
          <w:p w:rsidR="00941F5F" w:rsidRPr="001B1699" w:rsidRDefault="00941F5F" w:rsidP="009C0195">
            <w:pPr>
              <w:keepNext/>
              <w:widowControl w:val="0"/>
              <w:tabs>
                <w:tab w:val="left" w:pos="3240"/>
              </w:tabs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B1699">
              <w:rPr>
                <w:rFonts w:ascii="Tahoma" w:hAnsi="Tahoma" w:cs="Tahoma"/>
                <w:bCs/>
                <w:iCs/>
                <w:sz w:val="18"/>
                <w:szCs w:val="18"/>
              </w:rPr>
              <w:t>Klient</w:t>
            </w:r>
          </w:p>
        </w:tc>
      </w:tr>
    </w:tbl>
    <w:p w:rsidR="00941F5F" w:rsidRDefault="00941F5F" w:rsidP="00941F5F">
      <w:pPr>
        <w:tabs>
          <w:tab w:val="left" w:pos="1080"/>
        </w:tabs>
        <w:jc w:val="both"/>
        <w:rPr>
          <w:rFonts w:ascii="Tahoma" w:hAnsi="Tahoma" w:cs="Tahoma"/>
          <w:color w:val="000000"/>
          <w:sz w:val="18"/>
          <w:szCs w:val="18"/>
        </w:rPr>
      </w:pPr>
    </w:p>
    <w:p w:rsidR="00991788" w:rsidRDefault="007358BB"/>
    <w:sectPr w:rsidR="00991788" w:rsidSect="0089259F">
      <w:headerReference w:type="default" r:id="rId7"/>
      <w:footerReference w:type="default" r:id="rId8"/>
      <w:pgSz w:w="11906" w:h="16838"/>
      <w:pgMar w:top="720" w:right="720" w:bottom="720" w:left="720" w:header="709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BB" w:rsidRDefault="007358BB">
      <w:r>
        <w:separator/>
      </w:r>
    </w:p>
  </w:endnote>
  <w:endnote w:type="continuationSeparator" w:id="0">
    <w:p w:rsidR="007358BB" w:rsidRDefault="007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97" w:rsidRPr="004F5F97" w:rsidRDefault="00770575">
    <w:pPr>
      <w:pStyle w:val="Zpat"/>
      <w:jc w:val="center"/>
      <w:rPr>
        <w:rFonts w:ascii="Tahoma" w:hAnsi="Tahoma" w:cs="Tahoma"/>
        <w:sz w:val="14"/>
        <w:szCs w:val="14"/>
      </w:rPr>
    </w:pPr>
    <w:r w:rsidRPr="004F5F97">
      <w:rPr>
        <w:rFonts w:ascii="Tahoma" w:hAnsi="Tahoma" w:cs="Tahoma"/>
        <w:sz w:val="14"/>
        <w:szCs w:val="14"/>
      </w:rPr>
      <w:fldChar w:fldCharType="begin"/>
    </w:r>
    <w:r w:rsidRPr="004F5F97">
      <w:rPr>
        <w:rFonts w:ascii="Tahoma" w:hAnsi="Tahoma" w:cs="Tahoma"/>
        <w:sz w:val="14"/>
        <w:szCs w:val="14"/>
      </w:rPr>
      <w:instrText>PAGE   \* MERGEFORMAT</w:instrText>
    </w:r>
    <w:r w:rsidRPr="004F5F97">
      <w:rPr>
        <w:rFonts w:ascii="Tahoma" w:hAnsi="Tahoma" w:cs="Tahoma"/>
        <w:sz w:val="14"/>
        <w:szCs w:val="14"/>
      </w:rPr>
      <w:fldChar w:fldCharType="separate"/>
    </w:r>
    <w:r w:rsidR="00824E71">
      <w:rPr>
        <w:rFonts w:ascii="Tahoma" w:hAnsi="Tahoma" w:cs="Tahoma"/>
        <w:noProof/>
        <w:sz w:val="14"/>
        <w:szCs w:val="14"/>
      </w:rPr>
      <w:t>1</w:t>
    </w:r>
    <w:r w:rsidRPr="004F5F97">
      <w:rPr>
        <w:rFonts w:ascii="Tahoma" w:hAnsi="Tahoma" w:cs="Tahoma"/>
        <w:sz w:val="14"/>
        <w:szCs w:val="14"/>
      </w:rPr>
      <w:fldChar w:fldCharType="end"/>
    </w:r>
  </w:p>
  <w:p w:rsidR="004F5F97" w:rsidRDefault="007358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BB" w:rsidRDefault="007358BB">
      <w:r>
        <w:separator/>
      </w:r>
    </w:p>
  </w:footnote>
  <w:footnote w:type="continuationSeparator" w:id="0">
    <w:p w:rsidR="007358BB" w:rsidRDefault="00735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E72" w:rsidRPr="00660535" w:rsidRDefault="00770575" w:rsidP="00A65D81">
    <w:pPr>
      <w:pStyle w:val="Zhlav"/>
      <w:jc w:val="right"/>
      <w:rPr>
        <w:rFonts w:ascii="Calibri" w:hAnsi="Calibri"/>
        <w:sz w:val="18"/>
      </w:rPr>
    </w:pPr>
    <w:r w:rsidRPr="00660535">
      <w:rPr>
        <w:rFonts w:ascii="Calibri" w:hAnsi="Calibri"/>
        <w:sz w:val="18"/>
      </w:rPr>
      <w:t>C</w:t>
    </w:r>
    <w:r>
      <w:rPr>
        <w:rFonts w:ascii="Calibri" w:hAnsi="Calibri"/>
        <w:sz w:val="18"/>
      </w:rPr>
      <w:t>/09/05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5F"/>
    <w:rsid w:val="001775E4"/>
    <w:rsid w:val="0027456A"/>
    <w:rsid w:val="004A7EEF"/>
    <w:rsid w:val="007358BB"/>
    <w:rsid w:val="00770575"/>
    <w:rsid w:val="007E4E22"/>
    <w:rsid w:val="00824E71"/>
    <w:rsid w:val="009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1F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1F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41F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F5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rsid w:val="00941F5F"/>
    <w:rPr>
      <w:rFonts w:cs="Times New Roman"/>
    </w:rPr>
  </w:style>
  <w:style w:type="character" w:customStyle="1" w:styleId="platne">
    <w:name w:val="platne"/>
    <w:rsid w:val="00941F5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1F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1F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41F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1F5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latne1">
    <w:name w:val="platne1"/>
    <w:rsid w:val="00941F5F"/>
    <w:rPr>
      <w:rFonts w:cs="Times New Roman"/>
    </w:rPr>
  </w:style>
  <w:style w:type="character" w:customStyle="1" w:styleId="platne">
    <w:name w:val="platne"/>
    <w:rsid w:val="00941F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SodexoPass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Dryak Zdenek</dc:creator>
  <cp:lastModifiedBy>Hulinova Pavlina</cp:lastModifiedBy>
  <cp:revision>2</cp:revision>
  <dcterms:created xsi:type="dcterms:W3CDTF">2016-08-03T14:48:00Z</dcterms:created>
  <dcterms:modified xsi:type="dcterms:W3CDTF">2016-08-03T14:48:00Z</dcterms:modified>
</cp:coreProperties>
</file>