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A3" w:rsidRDefault="00D26DA3">
      <w:pPr>
        <w:spacing w:line="99" w:lineRule="exact"/>
        <w:rPr>
          <w:sz w:val="8"/>
          <w:szCs w:val="8"/>
        </w:rPr>
      </w:pPr>
    </w:p>
    <w:p w:rsidR="00D26DA3" w:rsidRDefault="00D26DA3">
      <w:pPr>
        <w:spacing w:line="1" w:lineRule="exact"/>
        <w:sectPr w:rsidR="00D26DA3">
          <w:footerReference w:type="default" r:id="rId8"/>
          <w:pgSz w:w="11900" w:h="16840"/>
          <w:pgMar w:top="884" w:right="826" w:bottom="1155" w:left="804" w:header="0" w:footer="3" w:gutter="0"/>
          <w:pgNumType w:start="1"/>
          <w:cols w:space="720"/>
          <w:noEndnote/>
          <w:docGrid w:linePitch="360"/>
        </w:sectPr>
      </w:pPr>
    </w:p>
    <w:p w:rsidR="00D26DA3" w:rsidRDefault="00F43A5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A3" w:rsidRDefault="00F43A5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0.350000000000001pt;margin-top:1.pt;width:187.75pt;height:18.199999999999999pt;z-index:-125829375;mso-wrap-distance-left:0.59999999999999998pt;mso-wrap-distance-right:6.0499999999999998pt;mso-wrap-distance-bottom:15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292100</wp:posOffset>
            </wp:positionV>
            <wp:extent cx="895985" cy="2863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219075</wp:posOffset>
                </wp:positionV>
                <wp:extent cx="1475740" cy="3771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A3" w:rsidRDefault="00F43A5A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D26DA3" w:rsidRDefault="00F43A5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.75pt;margin-top:17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1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975995</wp:posOffset>
                </wp:positionV>
                <wp:extent cx="2444750" cy="11791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76010036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D26DA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D26DA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D26DA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6DA3" w:rsidRDefault="00D26DA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41.7pt;margin-top:76.85pt;width:192.5pt;height:92.85pt;z-index:125829381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76010036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D26DA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D26DA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D26DA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26DA3" w:rsidRDefault="00D26DA3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715010</wp:posOffset>
                </wp:positionV>
                <wp:extent cx="1704975" cy="2025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A3" w:rsidRDefault="00F43A5A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76010036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0.799999999999997pt;margin-top:56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6DA3" w:rsidRDefault="00F43A5A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Krajská správa a údržba silnic Vysočiny, příspěvková organizace Kosovská 16</w:t>
      </w:r>
    </w:p>
    <w:p w:rsidR="00D26DA3" w:rsidRDefault="00F43A5A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D26DA3" w:rsidRDefault="00F43A5A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jc w:val="both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D26DA3" w:rsidRDefault="00F43A5A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12.02.2021</w:t>
      </w:r>
      <w:proofErr w:type="gramEnd"/>
    </w:p>
    <w:p w:rsidR="00D26DA3" w:rsidRDefault="00F43A5A">
      <w:pPr>
        <w:pStyle w:val="Zkladntext1"/>
        <w:shd w:val="clear" w:color="auto" w:fill="auto"/>
        <w:spacing w:after="8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D26DA3" w:rsidRDefault="00F43A5A">
      <w:pPr>
        <w:pStyle w:val="Nadpis10"/>
        <w:keepNext/>
        <w:keepLines/>
        <w:shd w:val="clear" w:color="auto" w:fill="auto"/>
        <w:ind w:firstLine="360"/>
        <w:jc w:val="both"/>
      </w:pPr>
      <w:bookmarkStart w:id="0" w:name="bookmark0"/>
      <w:bookmarkStart w:id="1" w:name="bookmark1"/>
      <w:r>
        <w:t>Energetická agentura Vysočiny</w:t>
      </w:r>
      <w:bookmarkEnd w:id="0"/>
      <w:bookmarkEnd w:id="1"/>
    </w:p>
    <w:p w:rsidR="00D26DA3" w:rsidRDefault="00F43A5A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D26DA3" w:rsidRDefault="00F43A5A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D26DA3" w:rsidRDefault="00F43A5A">
      <w:pPr>
        <w:pStyle w:val="Zkladntext1"/>
        <w:shd w:val="clear" w:color="auto" w:fill="auto"/>
        <w:spacing w:after="760"/>
        <w:ind w:firstLine="360"/>
        <w:jc w:val="both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D26DA3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D26DA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D26DA3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D26DA3" w:rsidRDefault="00D26DA3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D26DA3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586 01 </w:t>
            </w:r>
            <w:r>
              <w:rPr>
                <w:sz w:val="19"/>
                <w:szCs w:val="19"/>
              </w:rPr>
              <w:t>Jihlava</w:t>
            </w:r>
          </w:p>
        </w:tc>
        <w:tc>
          <w:tcPr>
            <w:tcW w:w="1366" w:type="dxa"/>
            <w:shd w:val="clear" w:color="auto" w:fill="FFFFFF"/>
          </w:tcPr>
          <w:p w:rsidR="00D26DA3" w:rsidRDefault="00D26DA3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D26DA3" w:rsidRDefault="00D26DA3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D26DA3" w:rsidRDefault="00D26DA3">
      <w:pPr>
        <w:spacing w:after="139" w:line="1" w:lineRule="exact"/>
      </w:pPr>
    </w:p>
    <w:p w:rsidR="00D26DA3" w:rsidRDefault="00F43A5A">
      <w:pPr>
        <w:pStyle w:val="Nadpis10"/>
        <w:keepNext/>
        <w:keepLines/>
        <w:pBdr>
          <w:top w:val="single" w:sz="4" w:space="0" w:color="auto"/>
        </w:pBdr>
        <w:shd w:val="clear" w:color="auto" w:fill="auto"/>
        <w:ind w:firstLine="0"/>
        <w:jc w:val="both"/>
        <w:rPr>
          <w:sz w:val="20"/>
          <w:szCs w:val="20"/>
        </w:rPr>
      </w:pPr>
      <w:bookmarkStart w:id="2" w:name="bookmark2"/>
      <w:bookmarkStart w:id="3" w:name="bookmark3"/>
      <w:r>
        <w:rPr>
          <w:sz w:val="20"/>
          <w:szCs w:val="20"/>
          <w:u w:val="single"/>
        </w:rPr>
        <w:t>Smluvní podmínky objednávky</w:t>
      </w:r>
      <w:bookmarkEnd w:id="2"/>
      <w:bookmarkEnd w:id="3"/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left="720" w:hanging="340"/>
        <w:jc w:val="both"/>
      </w:pPr>
      <w:r>
        <w:t xml:space="preserve">Smluvní strany prohlašují, že skutečnosti uvedené v této objednávce nepovažují za obchodní tajemství a udělují svolení k jejich zpřístupnění ve smyslu zák. č. 106/1999 Sb. a zveřejnění bez stanovení </w:t>
      </w:r>
      <w:r>
        <w:t>jakýchkoliv dalších podmínek.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bere na vědomí, že objednávka bude zveřejněna v informačním registru veřejné správy v souladu se zák. č. 340/2015 Sb. o registru smluv. Současně se smluvní strany dohodly, že tuto zákonnou povinnost splní objednatel.</w:t>
      </w:r>
      <w:r>
        <w:t xml:space="preserve"> Dodavatel výslovně souhlasí se zveřejněním celého jejího textu.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firstLine="360"/>
        <w:jc w:val="both"/>
      </w:pPr>
      <w:r>
        <w:t>Smluvní vztah se řídí zák. č. 89/2012 Sb. občanský zákoník.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se zavazuje, že v případě nesplnění termínu dodání zaplatí objednateli smluvní pokutu ve výši 0,02% z celkové ceny dodávk</w:t>
      </w:r>
      <w:r>
        <w:t>y bez DPH za každý započatý den prodlení.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Nebude-li z textu faktury zřejmý předmět a rozsah dodávky, bude k faktuře doložen rozpis</w:t>
      </w:r>
      <w:r>
        <w:t xml:space="preserve"> uskutečněné dodávky (např. formou dodacího listu), u provedených prací či služeb bude práce předána předávacím protokolem objednateli.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Objednatel si vyhrazuje právo proplatit fakturu do 30 dnů od dne doručení, pokud bude obsahovat veškeré náležitosti.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Úhr</w:t>
      </w:r>
      <w:r>
        <w:t>ada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 xml:space="preserve">Pokud </w:t>
      </w:r>
      <w:r>
        <w:t>se po dobu účinnosti této smlouvy dodavatel stane nespolehlivým plátcem ve smyslu ustanovení § 106a zákona o DPH, smluvní strany se dohodly, že objednatel uhradí DPH za zdanitelné plnění přímo příslušnému správci daně. Objednatelem takto provedená úhrada j</w:t>
      </w:r>
      <w:r>
        <w:t>e považována za uhrazení příslušné části smluvní ceny rovnající se výši DPH fakturované dodavatelem.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Ustanovení bodů 8) a 9) nebudou použita v případě, že dodavatel není plátcem DPH nebo v případech, kdy se uplatní přenesená daňová povinnost dle § 92a a ná</w:t>
      </w:r>
      <w:r>
        <w:t>sl. zákona o DPH.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</w:t>
      </w:r>
      <w:r>
        <w:t>h prací mimo silniční síť podléhá režimu přenesené daňové povinnosti.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 xml:space="preserve">Smluvní </w:t>
      </w:r>
      <w:r>
        <w:t>pokuta za prodlení s odstraňováním vad činí částku rovnající se 0,02% z celkové ceny plnění, za každý den prodlení s odstraňováním vad.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794"/>
        </w:tabs>
        <w:ind w:firstLine="36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č.096/2020</w:t>
      </w:r>
    </w:p>
    <w:p w:rsidR="00D26DA3" w:rsidRDefault="00F43A5A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spacing w:after="140"/>
        <w:ind w:left="720" w:hanging="340"/>
        <w:jc w:val="both"/>
      </w:pPr>
      <w:r>
        <w:t xml:space="preserve">Smluvní strany se dohodly, že mohou v souladu s § 2894 </w:t>
      </w:r>
      <w:r>
        <w:t>a násl. občanského zákoníku uplatnit i svá práva na náhradu škody v prokázané výši, která jim v souvislosti s porušením smluvní povinnosti druhou smluvní stranou vznikla; k povinnostem, k nimž se vztahují popsané smluvní pokuty, pak i vedle nároku na smluv</w:t>
      </w:r>
      <w:r>
        <w:t>ní pokutu. V případě, že kterékoliv ze stran této smlouvy vznikne povinnost nahradit druhé straně škodu, je povinna nahradit škodu skutečnou i ušlý zisk.</w:t>
      </w:r>
      <w:r>
        <w:br w:type="page"/>
      </w:r>
    </w:p>
    <w:p w:rsidR="00D26DA3" w:rsidRDefault="00F43A5A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83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margin">
                  <wp:posOffset>-19050</wp:posOffset>
                </wp:positionV>
                <wp:extent cx="2384425" cy="2311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A3" w:rsidRDefault="00F43A5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0.299999999999997pt;margin-top:-1.5pt;width:187.75pt;height:18.199999999999999pt;z-index:-125829370;mso-wrap-distance-left:0.59999999999999998pt;mso-wrap-distance-right:6.0499999999999998pt;mso-wrap-distance-bottom:15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5" behindDoc="0" locked="0" layoutInCell="1" allowOverlap="1">
            <wp:simplePos x="0" y="0"/>
            <wp:positionH relativeFrom="page">
              <wp:posOffset>1981835</wp:posOffset>
            </wp:positionH>
            <wp:positionV relativeFrom="margin">
              <wp:posOffset>260350</wp:posOffset>
            </wp:positionV>
            <wp:extent cx="895985" cy="28638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margin">
                  <wp:posOffset>187325</wp:posOffset>
                </wp:positionV>
                <wp:extent cx="1475740" cy="3771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A3" w:rsidRDefault="00F43A5A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D26DA3" w:rsidRDefault="00F43A5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9.700000000000003pt;margin-top:14.75pt;width:116.2pt;height:29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6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margin">
                  <wp:posOffset>944245</wp:posOffset>
                </wp:positionV>
                <wp:extent cx="2444750" cy="11791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Číslo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76010036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D26DA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D26DA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D26DA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6DA3" w:rsidRDefault="00D26DA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41.65pt;margin-top:74.35pt;width:192.5pt;height:92.85pt;z-index:125829386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Číslo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76010036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D26DA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D26DA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D26DA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26DA3" w:rsidRDefault="00D26DA3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margin">
                  <wp:posOffset>683260</wp:posOffset>
                </wp:positionV>
                <wp:extent cx="1704975" cy="20256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A3" w:rsidRDefault="00F43A5A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76010036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0.75pt;margin-top:53.799999999999997pt;width:134.25pt;height:15.949999999999999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76010036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>Krajská správa a údržba silnic Vysočiny, příspěvková organizace Kosovská 16</w:t>
      </w:r>
    </w:p>
    <w:p w:rsidR="00D26DA3" w:rsidRDefault="00F43A5A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D26DA3" w:rsidRDefault="00F43A5A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D26DA3" w:rsidRDefault="00F43A5A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12.02.2021</w:t>
      </w:r>
      <w:proofErr w:type="gramEnd"/>
    </w:p>
    <w:p w:rsidR="00D26DA3" w:rsidRDefault="00F43A5A">
      <w:pPr>
        <w:pStyle w:val="Nadpis10"/>
        <w:keepNext/>
        <w:keepLines/>
        <w:shd w:val="clear" w:color="auto" w:fill="auto"/>
        <w:spacing w:after="80"/>
        <w:ind w:firstLine="0"/>
      </w:pPr>
      <w:bookmarkStart w:id="4" w:name="bookmark4"/>
      <w:bookmarkStart w:id="5" w:name="bookmark5"/>
      <w:r>
        <w:t>Dodavatel:</w:t>
      </w:r>
      <w:bookmarkEnd w:id="4"/>
      <w:bookmarkEnd w:id="5"/>
    </w:p>
    <w:p w:rsidR="00D26DA3" w:rsidRDefault="00F43A5A">
      <w:pPr>
        <w:pStyle w:val="Nadpis10"/>
        <w:keepNext/>
        <w:keepLines/>
        <w:shd w:val="clear" w:color="auto" w:fill="auto"/>
        <w:ind w:firstLine="460"/>
      </w:pPr>
      <w:bookmarkStart w:id="6" w:name="bookmark6"/>
      <w:bookmarkStart w:id="7" w:name="bookmark7"/>
      <w:r>
        <w:t>Energetická agentura Vysočiny</w:t>
      </w:r>
      <w:bookmarkEnd w:id="6"/>
      <w:bookmarkEnd w:id="7"/>
    </w:p>
    <w:p w:rsidR="00D26DA3" w:rsidRDefault="00F43A5A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D26DA3" w:rsidRDefault="00F43A5A">
      <w:pPr>
        <w:pStyle w:val="Zkladntext1"/>
        <w:shd w:val="clear" w:color="auto" w:fill="auto"/>
        <w:ind w:firstLine="460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D26DA3" w:rsidRDefault="00F43A5A">
      <w:pPr>
        <w:pStyle w:val="Zkladntext1"/>
        <w:shd w:val="clear" w:color="auto" w:fill="auto"/>
        <w:spacing w:after="760"/>
        <w:ind w:firstLine="460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D26DA3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D26DA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D26DA3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D26DA3" w:rsidRDefault="00D26DA3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D26DA3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 Jihlava</w:t>
            </w:r>
          </w:p>
        </w:tc>
        <w:tc>
          <w:tcPr>
            <w:tcW w:w="1366" w:type="dxa"/>
            <w:shd w:val="clear" w:color="auto" w:fill="FFFFFF"/>
          </w:tcPr>
          <w:p w:rsidR="00D26DA3" w:rsidRDefault="00D26DA3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D26DA3" w:rsidRDefault="00D26DA3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D26DA3" w:rsidRDefault="00F43A5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D26DA3" w:rsidRDefault="00D26DA3">
      <w:pPr>
        <w:spacing w:after="139" w:line="1" w:lineRule="exact"/>
      </w:pPr>
    </w:p>
    <w:p w:rsidR="00D26DA3" w:rsidRDefault="00D26DA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D26DA3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A3" w:rsidRDefault="00F43A5A">
            <w:pPr>
              <w:pStyle w:val="Jin0"/>
              <w:framePr w:w="10213" w:h="733" w:hSpace="12" w:vSpace="612" w:wrap="notBeside" w:vAnchor="text" w:hAnchor="text" w:x="29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A3" w:rsidRDefault="00F43A5A">
            <w:pPr>
              <w:pStyle w:val="Jin0"/>
              <w:framePr w:w="10213" w:h="733" w:hSpace="12" w:vSpace="612" w:wrap="notBeside" w:vAnchor="text" w:hAnchor="text" w:x="29" w:y="1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A3" w:rsidRDefault="00F43A5A">
            <w:pPr>
              <w:pStyle w:val="Jin0"/>
              <w:framePr w:w="10213" w:h="733" w:hSpace="12" w:vSpace="612" w:wrap="notBeside" w:vAnchor="text" w:hAnchor="text" w:x="29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A3" w:rsidRDefault="00F43A5A">
            <w:pPr>
              <w:pStyle w:val="Jin0"/>
              <w:framePr w:w="10213" w:h="733" w:hSpace="12" w:vSpace="612" w:wrap="notBeside" w:vAnchor="text" w:hAnchor="text" w:x="29" w:y="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A3" w:rsidRDefault="00F43A5A">
            <w:pPr>
              <w:pStyle w:val="Jin0"/>
              <w:framePr w:w="10213" w:h="733" w:hSpace="12" w:vSpace="612" w:wrap="notBeside" w:vAnchor="text" w:hAnchor="text" w:x="29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A3" w:rsidRDefault="00F43A5A">
            <w:pPr>
              <w:pStyle w:val="Jin0"/>
              <w:framePr w:w="10213" w:h="733" w:hSpace="12" w:vSpace="612" w:wrap="notBeside" w:vAnchor="text" w:hAnchor="text" w:x="29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A3" w:rsidRDefault="00F43A5A">
            <w:pPr>
              <w:pStyle w:val="Jin0"/>
              <w:framePr w:w="10213" w:h="733" w:hSpace="12" w:vSpace="612" w:wrap="notBeside" w:vAnchor="text" w:hAnchor="text" w:x="29" w:y="1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DA3" w:rsidRDefault="00F43A5A">
            <w:pPr>
              <w:pStyle w:val="Jin0"/>
              <w:framePr w:w="10213" w:h="733" w:hSpace="12" w:vSpace="612" w:wrap="notBeside" w:vAnchor="text" w:hAnchor="text" w:x="29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D26DA3" w:rsidRDefault="00F43A5A">
      <w:pPr>
        <w:pStyle w:val="Titulektabulky0"/>
        <w:framePr w:w="2472" w:h="609" w:hSpace="16" w:wrap="notBeside" w:vAnchor="text" w:hAnchor="text" w:x="17" w:y="737"/>
        <w:shd w:val="clear" w:color="auto" w:fill="auto"/>
      </w:pPr>
      <w:r>
        <w:t>Zpracování žádosti o dotaci „Revitalizace areálu KSÚSV - středisko Velká Bíteš“</w:t>
      </w:r>
    </w:p>
    <w:p w:rsidR="00D26DA3" w:rsidRDefault="00F43A5A">
      <w:pPr>
        <w:pStyle w:val="Titulektabulky0"/>
        <w:framePr w:w="1878" w:h="263" w:hSpace="16" w:wrap="notBeside" w:vAnchor="text" w:hAnchor="text" w:x="3500" w:y="737"/>
        <w:shd w:val="clear" w:color="auto" w:fill="auto"/>
      </w:pPr>
      <w:r>
        <w:t>32 231,40 1,00</w:t>
      </w:r>
    </w:p>
    <w:p w:rsidR="00D26DA3" w:rsidRDefault="00F43A5A">
      <w:pPr>
        <w:pStyle w:val="Titulektabulky0"/>
        <w:framePr w:w="3945" w:h="263" w:hSpace="16" w:wrap="notBeside" w:vAnchor="text" w:hAnchor="text" w:x="6309" w:y="737"/>
        <w:shd w:val="clear" w:color="auto" w:fill="auto"/>
      </w:pPr>
      <w:r>
        <w:t>32 231,40 21 6 768,60 39 000,00</w:t>
      </w:r>
    </w:p>
    <w:p w:rsidR="00D26DA3" w:rsidRDefault="00D26DA3">
      <w:pPr>
        <w:spacing w:line="1" w:lineRule="exact"/>
      </w:pPr>
    </w:p>
    <w:p w:rsidR="00D26DA3" w:rsidRDefault="00F43A5A">
      <w:pPr>
        <w:pStyle w:val="Zkladntext30"/>
        <w:shd w:val="clear" w:color="auto" w:fill="auto"/>
      </w:pPr>
      <w:r>
        <w:t xml:space="preserve">Dle rámcové dohody o zajištění služeb č. </w:t>
      </w:r>
      <w:r>
        <w:t>096/2020-KSÚSV</w:t>
      </w:r>
    </w:p>
    <w:p w:rsidR="00D26DA3" w:rsidRDefault="00F43A5A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Věcná správnost</w:t>
      </w:r>
    </w:p>
    <w:p w:rsidR="00D26DA3" w:rsidRDefault="00F43A5A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Příkazce</w:t>
      </w:r>
    </w:p>
    <w:p w:rsidR="00D26DA3" w:rsidRDefault="00F43A5A">
      <w:pPr>
        <w:pStyle w:val="Zkladntext1"/>
        <w:shd w:val="clear" w:color="auto" w:fill="auto"/>
        <w:spacing w:after="520"/>
        <w:ind w:left="5000"/>
        <w:rPr>
          <w:sz w:val="19"/>
          <w:szCs w:val="19"/>
        </w:rPr>
      </w:pPr>
      <w:r>
        <w:rPr>
          <w:sz w:val="19"/>
          <w:szCs w:val="19"/>
        </w:rPr>
        <w:t>Správce rozpočtu</w:t>
      </w:r>
    </w:p>
    <w:p w:rsidR="00D26DA3" w:rsidRDefault="00F43A5A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Vystavil:</w:t>
      </w:r>
    </w:p>
    <w:p w:rsidR="00D26DA3" w:rsidRDefault="00F43A5A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9525" distB="0" distL="114300" distR="2722245" simplePos="0" relativeHeight="12582938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margin">
                  <wp:posOffset>7305675</wp:posOffset>
                </wp:positionV>
                <wp:extent cx="3034030" cy="6724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672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  <w:gridCol w:w="3347"/>
                            </w:tblGrid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7"/>
                                <w:tblHeader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D26DA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6D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0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F43A5A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6DA3" w:rsidRDefault="00D26DA3"/>
                              </w:tc>
                            </w:tr>
                          </w:tbl>
                          <w:p w:rsidR="00D26DA3" w:rsidRDefault="00D26DA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left:0;text-align:left;margin-left:48.4pt;margin-top:575.25pt;width:238.9pt;height:52.95pt;z-index:125829388;visibility:visible;mso-wrap-style:square;mso-wrap-distance-left:9pt;mso-wrap-distance-top:.75pt;mso-wrap-distance-right:214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6hhQEAAAUDAAAOAAAAZHJzL2Uyb0RvYy54bWysUstOwzAQvCPxD5bvNOmDUkV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  <w:gridCol w:w="3347"/>
                      </w:tblGrid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7"/>
                          <w:tblHeader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D26DA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6D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0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F43A5A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6DA3" w:rsidRDefault="00D26DA3"/>
                        </w:tc>
                      </w:tr>
                    </w:tbl>
                    <w:p w:rsidR="00D26DA3" w:rsidRDefault="00D26DA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2920" distL="3187700" distR="114300" simplePos="0" relativeHeight="125829390" behindDoc="0" locked="0" layoutInCell="1" allowOverlap="1">
                <wp:simplePos x="0" y="0"/>
                <wp:positionH relativeFrom="page">
                  <wp:posOffset>3688080</wp:posOffset>
                </wp:positionH>
                <wp:positionV relativeFrom="margin">
                  <wp:posOffset>7296150</wp:posOffset>
                </wp:positionV>
                <wp:extent cx="2568575" cy="1784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DA3" w:rsidRDefault="00F43A5A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Orientační cena objednávky s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: 39 000,00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90.39999999999998pt;margin-top:574.5pt;width:202.25pt;height:14.050000000000001pt;z-index:-125829363;mso-wrap-distance-left:251.pt;mso-wrap-distance-right:9.pt;mso-wrap-distance-bottom:39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Orientační cena objednávky s Dph: 39 000,00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 xml:space="preserve">Tisk: </w:t>
      </w:r>
      <w:proofErr w:type="gramStart"/>
      <w:r>
        <w:rPr>
          <w:sz w:val="19"/>
          <w:szCs w:val="19"/>
        </w:rPr>
        <w:t>22.02.2021</w:t>
      </w:r>
      <w:proofErr w:type="gramEnd"/>
    </w:p>
    <w:p w:rsidR="00D26DA3" w:rsidRDefault="00F43A5A">
      <w:pPr>
        <w:pStyle w:val="Zkladntext1"/>
        <w:shd w:val="clear" w:color="auto" w:fill="auto"/>
        <w:spacing w:after="320"/>
        <w:ind w:left="7100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D26DA3" w:rsidRDefault="00F43A5A">
      <w:pPr>
        <w:pStyle w:val="Zkladntext20"/>
        <w:shd w:val="clear" w:color="auto" w:fill="auto"/>
        <w:jc w:val="both"/>
      </w:pPr>
      <w:r>
        <w:lastRenderedPageBreak/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F43A5A" w:rsidRDefault="00F43A5A">
      <w:pPr>
        <w:pStyle w:val="Zkladntext20"/>
        <w:shd w:val="clear" w:color="auto" w:fill="auto"/>
        <w:jc w:val="both"/>
      </w:pPr>
    </w:p>
    <w:p w:rsidR="00F43A5A" w:rsidRDefault="00F43A5A">
      <w:pPr>
        <w:pStyle w:val="Zkladntext20"/>
        <w:shd w:val="clear" w:color="auto" w:fill="auto"/>
        <w:jc w:val="both"/>
      </w:pPr>
    </w:p>
    <w:p w:rsidR="00F43A5A" w:rsidRDefault="00F43A5A">
      <w:pPr>
        <w:pStyle w:val="Zkladntext20"/>
        <w:shd w:val="clear" w:color="auto" w:fill="auto"/>
        <w:jc w:val="both"/>
      </w:pPr>
    </w:p>
    <w:p w:rsidR="00F43A5A" w:rsidRDefault="00F43A5A">
      <w:pPr>
        <w:pStyle w:val="Zkladntext20"/>
        <w:shd w:val="clear" w:color="auto" w:fill="auto"/>
        <w:jc w:val="both"/>
      </w:pPr>
    </w:p>
    <w:p w:rsidR="00F43A5A" w:rsidRDefault="00F43A5A" w:rsidP="00F43A5A">
      <w:pPr>
        <w:outlineLvl w:val="0"/>
        <w:rPr>
          <w:rFonts w:ascii="Times New Roman" w:hAnsi="Times New Roman" w:cs="Times New Roman"/>
        </w:rPr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hyperlink r:id="rId11" w:history="1">
        <w:r w:rsidRPr="002407FE">
          <w:rPr>
            <w:rStyle w:val="Hypertextovodkaz"/>
          </w:rPr>
          <w:t>xxxxxxxxxxxcz</w:t>
        </w:r>
      </w:hyperlink>
      <w:r>
        <w:t xml:space="preserve"> &lt;</w:t>
      </w:r>
      <w:hyperlink r:id="rId12" w:history="1">
        <w:r w:rsidRPr="002407FE">
          <w:rPr>
            <w:rStyle w:val="Hypertextovodkaz"/>
          </w:rPr>
          <w:t>xxxxxxxxx@eav.cz</w:t>
        </w:r>
      </w:hyperlink>
      <w:r>
        <w:t>&gt;</w:t>
      </w:r>
      <w:r>
        <w:br/>
      </w:r>
      <w:r>
        <w:rPr>
          <w:b/>
          <w:bCs/>
        </w:rPr>
        <w:t>Odesláno:</w:t>
      </w:r>
      <w:r>
        <w:t xml:space="preserve"> 22. února 2021 7:44:59</w:t>
      </w:r>
      <w:r>
        <w:br/>
      </w:r>
      <w:r>
        <w:rPr>
          <w:b/>
          <w:bCs/>
        </w:rPr>
        <w:t>Komu:</w:t>
      </w:r>
      <w:r>
        <w:t xml:space="preserve"> </w:t>
      </w:r>
      <w:proofErr w:type="spellStart"/>
      <w:r>
        <w:t>xxxxxxxx</w:t>
      </w:r>
      <w:proofErr w:type="spellEnd"/>
      <w:r>
        <w:br/>
      </w:r>
      <w:r>
        <w:rPr>
          <w:b/>
          <w:bCs/>
        </w:rPr>
        <w:t>Předmět:</w:t>
      </w:r>
      <w:r>
        <w:t xml:space="preserve"> RE: objednávky</w:t>
      </w:r>
      <w:r>
        <w:rPr>
          <w:rFonts w:ascii="Times New Roman" w:hAnsi="Times New Roman" w:cs="Times New Roman"/>
        </w:rPr>
        <w:t xml:space="preserve"> </w:t>
      </w:r>
    </w:p>
    <w:p w:rsidR="00F43A5A" w:rsidRDefault="00F43A5A" w:rsidP="00F43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F43A5A" w:rsidRDefault="00F43A5A" w:rsidP="00F43A5A">
      <w:pPr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xxxxxxxxxxxx</w:t>
      </w:r>
      <w:proofErr w:type="spellEnd"/>
      <w:r>
        <w:rPr>
          <w:lang w:eastAsia="en-US"/>
        </w:rPr>
        <w:t>,</w:t>
      </w:r>
    </w:p>
    <w:p w:rsidR="00F43A5A" w:rsidRDefault="00F43A5A" w:rsidP="00F43A5A">
      <w:pPr>
        <w:rPr>
          <w:lang w:eastAsia="en-US"/>
        </w:rPr>
      </w:pPr>
    </w:p>
    <w:p w:rsidR="00F43A5A" w:rsidRDefault="00F43A5A" w:rsidP="00F43A5A">
      <w:pPr>
        <w:rPr>
          <w:lang w:eastAsia="en-US"/>
        </w:rPr>
      </w:pPr>
      <w:r>
        <w:rPr>
          <w:lang w:eastAsia="en-US"/>
        </w:rPr>
        <w:t>akceptujeme následující objednávky, zaslané dne 17. 2. 2021</w:t>
      </w:r>
    </w:p>
    <w:p w:rsidR="00F43A5A" w:rsidRDefault="00F43A5A" w:rsidP="00F43A5A">
      <w:pPr>
        <w:rPr>
          <w:lang w:eastAsia="en-US"/>
        </w:rPr>
      </w:pPr>
    </w:p>
    <w:p w:rsidR="00F43A5A" w:rsidRDefault="00F43A5A" w:rsidP="00F43A5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76010036 – zpracování žádosti o dotaci „Revitalizace areálu KSÚSV – středisko Velká Bíteš“</w:t>
      </w:r>
    </w:p>
    <w:p w:rsidR="00F43A5A" w:rsidRDefault="00F43A5A" w:rsidP="00F43A5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76010044 – zpracování odborného posudku na výskyt rorýsů „Revitalizace areálu KSÚSV – středisko Velká Bíteš“</w:t>
      </w:r>
    </w:p>
    <w:p w:rsidR="00F43A5A" w:rsidRDefault="00F43A5A" w:rsidP="00F43A5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76010039 - zpracování žádosti o dotaci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F43A5A" w:rsidRDefault="00F43A5A" w:rsidP="00F43A5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76010047 - zpracování odborného posudku na výskyt rorýsů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F43A5A" w:rsidRDefault="00F43A5A" w:rsidP="00F43A5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76010037 - zpracování žádosti o dotaci „Revitalizace areálu KSÚSV Žďár nad Sázavou“</w:t>
      </w:r>
    </w:p>
    <w:p w:rsidR="00F43A5A" w:rsidRDefault="00F43A5A" w:rsidP="00F43A5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76010045 - zpracování odborného posudku na výskyt rorýsů „Revitalizace areálu KSÚSV Žďár nad Sázavou“</w:t>
      </w:r>
    </w:p>
    <w:p w:rsidR="00F43A5A" w:rsidRDefault="00F43A5A" w:rsidP="00F43A5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76010046 - zpracování odborného posudku na výskyt rorýsů „Revitalizace areálu KSÚSV CM Havlíčkův Brod“</w:t>
      </w:r>
    </w:p>
    <w:p w:rsidR="00F43A5A" w:rsidRDefault="00F43A5A" w:rsidP="00F43A5A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76010038 - zpracování žádosti o dotaci „Revitalizace areálu KSÚSV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Havlíčkův Brod“</w:t>
      </w:r>
    </w:p>
    <w:p w:rsidR="00F43A5A" w:rsidRDefault="00F43A5A" w:rsidP="00F43A5A">
      <w:pPr>
        <w:rPr>
          <w:lang w:eastAsia="en-US"/>
        </w:rPr>
      </w:pPr>
    </w:p>
    <w:p w:rsidR="00F43A5A" w:rsidRDefault="00F43A5A" w:rsidP="00F43A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F43A5A" w:rsidRDefault="00F43A5A" w:rsidP="00F43A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43A5A" w:rsidRDefault="00F43A5A" w:rsidP="00F43A5A">
      <w:p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xxxxxxxxxxx</w:t>
      </w:r>
      <w:proofErr w:type="spellEnd"/>
    </w:p>
    <w:p w:rsidR="00F43A5A" w:rsidRDefault="00F43A5A" w:rsidP="00F43A5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43A5A" w:rsidRDefault="00F43A5A" w:rsidP="00F43A5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43A5A" w:rsidRDefault="00F43A5A" w:rsidP="00F43A5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43A5A" w:rsidRDefault="00F43A5A" w:rsidP="00F43A5A">
      <w:pPr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Energetická agentura Vysočiny</w:t>
      </w:r>
    </w:p>
    <w:p w:rsidR="00F43A5A" w:rsidRDefault="00F43A5A" w:rsidP="00F43A5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Nerudova 1498/8</w:t>
      </w:r>
    </w:p>
    <w:p w:rsidR="00F43A5A" w:rsidRDefault="00F43A5A" w:rsidP="00F43A5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58601 Jihlava</w:t>
      </w:r>
    </w:p>
    <w:p w:rsidR="00F43A5A" w:rsidRDefault="00F43A5A" w:rsidP="00F43A5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</w:rPr>
        <w:t>xxxxxxxxxxxxxx</w:t>
      </w:r>
      <w:bookmarkStart w:id="8" w:name="_GoBack"/>
      <w:bookmarkEnd w:id="8"/>
    </w:p>
    <w:p w:rsidR="00F43A5A" w:rsidRDefault="00F43A5A">
      <w:pPr>
        <w:pStyle w:val="Zkladntext20"/>
        <w:shd w:val="clear" w:color="auto" w:fill="auto"/>
        <w:jc w:val="both"/>
      </w:pPr>
    </w:p>
    <w:sectPr w:rsidR="00F43A5A">
      <w:type w:val="continuous"/>
      <w:pgSz w:w="11900" w:h="16840"/>
      <w:pgMar w:top="884" w:right="826" w:bottom="1155" w:left="804" w:header="4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3A5A">
      <w:r>
        <w:separator/>
      </w:r>
    </w:p>
  </w:endnote>
  <w:endnote w:type="continuationSeparator" w:id="0">
    <w:p w:rsidR="00000000" w:rsidRDefault="00F4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A3" w:rsidRDefault="00F43A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6182995</wp:posOffset>
              </wp:positionH>
              <wp:positionV relativeFrom="page">
                <wp:posOffset>10023475</wp:posOffset>
              </wp:positionV>
              <wp:extent cx="570865" cy="1352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35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6DA3" w:rsidRDefault="00F43A5A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3A5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486.85pt;margin-top:789.25pt;width:44.95pt;height:10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" filled="f" stroked="f">
              <v:textbox style="mso-fit-shape-to-text:t" inset="0,0,0,0">
                <w:txbxContent>
                  <w:p w:rsidR="00D26DA3" w:rsidRDefault="00F43A5A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3A5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A3" w:rsidRDefault="00D26DA3"/>
  </w:footnote>
  <w:footnote w:type="continuationSeparator" w:id="0">
    <w:p w:rsidR="00D26DA3" w:rsidRDefault="00D26D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3130"/>
    <w:multiLevelType w:val="multilevel"/>
    <w:tmpl w:val="9CB8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26DA3"/>
    <w:rsid w:val="00D26DA3"/>
    <w:rsid w:val="00F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3A5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A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3A5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A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x@e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xx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5564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2021-02-22T11:36:00Z</dcterms:created>
  <dcterms:modified xsi:type="dcterms:W3CDTF">2021-02-22T11:38:00Z</dcterms:modified>
</cp:coreProperties>
</file>