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C16" w:rsidRDefault="00AE26AB">
      <w:pPr>
        <w:pStyle w:val="Nzev"/>
        <w:spacing w:before="73"/>
        <w:ind w:left="3283" w:right="3148"/>
      </w:pPr>
      <w:r>
        <w:rPr>
          <w:color w:val="808080"/>
        </w:rPr>
        <w:t>Smlouva č. 1191100042 o poskytnutí podpory</w:t>
      </w:r>
    </w:p>
    <w:p w:rsidR="00DF1C16" w:rsidRDefault="00AE26AB">
      <w:pPr>
        <w:pStyle w:val="Nzev"/>
      </w:pPr>
      <w:r>
        <w:rPr>
          <w:color w:val="808080"/>
        </w:rPr>
        <w:t>ze Státního fondu životního prostředí České republiky</w:t>
      </w:r>
    </w:p>
    <w:p w:rsidR="00DF1C16" w:rsidRDefault="00DF1C16">
      <w:pPr>
        <w:pStyle w:val="Zkladntext"/>
        <w:ind w:left="0"/>
        <w:jc w:val="left"/>
        <w:rPr>
          <w:sz w:val="60"/>
        </w:rPr>
      </w:pPr>
    </w:p>
    <w:p w:rsidR="00DF1C16" w:rsidRDefault="00AE26AB">
      <w:pPr>
        <w:pStyle w:val="Zkladntext"/>
        <w:ind w:left="242"/>
        <w:jc w:val="left"/>
      </w:pPr>
      <w:r>
        <w:t>Smluvní strany</w:t>
      </w:r>
    </w:p>
    <w:p w:rsidR="00DF1C16" w:rsidRDefault="00DF1C16">
      <w:pPr>
        <w:pStyle w:val="Zkladntext"/>
        <w:spacing w:before="1"/>
        <w:ind w:left="0"/>
        <w:jc w:val="left"/>
      </w:pPr>
    </w:p>
    <w:p w:rsidR="00DF1C16" w:rsidRDefault="00AE26AB">
      <w:pPr>
        <w:pStyle w:val="Nadpis1"/>
        <w:spacing w:line="265" w:lineRule="exact"/>
        <w:ind w:right="0"/>
        <w:jc w:val="left"/>
      </w:pPr>
      <w:r>
        <w:t>Státní fond životního prostředí České republiky</w:t>
      </w:r>
    </w:p>
    <w:p w:rsidR="00DF1C16" w:rsidRDefault="00AE26AB">
      <w:pPr>
        <w:pStyle w:val="Zkladntext"/>
        <w:tabs>
          <w:tab w:val="left" w:pos="3122"/>
        </w:tabs>
        <w:spacing w:line="265" w:lineRule="exact"/>
        <w:ind w:left="242"/>
        <w:jc w:val="left"/>
      </w:pPr>
      <w:r>
        <w:t>se</w:t>
      </w:r>
      <w:r>
        <w:rPr>
          <w:spacing w:val="-4"/>
        </w:rPr>
        <w:t xml:space="preserve"> </w:t>
      </w:r>
      <w:r>
        <w:t>sídlem:</w:t>
      </w:r>
      <w:r>
        <w:tab/>
        <w:t>Kaplanova 1931/1, 148 00 Praha</w:t>
      </w:r>
      <w:r>
        <w:rPr>
          <w:spacing w:val="-4"/>
        </w:rPr>
        <w:t xml:space="preserve"> </w:t>
      </w:r>
      <w:r>
        <w:t>11</w:t>
      </w:r>
    </w:p>
    <w:p w:rsidR="00DF1C16" w:rsidRDefault="00AE26AB">
      <w:pPr>
        <w:pStyle w:val="Zkladntext"/>
        <w:tabs>
          <w:tab w:val="left" w:pos="3122"/>
        </w:tabs>
        <w:ind w:left="242"/>
        <w:jc w:val="left"/>
      </w:pPr>
      <w:r>
        <w:t>korespondenční</w:t>
      </w:r>
      <w:r>
        <w:rPr>
          <w:spacing w:val="-4"/>
        </w:rPr>
        <w:t xml:space="preserve"> </w:t>
      </w:r>
      <w:r>
        <w:t>adresa:</w:t>
      </w:r>
      <w:r>
        <w:tab/>
      </w:r>
      <w:r>
        <w:t>Olbrachtova 2006/9, 140 00 Praha</w:t>
      </w:r>
      <w:r>
        <w:rPr>
          <w:spacing w:val="-2"/>
        </w:rPr>
        <w:t xml:space="preserve"> </w:t>
      </w:r>
      <w:r>
        <w:t>4</w:t>
      </w:r>
    </w:p>
    <w:p w:rsidR="00DF1C16" w:rsidRDefault="00AE26AB">
      <w:pPr>
        <w:pStyle w:val="Zkladntext"/>
        <w:tabs>
          <w:tab w:val="right" w:pos="3986"/>
        </w:tabs>
        <w:spacing w:before="1"/>
        <w:ind w:left="242"/>
        <w:jc w:val="left"/>
      </w:pPr>
      <w:r>
        <w:t>IČO:</w:t>
      </w:r>
      <w:r>
        <w:tab/>
        <w:t>00020729</w:t>
      </w:r>
    </w:p>
    <w:p w:rsidR="00DF1C16" w:rsidRDefault="00AE26AB">
      <w:pPr>
        <w:pStyle w:val="Zkladntext"/>
        <w:tabs>
          <w:tab w:val="left" w:pos="3122"/>
        </w:tabs>
        <w:ind w:left="242"/>
        <w:jc w:val="left"/>
      </w:pPr>
      <w:r>
        <w:t>zastoupený:</w:t>
      </w:r>
      <w:r>
        <w:tab/>
        <w:t>Ing.</w:t>
      </w:r>
      <w:r>
        <w:rPr>
          <w:spacing w:val="-1"/>
        </w:rPr>
        <w:t xml:space="preserve"> </w:t>
      </w:r>
      <w:r>
        <w:t>Petrem</w:t>
      </w:r>
      <w:r>
        <w:rPr>
          <w:spacing w:val="-1"/>
        </w:rPr>
        <w:t xml:space="preserve"> </w:t>
      </w:r>
      <w:r>
        <w:t>V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</w:t>
      </w:r>
      <w:r>
        <w:rPr>
          <w:spacing w:val="-15"/>
        </w:rPr>
        <w:t xml:space="preserve"> </w:t>
      </w:r>
      <w:r>
        <w:t>d</w:t>
      </w:r>
      <w:r>
        <w:rPr>
          <w:spacing w:val="-15"/>
        </w:rPr>
        <w:t xml:space="preserve"> </w:t>
      </w:r>
      <w:r>
        <w:t>m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n</w:t>
      </w:r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m, ředitelem</w:t>
      </w:r>
    </w:p>
    <w:p w:rsidR="00DF1C16" w:rsidRDefault="00AE26AB">
      <w:pPr>
        <w:pStyle w:val="Zkladntext"/>
        <w:tabs>
          <w:tab w:val="left" w:pos="3122"/>
        </w:tabs>
        <w:ind w:left="242"/>
        <w:jc w:val="left"/>
      </w:pPr>
      <w:r>
        <w:t>bankovní</w:t>
      </w:r>
      <w:r>
        <w:rPr>
          <w:spacing w:val="-4"/>
        </w:rPr>
        <w:t xml:space="preserve"> </w:t>
      </w:r>
      <w:r>
        <w:t>spojení:</w:t>
      </w:r>
      <w:r>
        <w:tab/>
        <w:t>Česká národní</w:t>
      </w:r>
      <w:r>
        <w:rPr>
          <w:spacing w:val="-2"/>
        </w:rPr>
        <w:t xml:space="preserve"> </w:t>
      </w:r>
      <w:r>
        <w:t>banka</w:t>
      </w:r>
    </w:p>
    <w:p w:rsidR="00DF1C16" w:rsidRDefault="00AE26AB">
      <w:pPr>
        <w:pStyle w:val="Zkladntext"/>
        <w:tabs>
          <w:tab w:val="left" w:pos="3122"/>
        </w:tabs>
        <w:spacing w:before="4" w:line="237" w:lineRule="auto"/>
        <w:ind w:left="242" w:right="4751"/>
        <w:jc w:val="left"/>
      </w:pPr>
      <w:r>
        <w:t>číslo</w:t>
      </w:r>
      <w:r>
        <w:rPr>
          <w:spacing w:val="-2"/>
        </w:rPr>
        <w:t xml:space="preserve"> </w:t>
      </w:r>
      <w:r>
        <w:t>účtu:</w:t>
      </w:r>
      <w:r>
        <w:tab/>
      </w:r>
      <w:r>
        <w:rPr>
          <w:w w:val="95"/>
        </w:rPr>
        <w:t xml:space="preserve">40002-9025001/0710 </w:t>
      </w:r>
      <w:r>
        <w:t>(dále jen</w:t>
      </w:r>
      <w:r>
        <w:rPr>
          <w:spacing w:val="-2"/>
        </w:rPr>
        <w:t xml:space="preserve"> </w:t>
      </w:r>
      <w:r>
        <w:t>„Fond")</w:t>
      </w:r>
    </w:p>
    <w:p w:rsidR="00DF1C16" w:rsidRDefault="00DF1C16">
      <w:pPr>
        <w:pStyle w:val="Zkladntext"/>
        <w:spacing w:before="1"/>
        <w:ind w:left="0"/>
        <w:jc w:val="left"/>
      </w:pPr>
    </w:p>
    <w:p w:rsidR="00DF1C16" w:rsidRDefault="00AE26AB">
      <w:pPr>
        <w:pStyle w:val="Zkladntext"/>
        <w:spacing w:before="1"/>
        <w:ind w:left="242"/>
        <w:jc w:val="left"/>
      </w:pPr>
      <w:r>
        <w:rPr>
          <w:w w:val="99"/>
        </w:rPr>
        <w:t>a</w:t>
      </w:r>
    </w:p>
    <w:p w:rsidR="00DF1C16" w:rsidRDefault="00DF1C16">
      <w:pPr>
        <w:pStyle w:val="Zkladntext"/>
        <w:ind w:left="0"/>
        <w:jc w:val="left"/>
      </w:pPr>
    </w:p>
    <w:p w:rsidR="00DF1C16" w:rsidRDefault="00AE26AB">
      <w:pPr>
        <w:pStyle w:val="Nadpis1"/>
        <w:ind w:right="0"/>
        <w:jc w:val="left"/>
      </w:pPr>
      <w:r>
        <w:t>Služby obce Slatinice s.r.o.</w:t>
      </w:r>
    </w:p>
    <w:p w:rsidR="00DF1C16" w:rsidRDefault="00AE26AB">
      <w:pPr>
        <w:pStyle w:val="Zkladntext"/>
        <w:spacing w:before="3" w:line="237" w:lineRule="auto"/>
        <w:ind w:left="242" w:right="1517"/>
        <w:jc w:val="left"/>
      </w:pPr>
      <w:r>
        <w:t>obchodní společnost zapsaná v obchodním rejstříku vedeném Krajským soudem v Ostravě, oddíl C, vložka 63668</w:t>
      </w:r>
    </w:p>
    <w:p w:rsidR="00DF1C16" w:rsidRDefault="00AE26AB">
      <w:pPr>
        <w:pStyle w:val="Zkladntext"/>
        <w:tabs>
          <w:tab w:val="left" w:pos="3117"/>
        </w:tabs>
        <w:spacing w:before="1"/>
        <w:ind w:left="242"/>
        <w:jc w:val="left"/>
      </w:pPr>
      <w:r>
        <w:t>se</w:t>
      </w:r>
      <w:r>
        <w:rPr>
          <w:spacing w:val="-4"/>
        </w:rPr>
        <w:t xml:space="preserve"> </w:t>
      </w:r>
      <w:r>
        <w:t>sídlem:</w:t>
      </w:r>
      <w:r>
        <w:tab/>
        <w:t>č. p. 50, 783 42</w:t>
      </w:r>
      <w:r>
        <w:rPr>
          <w:spacing w:val="-3"/>
        </w:rPr>
        <w:t xml:space="preserve"> </w:t>
      </w:r>
      <w:r>
        <w:t>Slatinice</w:t>
      </w:r>
    </w:p>
    <w:p w:rsidR="00DF1C16" w:rsidRDefault="00AE26AB">
      <w:pPr>
        <w:pStyle w:val="Zkladntext"/>
        <w:tabs>
          <w:tab w:val="left" w:pos="3122"/>
        </w:tabs>
        <w:spacing w:before="1"/>
        <w:ind w:left="242"/>
        <w:jc w:val="left"/>
      </w:pPr>
      <w:r>
        <w:t>IČO:</w:t>
      </w:r>
      <w:r>
        <w:tab/>
        <w:t>044 52</w:t>
      </w:r>
      <w:r>
        <w:rPr>
          <w:spacing w:val="1"/>
        </w:rPr>
        <w:t xml:space="preserve"> </w:t>
      </w:r>
      <w:r>
        <w:t>275</w:t>
      </w:r>
    </w:p>
    <w:p w:rsidR="00DF1C16" w:rsidRDefault="00AE26AB">
      <w:pPr>
        <w:pStyle w:val="Zkladntext"/>
        <w:tabs>
          <w:tab w:val="left" w:pos="3122"/>
        </w:tabs>
        <w:ind w:left="242"/>
        <w:jc w:val="left"/>
      </w:pPr>
      <w:r>
        <w:t>zastoupená:</w:t>
      </w:r>
      <w:r>
        <w:tab/>
        <w:t>Stanislavem H a v l í č k e m,</w:t>
      </w:r>
      <w:r>
        <w:rPr>
          <w:spacing w:val="-3"/>
        </w:rPr>
        <w:t xml:space="preserve"> </w:t>
      </w:r>
      <w:r>
        <w:t>jednatelem</w:t>
      </w:r>
    </w:p>
    <w:p w:rsidR="00DF1C16" w:rsidRDefault="00AE26AB">
      <w:pPr>
        <w:pStyle w:val="Zkladntext"/>
        <w:tabs>
          <w:tab w:val="left" w:pos="3122"/>
        </w:tabs>
        <w:spacing w:before="1"/>
        <w:ind w:left="242"/>
        <w:jc w:val="left"/>
      </w:pPr>
      <w:r>
        <w:t>bankovní</w:t>
      </w:r>
      <w:r>
        <w:rPr>
          <w:spacing w:val="-4"/>
        </w:rPr>
        <w:t xml:space="preserve"> </w:t>
      </w:r>
      <w:r>
        <w:t>spojení:</w:t>
      </w:r>
      <w:r>
        <w:tab/>
      </w:r>
      <w:r w:rsidR="00B10482" w:rsidRPr="00B10482">
        <w:rPr>
          <w:highlight w:val="yellow"/>
        </w:rPr>
        <w:t>xxxx</w:t>
      </w:r>
      <w:bookmarkStart w:id="0" w:name="_GoBack"/>
      <w:bookmarkEnd w:id="0"/>
    </w:p>
    <w:p w:rsidR="00B10482" w:rsidRDefault="00AE26AB">
      <w:pPr>
        <w:pStyle w:val="Zkladntext"/>
        <w:tabs>
          <w:tab w:val="left" w:pos="3122"/>
        </w:tabs>
        <w:ind w:left="242" w:right="5046"/>
        <w:jc w:val="left"/>
      </w:pPr>
      <w:r>
        <w:t>číslo</w:t>
      </w:r>
      <w:r>
        <w:rPr>
          <w:spacing w:val="-2"/>
        </w:rPr>
        <w:t xml:space="preserve"> </w:t>
      </w:r>
      <w:r>
        <w:t>účtu:</w:t>
      </w:r>
      <w:r>
        <w:tab/>
      </w:r>
      <w:r w:rsidR="00B10482" w:rsidRPr="00B10482">
        <w:rPr>
          <w:highlight w:val="yellow"/>
        </w:rPr>
        <w:t>xxxx</w:t>
      </w:r>
    </w:p>
    <w:p w:rsidR="00DF1C16" w:rsidRDefault="00AE26AB">
      <w:pPr>
        <w:pStyle w:val="Zkladntext"/>
        <w:tabs>
          <w:tab w:val="left" w:pos="3122"/>
        </w:tabs>
        <w:ind w:left="242" w:right="5046"/>
        <w:jc w:val="left"/>
      </w:pPr>
      <w:r>
        <w:t>(dále jen „příjemce</w:t>
      </w:r>
      <w:r>
        <w:rPr>
          <w:spacing w:val="-3"/>
        </w:rPr>
        <w:t xml:space="preserve"> </w:t>
      </w:r>
      <w:r>
        <w:t>podpory")</w:t>
      </w:r>
    </w:p>
    <w:p w:rsidR="00DF1C16" w:rsidRDefault="00DF1C16">
      <w:pPr>
        <w:pStyle w:val="Zkladntext"/>
        <w:spacing w:before="12"/>
        <w:ind w:left="0"/>
        <w:jc w:val="left"/>
        <w:rPr>
          <w:sz w:val="19"/>
        </w:rPr>
      </w:pPr>
    </w:p>
    <w:p w:rsidR="00DF1C16" w:rsidRDefault="00AE26AB">
      <w:pPr>
        <w:pStyle w:val="Zkladntext"/>
        <w:ind w:left="242"/>
        <w:jc w:val="left"/>
      </w:pPr>
      <w:r>
        <w:t>se dohodly takto:</w:t>
      </w:r>
    </w:p>
    <w:p w:rsidR="00DF1C16" w:rsidRDefault="00DF1C16">
      <w:pPr>
        <w:pStyle w:val="Zkladntext"/>
        <w:spacing w:before="2"/>
        <w:ind w:left="0"/>
        <w:jc w:val="left"/>
        <w:rPr>
          <w:sz w:val="36"/>
        </w:rPr>
      </w:pPr>
    </w:p>
    <w:p w:rsidR="00DF1C16" w:rsidRDefault="00AE26AB">
      <w:pPr>
        <w:pStyle w:val="Nadpis1"/>
        <w:ind w:left="3276"/>
      </w:pPr>
      <w:r>
        <w:t>I.</w:t>
      </w:r>
    </w:p>
    <w:p w:rsidR="00DF1C16" w:rsidRDefault="00AE26AB">
      <w:pPr>
        <w:ind w:left="3272" w:right="3148"/>
        <w:jc w:val="center"/>
        <w:rPr>
          <w:b/>
          <w:sz w:val="20"/>
        </w:rPr>
      </w:pPr>
      <w:r>
        <w:rPr>
          <w:b/>
          <w:sz w:val="20"/>
        </w:rPr>
        <w:t>Předmět a účel smlouvy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7"/>
        </w:numPr>
        <w:tabs>
          <w:tab w:val="left" w:pos="526"/>
        </w:tabs>
        <w:spacing w:before="0"/>
        <w:jc w:val="both"/>
        <w:rPr>
          <w:sz w:val="20"/>
        </w:rPr>
      </w:pPr>
      <w:r>
        <w:rPr>
          <w:sz w:val="20"/>
        </w:rPr>
        <w:t>Tato</w:t>
      </w:r>
      <w:r>
        <w:rPr>
          <w:spacing w:val="26"/>
          <w:sz w:val="20"/>
        </w:rPr>
        <w:t xml:space="preserve"> </w:t>
      </w:r>
      <w:r>
        <w:rPr>
          <w:sz w:val="20"/>
        </w:rPr>
        <w:t>Smlouva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poskytnutí</w:t>
      </w:r>
      <w:r>
        <w:rPr>
          <w:spacing w:val="28"/>
          <w:sz w:val="20"/>
        </w:rPr>
        <w:t xml:space="preserve"> </w:t>
      </w:r>
      <w:r>
        <w:rPr>
          <w:sz w:val="20"/>
        </w:rPr>
        <w:t>podpory</w:t>
      </w:r>
      <w:r>
        <w:rPr>
          <w:spacing w:val="26"/>
          <w:sz w:val="20"/>
        </w:rPr>
        <w:t xml:space="preserve"> </w:t>
      </w:r>
      <w:r>
        <w:rPr>
          <w:sz w:val="20"/>
        </w:rPr>
        <w:t>ze</w:t>
      </w:r>
      <w:r>
        <w:rPr>
          <w:spacing w:val="25"/>
          <w:sz w:val="20"/>
        </w:rPr>
        <w:t xml:space="preserve"> </w:t>
      </w:r>
      <w:r>
        <w:rPr>
          <w:sz w:val="20"/>
        </w:rPr>
        <w:t>Státního</w:t>
      </w:r>
      <w:r>
        <w:rPr>
          <w:spacing w:val="26"/>
          <w:sz w:val="20"/>
        </w:rPr>
        <w:t xml:space="preserve"> </w:t>
      </w:r>
      <w:r>
        <w:rPr>
          <w:sz w:val="20"/>
        </w:rPr>
        <w:t>fondu</w:t>
      </w:r>
      <w:r>
        <w:rPr>
          <w:spacing w:val="26"/>
          <w:sz w:val="20"/>
        </w:rPr>
        <w:t xml:space="preserve"> </w:t>
      </w:r>
      <w:r>
        <w:rPr>
          <w:sz w:val="20"/>
        </w:rPr>
        <w:t>životního</w:t>
      </w:r>
      <w:r>
        <w:rPr>
          <w:spacing w:val="27"/>
          <w:sz w:val="20"/>
        </w:rPr>
        <w:t xml:space="preserve"> </w:t>
      </w:r>
      <w:r>
        <w:rPr>
          <w:sz w:val="20"/>
        </w:rPr>
        <w:t>prostředí</w:t>
      </w:r>
      <w:r>
        <w:rPr>
          <w:spacing w:val="26"/>
          <w:sz w:val="20"/>
        </w:rPr>
        <w:t xml:space="preserve"> </w:t>
      </w:r>
      <w:r>
        <w:rPr>
          <w:sz w:val="20"/>
        </w:rPr>
        <w:t>České</w:t>
      </w:r>
      <w:r>
        <w:rPr>
          <w:spacing w:val="25"/>
          <w:sz w:val="20"/>
        </w:rPr>
        <w:t xml:space="preserve"> </w:t>
      </w:r>
      <w:r>
        <w:rPr>
          <w:sz w:val="20"/>
        </w:rPr>
        <w:t>republiky</w:t>
      </w:r>
      <w:r>
        <w:rPr>
          <w:spacing w:val="25"/>
          <w:sz w:val="20"/>
        </w:rPr>
        <w:t xml:space="preserve"> </w:t>
      </w:r>
      <w:r>
        <w:rPr>
          <w:sz w:val="20"/>
        </w:rPr>
        <w:t>(dále</w:t>
      </w:r>
      <w:r>
        <w:rPr>
          <w:spacing w:val="25"/>
          <w:sz w:val="20"/>
        </w:rPr>
        <w:t xml:space="preserve"> </w:t>
      </w:r>
      <w:r>
        <w:rPr>
          <w:spacing w:val="2"/>
          <w:sz w:val="20"/>
        </w:rPr>
        <w:t>jen</w:t>
      </w:r>
    </w:p>
    <w:p w:rsidR="00DF1C16" w:rsidRDefault="00AE26AB">
      <w:pPr>
        <w:pStyle w:val="Zkladntext"/>
        <w:spacing w:before="1"/>
        <w:ind w:right="110"/>
      </w:pPr>
      <w:r>
        <w:t>„Smlouva“) se uzavírá na základě Rozhodnutí ministra životního prostředí č. 1191100042 o poskytnutí finančních prostředků ze Státního fondu životního prostředí ČR ze dne 20. 7. 2020 a Směrnice Ministerstva životního prostředí č. 4/2015 o poskytování finanč</w:t>
      </w:r>
      <w:r>
        <w:t>ních prostředků ze Státního fondu životního prostředí České republiky prostřednictvím Národního programu Životní prostředí (dále jen</w:t>
      </w:r>
    </w:p>
    <w:p w:rsidR="00DF1C16" w:rsidRDefault="00AE26AB">
      <w:pPr>
        <w:pStyle w:val="Zkladntext"/>
        <w:spacing w:line="265" w:lineRule="exact"/>
      </w:pPr>
      <w:r>
        <w:t>„Směrnice MŽP“), platné ke dni podání žádosti.</w:t>
      </w:r>
    </w:p>
    <w:p w:rsidR="00DF1C16" w:rsidRDefault="00AE26AB">
      <w:pPr>
        <w:pStyle w:val="Odstavecseseznamem"/>
        <w:numPr>
          <w:ilvl w:val="0"/>
          <w:numId w:val="7"/>
        </w:numPr>
        <w:tabs>
          <w:tab w:val="left" w:pos="526"/>
        </w:tabs>
        <w:ind w:right="112"/>
        <w:jc w:val="both"/>
        <w:rPr>
          <w:sz w:val="20"/>
        </w:rPr>
      </w:pPr>
      <w:r>
        <w:rPr>
          <w:sz w:val="20"/>
        </w:rPr>
        <w:t>Příjemce podpory potvrzuje, že se seznámil se Směrnicí MŽP (včetně jejích př</w:t>
      </w:r>
      <w:r>
        <w:rPr>
          <w:sz w:val="20"/>
        </w:rPr>
        <w:t>íloh) a Výzvou č. 11/2019  k předkládání žádostí o poskytnutí podpory v rámci Národního programu Životní prostředí, vydanou podle</w:t>
      </w:r>
      <w:r>
        <w:rPr>
          <w:spacing w:val="-15"/>
          <w:sz w:val="20"/>
        </w:rPr>
        <w:t xml:space="preserve"> </w:t>
      </w:r>
      <w:r>
        <w:rPr>
          <w:sz w:val="20"/>
        </w:rPr>
        <w:t>článku</w:t>
      </w:r>
      <w:r>
        <w:rPr>
          <w:spacing w:val="-14"/>
          <w:sz w:val="20"/>
        </w:rPr>
        <w:t xml:space="preserve"> </w:t>
      </w:r>
      <w:r>
        <w:rPr>
          <w:sz w:val="20"/>
        </w:rPr>
        <w:t>3</w:t>
      </w:r>
      <w:r>
        <w:rPr>
          <w:spacing w:val="-11"/>
          <w:sz w:val="20"/>
        </w:rPr>
        <w:t xml:space="preserve"> </w:t>
      </w:r>
      <w:r>
        <w:rPr>
          <w:sz w:val="20"/>
        </w:rPr>
        <w:t>Směrnice</w:t>
      </w:r>
      <w:r>
        <w:rPr>
          <w:spacing w:val="-13"/>
          <w:sz w:val="20"/>
        </w:rPr>
        <w:t xml:space="preserve"> </w:t>
      </w:r>
      <w:r>
        <w:rPr>
          <w:sz w:val="20"/>
        </w:rPr>
        <w:t>MŽP</w:t>
      </w:r>
      <w:r>
        <w:rPr>
          <w:spacing w:val="-13"/>
          <w:sz w:val="20"/>
        </w:rPr>
        <w:t xml:space="preserve"> </w:t>
      </w:r>
      <w:r>
        <w:rPr>
          <w:sz w:val="20"/>
        </w:rPr>
        <w:t>(dále</w:t>
      </w:r>
      <w:r>
        <w:rPr>
          <w:spacing w:val="-15"/>
          <w:sz w:val="20"/>
        </w:rPr>
        <w:t xml:space="preserve"> </w:t>
      </w:r>
      <w:r>
        <w:rPr>
          <w:sz w:val="20"/>
        </w:rPr>
        <w:t>jen</w:t>
      </w:r>
      <w:r>
        <w:rPr>
          <w:spacing w:val="-12"/>
          <w:sz w:val="20"/>
        </w:rPr>
        <w:t xml:space="preserve"> </w:t>
      </w:r>
      <w:r>
        <w:rPr>
          <w:sz w:val="20"/>
        </w:rPr>
        <w:t>„Výzva“),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že</w:t>
      </w:r>
      <w:r>
        <w:rPr>
          <w:spacing w:val="-14"/>
          <w:sz w:val="20"/>
        </w:rPr>
        <w:t xml:space="preserve"> </w:t>
      </w:r>
      <w:r>
        <w:rPr>
          <w:sz w:val="20"/>
        </w:rPr>
        <w:t>náležitosti</w:t>
      </w:r>
      <w:r>
        <w:rPr>
          <w:spacing w:val="-12"/>
          <w:sz w:val="20"/>
        </w:rPr>
        <w:t xml:space="preserve"> </w:t>
      </w:r>
      <w:r>
        <w:rPr>
          <w:sz w:val="20"/>
        </w:rPr>
        <w:t>akce</w:t>
      </w:r>
      <w:r>
        <w:rPr>
          <w:spacing w:val="-15"/>
          <w:sz w:val="20"/>
        </w:rPr>
        <w:t xml:space="preserve"> </w:t>
      </w:r>
      <w:r>
        <w:rPr>
          <w:sz w:val="20"/>
        </w:rPr>
        <w:t>odpovídají</w:t>
      </w:r>
      <w:r>
        <w:rPr>
          <w:spacing w:val="-14"/>
          <w:sz w:val="20"/>
        </w:rPr>
        <w:t xml:space="preserve"> </w:t>
      </w:r>
      <w:r>
        <w:rPr>
          <w:sz w:val="20"/>
        </w:rPr>
        <w:t>podmínkám</w:t>
      </w:r>
      <w:r>
        <w:rPr>
          <w:spacing w:val="-15"/>
          <w:sz w:val="20"/>
        </w:rPr>
        <w:t xml:space="preserve"> </w:t>
      </w:r>
      <w:r>
        <w:rPr>
          <w:sz w:val="20"/>
        </w:rPr>
        <w:t>stanoveným touto Směrnicí MŽP a</w:t>
      </w:r>
      <w:r>
        <w:rPr>
          <w:spacing w:val="-4"/>
          <w:sz w:val="20"/>
        </w:rPr>
        <w:t xml:space="preserve"> </w:t>
      </w:r>
      <w:r>
        <w:rPr>
          <w:sz w:val="20"/>
        </w:rPr>
        <w:t>Výzvou.</w:t>
      </w:r>
    </w:p>
    <w:p w:rsidR="00DF1C16" w:rsidRDefault="00DF1C16">
      <w:pPr>
        <w:jc w:val="both"/>
        <w:rPr>
          <w:sz w:val="20"/>
        </w:rPr>
        <w:sectPr w:rsidR="00DF1C16">
          <w:footerReference w:type="default" r:id="rId7"/>
          <w:type w:val="continuous"/>
          <w:pgSz w:w="12240" w:h="15840"/>
          <w:pgMar w:top="1060" w:right="1020" w:bottom="1580" w:left="1460" w:header="708" w:footer="1380" w:gutter="0"/>
          <w:pgNumType w:start="1"/>
          <w:cols w:space="708"/>
        </w:sectPr>
      </w:pPr>
    </w:p>
    <w:p w:rsidR="00DF1C16" w:rsidRDefault="00AE26AB">
      <w:pPr>
        <w:pStyle w:val="Odstavecseseznamem"/>
        <w:numPr>
          <w:ilvl w:val="0"/>
          <w:numId w:val="7"/>
        </w:numPr>
        <w:tabs>
          <w:tab w:val="left" w:pos="526"/>
        </w:tabs>
        <w:spacing w:before="73"/>
        <w:jc w:val="both"/>
        <w:rPr>
          <w:sz w:val="20"/>
        </w:rPr>
      </w:pPr>
      <w:r>
        <w:rPr>
          <w:sz w:val="20"/>
        </w:rPr>
        <w:lastRenderedPageBreak/>
        <w:t>Podpora je určena výhradně na</w:t>
      </w:r>
      <w:r>
        <w:rPr>
          <w:spacing w:val="-6"/>
          <w:sz w:val="20"/>
        </w:rPr>
        <w:t xml:space="preserve"> </w:t>
      </w:r>
      <w:r>
        <w:rPr>
          <w:sz w:val="20"/>
        </w:rPr>
        <w:t>akci:</w:t>
      </w:r>
    </w:p>
    <w:p w:rsidR="00DF1C16" w:rsidRDefault="00AE26AB">
      <w:pPr>
        <w:pStyle w:val="Nadpis1"/>
        <w:spacing w:before="120"/>
        <w:ind w:left="1269" w:right="0"/>
        <w:jc w:val="both"/>
      </w:pPr>
      <w:r>
        <w:t>„Pořízení vozidla s alternativním pohonem N1 pro Služby obce Slatinice s.r.o.“</w:t>
      </w:r>
    </w:p>
    <w:p w:rsidR="00DF1C16" w:rsidRDefault="00AE26AB">
      <w:pPr>
        <w:pStyle w:val="Zkladntext"/>
        <w:spacing w:before="121"/>
      </w:pPr>
      <w:r>
        <w:t>(dále jen „projekt“ nebo „akce“) realizovanou v letech 2020 až 2021. Akce je investiční.</w:t>
      </w:r>
    </w:p>
    <w:p w:rsidR="00DF1C16" w:rsidRDefault="00AE26AB">
      <w:pPr>
        <w:pStyle w:val="Odstavecseseznamem"/>
        <w:numPr>
          <w:ilvl w:val="0"/>
          <w:numId w:val="7"/>
        </w:numPr>
        <w:tabs>
          <w:tab w:val="left" w:pos="465"/>
        </w:tabs>
        <w:spacing w:before="120"/>
        <w:ind w:right="112"/>
        <w:jc w:val="both"/>
        <w:rPr>
          <w:sz w:val="20"/>
        </w:rPr>
      </w:pPr>
      <w:r>
        <w:rPr>
          <w:sz w:val="20"/>
        </w:rPr>
        <w:t>Podpora</w:t>
      </w:r>
      <w:r>
        <w:rPr>
          <w:spacing w:val="-3"/>
          <w:sz w:val="20"/>
        </w:rPr>
        <w:t xml:space="preserve"> </w:t>
      </w:r>
      <w:r>
        <w:rPr>
          <w:sz w:val="20"/>
        </w:rPr>
        <w:t>podle</w:t>
      </w:r>
      <w:r>
        <w:rPr>
          <w:spacing w:val="-4"/>
          <w:sz w:val="20"/>
        </w:rPr>
        <w:t xml:space="preserve"> </w:t>
      </w:r>
      <w:r>
        <w:rPr>
          <w:sz w:val="20"/>
        </w:rPr>
        <w:t>této</w:t>
      </w:r>
      <w:r>
        <w:rPr>
          <w:spacing w:val="-1"/>
          <w:sz w:val="20"/>
        </w:rPr>
        <w:t xml:space="preserve"> </w:t>
      </w:r>
      <w:r>
        <w:rPr>
          <w:sz w:val="20"/>
        </w:rPr>
        <w:t>Smlouvy</w:t>
      </w:r>
      <w:r>
        <w:rPr>
          <w:spacing w:val="-4"/>
          <w:sz w:val="20"/>
        </w:rPr>
        <w:t xml:space="preserve"> </w:t>
      </w: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poskytována</w:t>
      </w:r>
      <w:r>
        <w:rPr>
          <w:spacing w:val="-4"/>
          <w:sz w:val="20"/>
        </w:rPr>
        <w:t xml:space="preserve"> </w:t>
      </w:r>
      <w:r>
        <w:rPr>
          <w:sz w:val="20"/>
        </w:rPr>
        <w:t>v souladu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>
        <w:rPr>
          <w:spacing w:val="-4"/>
          <w:sz w:val="20"/>
        </w:rPr>
        <w:t xml:space="preserve"> </w:t>
      </w:r>
      <w:r>
        <w:rPr>
          <w:sz w:val="20"/>
        </w:rPr>
        <w:t>„Nařízením</w:t>
      </w:r>
      <w:r>
        <w:rPr>
          <w:spacing w:val="-4"/>
          <w:sz w:val="20"/>
        </w:rPr>
        <w:t xml:space="preserve"> </w:t>
      </w:r>
      <w:r>
        <w:rPr>
          <w:sz w:val="20"/>
        </w:rPr>
        <w:t>Komise</w:t>
      </w:r>
      <w:r>
        <w:rPr>
          <w:spacing w:val="-4"/>
          <w:sz w:val="20"/>
        </w:rPr>
        <w:t xml:space="preserve"> </w:t>
      </w:r>
      <w:r>
        <w:rPr>
          <w:sz w:val="20"/>
        </w:rPr>
        <w:t>(ES)</w:t>
      </w:r>
      <w:r>
        <w:rPr>
          <w:spacing w:val="-4"/>
          <w:sz w:val="20"/>
        </w:rPr>
        <w:t xml:space="preserve"> </w:t>
      </w:r>
      <w:r>
        <w:rPr>
          <w:sz w:val="20"/>
        </w:rPr>
        <w:t>č.</w:t>
      </w:r>
      <w:r>
        <w:rPr>
          <w:spacing w:val="-3"/>
          <w:sz w:val="20"/>
        </w:rPr>
        <w:t xml:space="preserve"> </w:t>
      </w:r>
      <w:r>
        <w:rPr>
          <w:sz w:val="20"/>
        </w:rPr>
        <w:t>1407/2013</w:t>
      </w:r>
      <w:r>
        <w:rPr>
          <w:spacing w:val="-3"/>
          <w:sz w:val="20"/>
        </w:rPr>
        <w:t xml:space="preserve"> </w:t>
      </w:r>
      <w:r>
        <w:rPr>
          <w:sz w:val="20"/>
        </w:rPr>
        <w:t>ze</w:t>
      </w:r>
      <w:r>
        <w:rPr>
          <w:spacing w:val="-3"/>
          <w:sz w:val="20"/>
        </w:rPr>
        <w:t xml:space="preserve"> </w:t>
      </w:r>
      <w:r>
        <w:rPr>
          <w:sz w:val="20"/>
        </w:rPr>
        <w:t>dne</w:t>
      </w:r>
      <w:r>
        <w:rPr>
          <w:spacing w:val="-4"/>
          <w:sz w:val="20"/>
        </w:rPr>
        <w:t xml:space="preserve"> </w:t>
      </w:r>
      <w:r>
        <w:rPr>
          <w:sz w:val="20"/>
        </w:rPr>
        <w:t>18. prosince  2013  o použití  článků  107  a  108  Smlouvy   o   fungování   Evropské  unie  na   podporu  de minimis.“, zveřejněném v Úředním věstníku EU dne 24. 12.</w:t>
      </w:r>
      <w:r>
        <w:rPr>
          <w:spacing w:val="-12"/>
          <w:sz w:val="20"/>
        </w:rPr>
        <w:t xml:space="preserve"> </w:t>
      </w:r>
      <w:r>
        <w:rPr>
          <w:sz w:val="20"/>
        </w:rPr>
        <w:t>2013.</w:t>
      </w:r>
    </w:p>
    <w:p w:rsidR="00DF1C16" w:rsidRDefault="00DF1C16">
      <w:pPr>
        <w:pStyle w:val="Zkladntext"/>
        <w:ind w:left="0"/>
        <w:jc w:val="left"/>
        <w:rPr>
          <w:sz w:val="36"/>
        </w:rPr>
      </w:pPr>
    </w:p>
    <w:p w:rsidR="00DF1C16" w:rsidRDefault="00AE26AB">
      <w:pPr>
        <w:pStyle w:val="Nadpis1"/>
        <w:ind w:left="3276"/>
      </w:pPr>
      <w:r>
        <w:t>II.</w:t>
      </w:r>
    </w:p>
    <w:p w:rsidR="00DF1C16" w:rsidRDefault="00AE26AB">
      <w:pPr>
        <w:spacing w:before="1"/>
        <w:ind w:left="3273" w:right="3148"/>
        <w:jc w:val="center"/>
        <w:rPr>
          <w:b/>
          <w:sz w:val="20"/>
        </w:rPr>
      </w:pPr>
      <w:r>
        <w:rPr>
          <w:b/>
          <w:sz w:val="20"/>
        </w:rPr>
        <w:t>Výše dotace</w:t>
      </w:r>
    </w:p>
    <w:p w:rsidR="00DF1C16" w:rsidRDefault="00DF1C16">
      <w:pPr>
        <w:pStyle w:val="Zkladntext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spacing w:before="1"/>
        <w:ind w:right="111"/>
        <w:jc w:val="both"/>
        <w:rPr>
          <w:sz w:val="20"/>
        </w:rPr>
      </w:pPr>
      <w:r>
        <w:rPr>
          <w:sz w:val="20"/>
        </w:rPr>
        <w:t>Fond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zavazuje</w:t>
      </w:r>
      <w:r>
        <w:rPr>
          <w:spacing w:val="-13"/>
          <w:sz w:val="20"/>
        </w:rPr>
        <w:t xml:space="preserve"> </w:t>
      </w:r>
      <w:r>
        <w:rPr>
          <w:sz w:val="20"/>
        </w:rPr>
        <w:t>poskytnout</w:t>
      </w:r>
      <w:r>
        <w:rPr>
          <w:spacing w:val="-11"/>
          <w:sz w:val="20"/>
        </w:rPr>
        <w:t xml:space="preserve"> </w:t>
      </w:r>
      <w:r>
        <w:rPr>
          <w:sz w:val="20"/>
        </w:rPr>
        <w:t>příjemci</w:t>
      </w:r>
      <w:r>
        <w:rPr>
          <w:spacing w:val="-12"/>
          <w:sz w:val="20"/>
        </w:rPr>
        <w:t xml:space="preserve"> </w:t>
      </w:r>
      <w:r>
        <w:rPr>
          <w:sz w:val="20"/>
        </w:rPr>
        <w:t>podpory</w:t>
      </w:r>
      <w:r>
        <w:rPr>
          <w:spacing w:val="-12"/>
          <w:sz w:val="20"/>
        </w:rPr>
        <w:t xml:space="preserve"> </w:t>
      </w:r>
      <w:r>
        <w:rPr>
          <w:sz w:val="20"/>
        </w:rPr>
        <w:t>podporu</w:t>
      </w:r>
      <w:r>
        <w:rPr>
          <w:spacing w:val="-8"/>
          <w:sz w:val="20"/>
        </w:rPr>
        <w:t xml:space="preserve"> </w:t>
      </w:r>
      <w:r>
        <w:rPr>
          <w:sz w:val="20"/>
        </w:rPr>
        <w:t>formou</w:t>
      </w:r>
      <w:r>
        <w:rPr>
          <w:spacing w:val="-12"/>
          <w:sz w:val="20"/>
        </w:rPr>
        <w:t xml:space="preserve"> </w:t>
      </w:r>
      <w:r>
        <w:rPr>
          <w:sz w:val="20"/>
        </w:rPr>
        <w:t>dota</w:t>
      </w:r>
      <w:r>
        <w:rPr>
          <w:sz w:val="20"/>
        </w:rPr>
        <w:t>ce</w:t>
      </w:r>
      <w:r>
        <w:rPr>
          <w:spacing w:val="-13"/>
          <w:sz w:val="20"/>
        </w:rPr>
        <w:t xml:space="preserve"> </w:t>
      </w:r>
      <w:r>
        <w:rPr>
          <w:sz w:val="20"/>
        </w:rPr>
        <w:t>ve</w:t>
      </w:r>
      <w:r>
        <w:rPr>
          <w:spacing w:val="-12"/>
          <w:sz w:val="20"/>
        </w:rPr>
        <w:t xml:space="preserve"> </w:t>
      </w:r>
      <w:r>
        <w:rPr>
          <w:sz w:val="20"/>
        </w:rPr>
        <w:t>výši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500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000,00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Kč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(slovy:</w:t>
      </w:r>
      <w:r>
        <w:rPr>
          <w:spacing w:val="-11"/>
          <w:sz w:val="20"/>
        </w:rPr>
        <w:t xml:space="preserve"> </w:t>
      </w:r>
      <w:r>
        <w:rPr>
          <w:sz w:val="20"/>
        </w:rPr>
        <w:t>pět set tisíc korun</w:t>
      </w:r>
      <w:r>
        <w:rPr>
          <w:spacing w:val="-1"/>
          <w:sz w:val="20"/>
        </w:rPr>
        <w:t xml:space="preserve"> </w:t>
      </w:r>
      <w:r>
        <w:rPr>
          <w:sz w:val="20"/>
        </w:rPr>
        <w:t>českých).</w:t>
      </w: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spacing w:before="120"/>
        <w:jc w:val="both"/>
        <w:rPr>
          <w:sz w:val="20"/>
        </w:rPr>
      </w:pPr>
      <w:r>
        <w:rPr>
          <w:sz w:val="20"/>
        </w:rPr>
        <w:t>Podpora je stanovena fixní částkou podle typu vozidla a druhu</w:t>
      </w:r>
      <w:r>
        <w:rPr>
          <w:spacing w:val="-3"/>
          <w:sz w:val="20"/>
        </w:rPr>
        <w:t xml:space="preserve"> </w:t>
      </w:r>
      <w:r>
        <w:rPr>
          <w:sz w:val="20"/>
        </w:rPr>
        <w:t>pohonu.</w:t>
      </w: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spacing w:before="123" w:line="237" w:lineRule="auto"/>
        <w:ind w:right="113"/>
        <w:jc w:val="both"/>
        <w:rPr>
          <w:sz w:val="20"/>
        </w:rPr>
      </w:pPr>
      <w:r>
        <w:rPr>
          <w:sz w:val="20"/>
        </w:rPr>
        <w:t>Skutečná výše podpory je limitována částkou uvedenou v bodu 1. Případné zvýšení upřesněných rozpočtových nákladů hradí příj</w:t>
      </w:r>
      <w:r>
        <w:rPr>
          <w:sz w:val="20"/>
        </w:rPr>
        <w:t>emce podpory z vlastních</w:t>
      </w:r>
      <w:r>
        <w:rPr>
          <w:spacing w:val="1"/>
          <w:sz w:val="20"/>
        </w:rPr>
        <w:t xml:space="preserve"> </w:t>
      </w:r>
      <w:r>
        <w:rPr>
          <w:sz w:val="20"/>
        </w:rPr>
        <w:t>zdrojů.</w:t>
      </w: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spacing w:before="122"/>
        <w:ind w:right="111"/>
        <w:jc w:val="both"/>
        <w:rPr>
          <w:sz w:val="20"/>
        </w:rPr>
      </w:pPr>
      <w:r>
        <w:rPr>
          <w:sz w:val="20"/>
        </w:rPr>
        <w:t>Podporu je možno použít pouze na úhradu skutečných, účelných, efektivních, oprávněně a nezbytně vynaložených výdajů na nákup předmětu podpory definovaného dle čl. 2 Výzvy, nejdříve však po dni vyhlášení</w:t>
      </w:r>
      <w:r>
        <w:rPr>
          <w:spacing w:val="-2"/>
          <w:sz w:val="20"/>
        </w:rPr>
        <w:t xml:space="preserve"> </w:t>
      </w:r>
      <w:r>
        <w:rPr>
          <w:sz w:val="20"/>
        </w:rPr>
        <w:t>Výzvy.</w:t>
      </w: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jc w:val="both"/>
        <w:rPr>
          <w:sz w:val="20"/>
        </w:rPr>
      </w:pPr>
      <w:r>
        <w:rPr>
          <w:sz w:val="20"/>
        </w:rPr>
        <w:t>Platby dodavatelům lze z podpory poskytované Fondem hradit pouze dodávky na realizaci</w:t>
      </w:r>
      <w:r>
        <w:rPr>
          <w:spacing w:val="-17"/>
          <w:sz w:val="20"/>
        </w:rPr>
        <w:t xml:space="preserve"> </w:t>
      </w:r>
      <w:r>
        <w:rPr>
          <w:sz w:val="20"/>
        </w:rPr>
        <w:t>akce.</w:t>
      </w:r>
    </w:p>
    <w:p w:rsidR="00DF1C16" w:rsidRDefault="00AE26AB">
      <w:pPr>
        <w:pStyle w:val="Odstavecseseznamem"/>
        <w:numPr>
          <w:ilvl w:val="0"/>
          <w:numId w:val="6"/>
        </w:numPr>
        <w:tabs>
          <w:tab w:val="left" w:pos="526"/>
        </w:tabs>
        <w:spacing w:before="123" w:line="237" w:lineRule="auto"/>
        <w:ind w:right="111"/>
        <w:jc w:val="both"/>
        <w:rPr>
          <w:sz w:val="20"/>
        </w:rPr>
      </w:pPr>
      <w:r>
        <w:rPr>
          <w:sz w:val="20"/>
        </w:rPr>
        <w:t>Při</w:t>
      </w:r>
      <w:r>
        <w:rPr>
          <w:spacing w:val="-9"/>
          <w:sz w:val="20"/>
        </w:rPr>
        <w:t xml:space="preserve"> </w:t>
      </w:r>
      <w:r>
        <w:rPr>
          <w:sz w:val="20"/>
        </w:rPr>
        <w:t>určování</w:t>
      </w:r>
      <w:r>
        <w:rPr>
          <w:spacing w:val="-8"/>
          <w:sz w:val="20"/>
        </w:rPr>
        <w:t xml:space="preserve"> </w:t>
      </w:r>
      <w:r>
        <w:rPr>
          <w:sz w:val="20"/>
        </w:rPr>
        <w:t>způsobilých</w:t>
      </w:r>
      <w:r>
        <w:rPr>
          <w:spacing w:val="-8"/>
          <w:sz w:val="20"/>
        </w:rPr>
        <w:t xml:space="preserve"> </w:t>
      </w:r>
      <w:r>
        <w:rPr>
          <w:sz w:val="20"/>
        </w:rPr>
        <w:t>výdajů</w:t>
      </w:r>
      <w:r>
        <w:rPr>
          <w:spacing w:val="-9"/>
          <w:sz w:val="20"/>
        </w:rPr>
        <w:t xml:space="preserve"> </w:t>
      </w:r>
      <w:r>
        <w:rPr>
          <w:sz w:val="20"/>
        </w:rPr>
        <w:t>akce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z</w:t>
      </w:r>
      <w:r>
        <w:rPr>
          <w:spacing w:val="-7"/>
          <w:sz w:val="20"/>
        </w:rPr>
        <w:t xml:space="preserve"> </w:t>
      </w:r>
      <w:r>
        <w:rPr>
          <w:sz w:val="20"/>
        </w:rPr>
        <w:t>nich</w:t>
      </w:r>
      <w:r>
        <w:rPr>
          <w:spacing w:val="-8"/>
          <w:sz w:val="20"/>
        </w:rPr>
        <w:t xml:space="preserve"> </w:t>
      </w:r>
      <w:r>
        <w:rPr>
          <w:sz w:val="20"/>
        </w:rPr>
        <w:t>odvozené</w:t>
      </w:r>
      <w:r>
        <w:rPr>
          <w:spacing w:val="-7"/>
          <w:sz w:val="20"/>
        </w:rPr>
        <w:t xml:space="preserve"> </w:t>
      </w:r>
      <w:r>
        <w:rPr>
          <w:sz w:val="20"/>
        </w:rPr>
        <w:t>výše</w:t>
      </w:r>
      <w:r>
        <w:rPr>
          <w:spacing w:val="-9"/>
          <w:sz w:val="20"/>
        </w:rPr>
        <w:t xml:space="preserve"> </w:t>
      </w:r>
      <w:r>
        <w:rPr>
          <w:sz w:val="20"/>
        </w:rPr>
        <w:t>podpory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bude</w:t>
      </w:r>
      <w:r>
        <w:rPr>
          <w:spacing w:val="-9"/>
          <w:sz w:val="20"/>
        </w:rPr>
        <w:t xml:space="preserve"> </w:t>
      </w:r>
      <w:r>
        <w:rPr>
          <w:sz w:val="20"/>
        </w:rPr>
        <w:t>vycházet</w:t>
      </w:r>
      <w:r>
        <w:rPr>
          <w:spacing w:val="-9"/>
          <w:sz w:val="20"/>
        </w:rPr>
        <w:t xml:space="preserve"> </w:t>
      </w:r>
      <w:r>
        <w:rPr>
          <w:sz w:val="20"/>
        </w:rPr>
        <w:t>ze</w:t>
      </w:r>
      <w:r>
        <w:rPr>
          <w:spacing w:val="-9"/>
          <w:sz w:val="20"/>
        </w:rPr>
        <w:t xml:space="preserve"> </w:t>
      </w:r>
      <w:r>
        <w:rPr>
          <w:sz w:val="20"/>
        </w:rPr>
        <w:t>znění</w:t>
      </w:r>
      <w:r>
        <w:rPr>
          <w:spacing w:val="-6"/>
          <w:sz w:val="20"/>
        </w:rPr>
        <w:t xml:space="preserve"> </w:t>
      </w:r>
      <w:r>
        <w:rPr>
          <w:sz w:val="20"/>
        </w:rPr>
        <w:t>článku 9 Výzvy.</w:t>
      </w:r>
    </w:p>
    <w:p w:rsidR="00DF1C16" w:rsidRDefault="00DF1C16">
      <w:pPr>
        <w:pStyle w:val="Zkladntext"/>
        <w:spacing w:before="2"/>
        <w:ind w:left="0"/>
        <w:jc w:val="left"/>
        <w:rPr>
          <w:sz w:val="36"/>
        </w:rPr>
      </w:pPr>
    </w:p>
    <w:p w:rsidR="00DF1C16" w:rsidRDefault="00AE26AB">
      <w:pPr>
        <w:pStyle w:val="Nadpis1"/>
        <w:ind w:left="3275"/>
      </w:pPr>
      <w:r>
        <w:t>III.</w:t>
      </w:r>
    </w:p>
    <w:p w:rsidR="00DF1C16" w:rsidRDefault="00AE26AB">
      <w:pPr>
        <w:spacing w:before="1"/>
        <w:ind w:left="3272" w:right="3148"/>
        <w:jc w:val="center"/>
        <w:rPr>
          <w:b/>
          <w:sz w:val="20"/>
        </w:rPr>
      </w:pPr>
      <w:r>
        <w:rPr>
          <w:b/>
          <w:sz w:val="20"/>
        </w:rPr>
        <w:t>Platební podmínky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0"/>
        <w:ind w:right="118"/>
        <w:jc w:val="left"/>
        <w:rPr>
          <w:sz w:val="20"/>
        </w:rPr>
      </w:pPr>
      <w:r>
        <w:rPr>
          <w:sz w:val="20"/>
        </w:rPr>
        <w:t>Podpora bude poskytována bank</w:t>
      </w:r>
      <w:r>
        <w:rPr>
          <w:sz w:val="20"/>
        </w:rPr>
        <w:t>ovním převodem peněžních prostředků z bankovního účtu Fondu na bankovní účet příjemce</w:t>
      </w:r>
      <w:r>
        <w:rPr>
          <w:spacing w:val="-4"/>
          <w:sz w:val="20"/>
        </w:rPr>
        <w:t xml:space="preserve"> </w:t>
      </w:r>
      <w:r>
        <w:rPr>
          <w:sz w:val="20"/>
        </w:rPr>
        <w:t>podpory.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ind w:right="108"/>
        <w:jc w:val="left"/>
        <w:rPr>
          <w:sz w:val="20"/>
        </w:rPr>
      </w:pPr>
      <w:r>
        <w:rPr>
          <w:sz w:val="20"/>
        </w:rPr>
        <w:t>Fond</w:t>
      </w:r>
      <w:r>
        <w:rPr>
          <w:spacing w:val="-7"/>
          <w:sz w:val="20"/>
        </w:rPr>
        <w:t xml:space="preserve"> </w:t>
      </w:r>
      <w:r>
        <w:rPr>
          <w:sz w:val="20"/>
        </w:rPr>
        <w:t>bude</w:t>
      </w:r>
      <w:r>
        <w:rPr>
          <w:spacing w:val="-8"/>
          <w:sz w:val="20"/>
        </w:rPr>
        <w:t xml:space="preserve"> </w:t>
      </w:r>
      <w:r>
        <w:rPr>
          <w:sz w:val="20"/>
        </w:rPr>
        <w:t>poskytovat</w:t>
      </w:r>
      <w:r>
        <w:rPr>
          <w:spacing w:val="-8"/>
          <w:sz w:val="20"/>
        </w:rPr>
        <w:t xml:space="preserve"> </w:t>
      </w:r>
      <w:r>
        <w:rPr>
          <w:sz w:val="20"/>
        </w:rPr>
        <w:t>finanční</w:t>
      </w:r>
      <w:r>
        <w:rPr>
          <w:spacing w:val="-7"/>
          <w:sz w:val="20"/>
        </w:rPr>
        <w:t xml:space="preserve"> </w:t>
      </w:r>
      <w:r>
        <w:rPr>
          <w:sz w:val="20"/>
        </w:rPr>
        <w:t>prostředky</w:t>
      </w:r>
      <w:r>
        <w:rPr>
          <w:spacing w:val="-7"/>
          <w:sz w:val="20"/>
        </w:rPr>
        <w:t xml:space="preserve"> </w:t>
      </w:r>
      <w:r>
        <w:rPr>
          <w:sz w:val="20"/>
        </w:rPr>
        <w:t>průběžně</w:t>
      </w:r>
      <w:r>
        <w:rPr>
          <w:spacing w:val="-5"/>
          <w:sz w:val="20"/>
        </w:rPr>
        <w:t xml:space="preserve"> </w:t>
      </w:r>
      <w:r>
        <w:rPr>
          <w:sz w:val="20"/>
        </w:rPr>
        <w:t>postupem</w:t>
      </w:r>
      <w:r>
        <w:rPr>
          <w:spacing w:val="-8"/>
          <w:sz w:val="20"/>
        </w:rPr>
        <w:t xml:space="preserve"> </w:t>
      </w:r>
      <w:r>
        <w:rPr>
          <w:sz w:val="20"/>
        </w:rPr>
        <w:t>stanoveným</w:t>
      </w:r>
      <w:r>
        <w:rPr>
          <w:spacing w:val="-9"/>
          <w:sz w:val="20"/>
        </w:rPr>
        <w:t xml:space="preserve"> </w:t>
      </w:r>
      <w:r>
        <w:rPr>
          <w:sz w:val="20"/>
        </w:rPr>
        <w:t>v bodech</w:t>
      </w:r>
      <w:r>
        <w:rPr>
          <w:spacing w:val="-8"/>
          <w:sz w:val="20"/>
        </w:rPr>
        <w:t xml:space="preserve"> </w:t>
      </w:r>
      <w:r>
        <w:rPr>
          <w:sz w:val="20"/>
        </w:rPr>
        <w:t>10–15</w:t>
      </w:r>
      <w:r>
        <w:rPr>
          <w:spacing w:val="-6"/>
          <w:sz w:val="20"/>
        </w:rPr>
        <w:t xml:space="preserve"> </w:t>
      </w:r>
      <w:r>
        <w:rPr>
          <w:sz w:val="20"/>
        </w:rPr>
        <w:t>tak,</w:t>
      </w:r>
      <w:r>
        <w:rPr>
          <w:spacing w:val="-8"/>
          <w:sz w:val="20"/>
        </w:rPr>
        <w:t xml:space="preserve"> </w:t>
      </w:r>
      <w:r>
        <w:rPr>
          <w:sz w:val="20"/>
        </w:rPr>
        <w:t>aby</w:t>
      </w:r>
      <w:r>
        <w:rPr>
          <w:spacing w:val="-7"/>
          <w:sz w:val="20"/>
        </w:rPr>
        <w:t xml:space="preserve"> </w:t>
      </w:r>
      <w:r>
        <w:rPr>
          <w:sz w:val="20"/>
        </w:rPr>
        <w:t>byl dodržen poměr podpory a vlastních zdrojů vyplývající z níže uvedených</w:t>
      </w:r>
      <w:r>
        <w:rPr>
          <w:spacing w:val="-2"/>
          <w:sz w:val="20"/>
        </w:rPr>
        <w:t xml:space="preserve"> </w:t>
      </w:r>
      <w:r>
        <w:rPr>
          <w:sz w:val="20"/>
        </w:rPr>
        <w:t>částek.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18"/>
        <w:jc w:val="left"/>
        <w:rPr>
          <w:sz w:val="20"/>
        </w:rPr>
      </w:pPr>
      <w:r>
        <w:rPr>
          <w:sz w:val="20"/>
        </w:rPr>
        <w:t>Při splnění příslušných podmínek této Smlouvy poskytne Fond podporu</w:t>
      </w:r>
      <w:r>
        <w:rPr>
          <w:spacing w:val="-10"/>
          <w:sz w:val="20"/>
        </w:rPr>
        <w:t xml:space="preserve"> </w:t>
      </w:r>
      <w:r>
        <w:rPr>
          <w:sz w:val="20"/>
        </w:rPr>
        <w:t>takto:</w:t>
      </w:r>
    </w:p>
    <w:p w:rsidR="00DF1C16" w:rsidRDefault="00DF1C16">
      <w:pPr>
        <w:pStyle w:val="Zkladntext"/>
        <w:spacing w:before="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866"/>
      </w:tblGrid>
      <w:tr w:rsidR="00DF1C16">
        <w:trPr>
          <w:trHeight w:val="505"/>
        </w:trPr>
        <w:tc>
          <w:tcPr>
            <w:tcW w:w="4532" w:type="dxa"/>
          </w:tcPr>
          <w:p w:rsidR="00DF1C16" w:rsidRDefault="00AE26AB">
            <w:pPr>
              <w:pStyle w:val="TableParagraph"/>
              <w:spacing w:before="122"/>
              <w:ind w:left="1996"/>
              <w:rPr>
                <w:sz w:val="20"/>
              </w:rPr>
            </w:pPr>
            <w:r>
              <w:rPr>
                <w:sz w:val="20"/>
              </w:rPr>
              <w:t>v roce</w:t>
            </w:r>
          </w:p>
        </w:tc>
        <w:tc>
          <w:tcPr>
            <w:tcW w:w="4866" w:type="dxa"/>
          </w:tcPr>
          <w:p w:rsidR="00DF1C16" w:rsidRDefault="00AE26AB">
            <w:pPr>
              <w:pStyle w:val="TableParagraph"/>
              <w:spacing w:before="122"/>
              <w:ind w:left="1948"/>
              <w:rPr>
                <w:sz w:val="20"/>
              </w:rPr>
            </w:pPr>
            <w:r>
              <w:rPr>
                <w:sz w:val="20"/>
              </w:rPr>
              <w:t>ve výši (Kč)</w:t>
            </w:r>
          </w:p>
        </w:tc>
      </w:tr>
      <w:tr w:rsidR="00DF1C16">
        <w:trPr>
          <w:trHeight w:val="508"/>
        </w:trPr>
        <w:tc>
          <w:tcPr>
            <w:tcW w:w="4532" w:type="dxa"/>
          </w:tcPr>
          <w:p w:rsidR="00DF1C16" w:rsidRDefault="00AE26AB">
            <w:pPr>
              <w:pStyle w:val="TableParagraph"/>
              <w:spacing w:before="122"/>
              <w:ind w:left="2049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4866" w:type="dxa"/>
          </w:tcPr>
          <w:p w:rsidR="00DF1C16" w:rsidRDefault="00AE26AB">
            <w:pPr>
              <w:pStyle w:val="TableParagraph"/>
              <w:spacing w:before="122"/>
              <w:ind w:left="1951"/>
              <w:rPr>
                <w:sz w:val="20"/>
              </w:rPr>
            </w:pPr>
            <w:r>
              <w:rPr>
                <w:sz w:val="20"/>
              </w:rPr>
              <w:t>500 000,00</w:t>
            </w:r>
          </w:p>
        </w:tc>
      </w:tr>
    </w:tbl>
    <w:p w:rsidR="00DF1C16" w:rsidRDefault="00DF1C16">
      <w:pPr>
        <w:pStyle w:val="Zkladntext"/>
        <w:spacing w:before="11"/>
        <w:ind w:left="0"/>
        <w:jc w:val="left"/>
        <w:rPr>
          <w:sz w:val="28"/>
        </w:rPr>
      </w:pP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0"/>
        <w:ind w:right="111"/>
        <w:jc w:val="both"/>
        <w:rPr>
          <w:sz w:val="20"/>
        </w:rPr>
      </w:pPr>
      <w:r>
        <w:rPr>
          <w:sz w:val="20"/>
        </w:rPr>
        <w:t>Fond</w:t>
      </w:r>
      <w:r>
        <w:rPr>
          <w:spacing w:val="-7"/>
          <w:sz w:val="20"/>
        </w:rPr>
        <w:t xml:space="preserve"> </w:t>
      </w:r>
      <w:r>
        <w:rPr>
          <w:sz w:val="20"/>
        </w:rPr>
        <w:t>není</w:t>
      </w:r>
      <w:r>
        <w:rPr>
          <w:spacing w:val="-7"/>
          <w:sz w:val="20"/>
        </w:rPr>
        <w:t xml:space="preserve"> </w:t>
      </w:r>
      <w:r>
        <w:rPr>
          <w:sz w:val="20"/>
        </w:rPr>
        <w:t>povinen</w:t>
      </w:r>
      <w:r>
        <w:rPr>
          <w:spacing w:val="-8"/>
          <w:sz w:val="20"/>
        </w:rPr>
        <w:t xml:space="preserve"> </w:t>
      </w:r>
      <w:r>
        <w:rPr>
          <w:sz w:val="20"/>
        </w:rPr>
        <w:t>poskytnout</w:t>
      </w:r>
      <w:r>
        <w:rPr>
          <w:spacing w:val="-7"/>
          <w:sz w:val="20"/>
        </w:rPr>
        <w:t xml:space="preserve"> </w:t>
      </w:r>
      <w:r>
        <w:rPr>
          <w:sz w:val="20"/>
        </w:rPr>
        <w:t>finanční</w:t>
      </w:r>
      <w:r>
        <w:rPr>
          <w:spacing w:val="-8"/>
          <w:sz w:val="20"/>
        </w:rPr>
        <w:t xml:space="preserve"> </w:t>
      </w:r>
      <w:r>
        <w:rPr>
          <w:sz w:val="20"/>
        </w:rPr>
        <w:t>prostředky</w:t>
      </w:r>
      <w:r>
        <w:rPr>
          <w:spacing w:val="-7"/>
          <w:sz w:val="20"/>
        </w:rPr>
        <w:t xml:space="preserve"> </w:t>
      </w:r>
      <w:r>
        <w:rPr>
          <w:sz w:val="20"/>
        </w:rPr>
        <w:t>dříve,</w:t>
      </w:r>
      <w:r>
        <w:rPr>
          <w:spacing w:val="-7"/>
          <w:sz w:val="20"/>
        </w:rPr>
        <w:t xml:space="preserve"> </w:t>
      </w:r>
      <w:r>
        <w:rPr>
          <w:sz w:val="20"/>
        </w:rPr>
        <w:t>než</w:t>
      </w:r>
      <w:r>
        <w:rPr>
          <w:spacing w:val="-7"/>
          <w:sz w:val="20"/>
        </w:rPr>
        <w:t xml:space="preserve"> </w:t>
      </w:r>
      <w:r>
        <w:rPr>
          <w:sz w:val="20"/>
        </w:rPr>
        <w:t>příjemce</w:t>
      </w:r>
      <w:r>
        <w:rPr>
          <w:spacing w:val="-8"/>
          <w:sz w:val="20"/>
        </w:rPr>
        <w:t xml:space="preserve"> </w:t>
      </w:r>
      <w:r>
        <w:rPr>
          <w:sz w:val="20"/>
        </w:rPr>
        <w:t>podpory</w:t>
      </w:r>
      <w:r>
        <w:rPr>
          <w:spacing w:val="-3"/>
          <w:sz w:val="20"/>
        </w:rPr>
        <w:t xml:space="preserve"> </w:t>
      </w:r>
      <w:r>
        <w:rPr>
          <w:sz w:val="20"/>
        </w:rPr>
        <w:t>předloží</w:t>
      </w:r>
      <w:r>
        <w:rPr>
          <w:spacing w:val="-7"/>
          <w:sz w:val="20"/>
        </w:rPr>
        <w:t xml:space="preserve"> </w:t>
      </w:r>
      <w:r>
        <w:rPr>
          <w:sz w:val="20"/>
        </w:rPr>
        <w:t>prostřednictvím agendového informačního systému Státního fondu životního prostředí České republiky (dále jen „AIS SFŽP ČR“) s každou žádostí o uvolnění finančních prostředků (bod 11) příslušné doklady prokazující oprávněnost vyna</w:t>
      </w:r>
      <w:r>
        <w:rPr>
          <w:sz w:val="20"/>
        </w:rPr>
        <w:t>ložených finančních</w:t>
      </w:r>
      <w:r>
        <w:rPr>
          <w:spacing w:val="-2"/>
          <w:sz w:val="20"/>
        </w:rPr>
        <w:t xml:space="preserve"> </w:t>
      </w:r>
      <w:r>
        <w:rPr>
          <w:sz w:val="20"/>
        </w:rPr>
        <w:t>prostředků.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23"/>
        <w:ind w:right="121"/>
        <w:jc w:val="both"/>
        <w:rPr>
          <w:sz w:val="20"/>
        </w:rPr>
      </w:pPr>
      <w:r>
        <w:rPr>
          <w:sz w:val="20"/>
        </w:rPr>
        <w:t>O prostředky nevyčerpané v daném roce či vrácené se zvýší finanční objem následujícího roku, pokud Fond tento převod</w:t>
      </w:r>
      <w:r>
        <w:rPr>
          <w:spacing w:val="-1"/>
          <w:sz w:val="20"/>
        </w:rPr>
        <w:t xml:space="preserve"> </w:t>
      </w:r>
      <w:r>
        <w:rPr>
          <w:sz w:val="20"/>
        </w:rPr>
        <w:t>akceptuje.</w:t>
      </w:r>
    </w:p>
    <w:p w:rsidR="00DF1C16" w:rsidRDefault="00DF1C16">
      <w:pPr>
        <w:jc w:val="both"/>
        <w:rPr>
          <w:sz w:val="20"/>
        </w:rPr>
        <w:sectPr w:rsidR="00DF1C16">
          <w:pgSz w:w="12240" w:h="15840"/>
          <w:pgMar w:top="1060" w:right="1020" w:bottom="1660" w:left="1460" w:header="0" w:footer="1380" w:gutter="0"/>
          <w:cols w:space="708"/>
        </w:sectPr>
      </w:pP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73"/>
        <w:ind w:right="112"/>
        <w:jc w:val="both"/>
        <w:rPr>
          <w:sz w:val="20"/>
        </w:rPr>
      </w:pPr>
      <w:r>
        <w:rPr>
          <w:sz w:val="20"/>
        </w:rPr>
        <w:lastRenderedPageBreak/>
        <w:t>Fond</w:t>
      </w:r>
      <w:r>
        <w:rPr>
          <w:spacing w:val="-8"/>
          <w:sz w:val="20"/>
        </w:rPr>
        <w:t xml:space="preserve"> </w:t>
      </w:r>
      <w:r>
        <w:rPr>
          <w:sz w:val="20"/>
        </w:rPr>
        <w:t>je</w:t>
      </w:r>
      <w:r>
        <w:rPr>
          <w:spacing w:val="-9"/>
          <w:sz w:val="20"/>
        </w:rPr>
        <w:t xml:space="preserve"> </w:t>
      </w:r>
      <w:r>
        <w:rPr>
          <w:sz w:val="20"/>
        </w:rPr>
        <w:t>oprávněn</w:t>
      </w:r>
      <w:r>
        <w:rPr>
          <w:spacing w:val="-8"/>
          <w:sz w:val="20"/>
        </w:rPr>
        <w:t xml:space="preserve"> </w:t>
      </w:r>
      <w:r>
        <w:rPr>
          <w:sz w:val="20"/>
        </w:rPr>
        <w:t>pozastavit</w:t>
      </w:r>
      <w:r>
        <w:rPr>
          <w:spacing w:val="-8"/>
          <w:sz w:val="20"/>
        </w:rPr>
        <w:t xml:space="preserve"> </w:t>
      </w:r>
      <w:r>
        <w:rPr>
          <w:sz w:val="20"/>
        </w:rPr>
        <w:t>(či</w:t>
      </w:r>
      <w:r>
        <w:rPr>
          <w:spacing w:val="-8"/>
          <w:sz w:val="20"/>
        </w:rPr>
        <w:t xml:space="preserve"> </w:t>
      </w:r>
      <w:r>
        <w:rPr>
          <w:sz w:val="20"/>
        </w:rPr>
        <w:t>nezahájit)</w:t>
      </w:r>
      <w:r>
        <w:rPr>
          <w:spacing w:val="-9"/>
          <w:sz w:val="20"/>
        </w:rPr>
        <w:t xml:space="preserve"> </w:t>
      </w:r>
      <w:r>
        <w:rPr>
          <w:sz w:val="20"/>
        </w:rPr>
        <w:t>poskytování</w:t>
      </w:r>
      <w:r>
        <w:rPr>
          <w:spacing w:val="-6"/>
          <w:sz w:val="20"/>
        </w:rPr>
        <w:t xml:space="preserve"> </w:t>
      </w:r>
      <w:r>
        <w:rPr>
          <w:sz w:val="20"/>
        </w:rPr>
        <w:t>podpory,</w:t>
      </w:r>
      <w:r>
        <w:rPr>
          <w:spacing w:val="-8"/>
          <w:sz w:val="20"/>
        </w:rPr>
        <w:t xml:space="preserve"> </w:t>
      </w:r>
      <w:r>
        <w:rPr>
          <w:sz w:val="20"/>
        </w:rPr>
        <w:t>pokud</w:t>
      </w:r>
      <w:r>
        <w:rPr>
          <w:spacing w:val="-7"/>
          <w:sz w:val="20"/>
        </w:rPr>
        <w:t xml:space="preserve"> </w:t>
      </w:r>
      <w:r>
        <w:rPr>
          <w:sz w:val="20"/>
        </w:rPr>
        <w:t>zjistí,</w:t>
      </w:r>
      <w:r>
        <w:rPr>
          <w:spacing w:val="-9"/>
          <w:sz w:val="20"/>
        </w:rPr>
        <w:t xml:space="preserve"> </w:t>
      </w:r>
      <w:r>
        <w:rPr>
          <w:sz w:val="20"/>
        </w:rPr>
        <w:t>že</w:t>
      </w:r>
      <w:r>
        <w:rPr>
          <w:spacing w:val="-9"/>
          <w:sz w:val="20"/>
        </w:rPr>
        <w:t xml:space="preserve"> </w:t>
      </w:r>
      <w:r>
        <w:rPr>
          <w:sz w:val="20"/>
        </w:rPr>
        <w:t>příjemce</w:t>
      </w:r>
      <w:r>
        <w:rPr>
          <w:spacing w:val="-9"/>
          <w:sz w:val="20"/>
        </w:rPr>
        <w:t xml:space="preserve"> </w:t>
      </w:r>
      <w:r>
        <w:rPr>
          <w:sz w:val="20"/>
        </w:rPr>
        <w:t>podpory</w:t>
      </w:r>
      <w:r>
        <w:rPr>
          <w:spacing w:val="-8"/>
          <w:sz w:val="20"/>
        </w:rPr>
        <w:t xml:space="preserve"> </w:t>
      </w:r>
      <w:r>
        <w:rPr>
          <w:sz w:val="20"/>
        </w:rPr>
        <w:t>neplní některou z povinností stanovených touto Smlouvou, či je plnění některé povinnosti vážně ohroženo. To platí i pro případ, že příjemce podpory v průběhu realizace akce nehradí z vlastních zdrojů plně výdaje akce přesahující základ pro</w:t>
      </w:r>
      <w:r>
        <w:rPr>
          <w:sz w:val="20"/>
        </w:rPr>
        <w:t xml:space="preserve"> stanovení podpory. Ustanovení článku V bodu 1 tím není</w:t>
      </w:r>
      <w:r>
        <w:rPr>
          <w:spacing w:val="-16"/>
          <w:sz w:val="20"/>
        </w:rPr>
        <w:t xml:space="preserve"> </w:t>
      </w:r>
      <w:r>
        <w:rPr>
          <w:sz w:val="20"/>
        </w:rPr>
        <w:t>dotčeno.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22"/>
        <w:ind w:right="116"/>
        <w:jc w:val="both"/>
        <w:rPr>
          <w:sz w:val="20"/>
        </w:rPr>
      </w:pPr>
      <w:r>
        <w:rPr>
          <w:sz w:val="20"/>
        </w:rPr>
        <w:t>Fond</w:t>
      </w:r>
      <w:r>
        <w:rPr>
          <w:spacing w:val="-12"/>
          <w:sz w:val="20"/>
        </w:rPr>
        <w:t xml:space="preserve"> </w:t>
      </w:r>
      <w:r>
        <w:rPr>
          <w:sz w:val="20"/>
        </w:rPr>
        <w:t>má</w:t>
      </w:r>
      <w:r>
        <w:rPr>
          <w:spacing w:val="-13"/>
          <w:sz w:val="20"/>
        </w:rPr>
        <w:t xml:space="preserve"> </w:t>
      </w:r>
      <w:r>
        <w:rPr>
          <w:sz w:val="20"/>
        </w:rPr>
        <w:t>právo</w:t>
      </w:r>
      <w:r>
        <w:rPr>
          <w:spacing w:val="-12"/>
          <w:sz w:val="20"/>
        </w:rPr>
        <w:t xml:space="preserve"> </w:t>
      </w:r>
      <w:r>
        <w:rPr>
          <w:sz w:val="20"/>
        </w:rPr>
        <w:t>změnit</w:t>
      </w:r>
      <w:r>
        <w:rPr>
          <w:spacing w:val="-13"/>
          <w:sz w:val="20"/>
        </w:rPr>
        <w:t xml:space="preserve"> </w:t>
      </w:r>
      <w:r>
        <w:rPr>
          <w:sz w:val="20"/>
        </w:rPr>
        <w:t>financování</w:t>
      </w:r>
      <w:r>
        <w:rPr>
          <w:spacing w:val="-13"/>
          <w:sz w:val="20"/>
        </w:rPr>
        <w:t xml:space="preserve"> </w:t>
      </w:r>
      <w:r>
        <w:rPr>
          <w:sz w:val="20"/>
        </w:rPr>
        <w:t>akce,</w:t>
      </w:r>
      <w:r>
        <w:rPr>
          <w:spacing w:val="-13"/>
          <w:sz w:val="20"/>
        </w:rPr>
        <w:t xml:space="preserve"> </w:t>
      </w:r>
      <w:r>
        <w:rPr>
          <w:sz w:val="20"/>
        </w:rPr>
        <w:t>zejména</w:t>
      </w:r>
      <w:r>
        <w:rPr>
          <w:spacing w:val="-13"/>
          <w:sz w:val="20"/>
        </w:rPr>
        <w:t xml:space="preserve"> </w:t>
      </w:r>
      <w:r>
        <w:rPr>
          <w:sz w:val="20"/>
        </w:rPr>
        <w:t>změnit</w:t>
      </w:r>
      <w:r>
        <w:rPr>
          <w:spacing w:val="-12"/>
          <w:sz w:val="20"/>
        </w:rPr>
        <w:t xml:space="preserve"> </w:t>
      </w:r>
      <w:r>
        <w:rPr>
          <w:sz w:val="20"/>
        </w:rPr>
        <w:t>výši</w:t>
      </w:r>
      <w:r>
        <w:rPr>
          <w:spacing w:val="-13"/>
          <w:sz w:val="20"/>
        </w:rPr>
        <w:t xml:space="preserve"> </w:t>
      </w:r>
      <w:r>
        <w:rPr>
          <w:sz w:val="20"/>
        </w:rPr>
        <w:t>podpory</w:t>
      </w:r>
      <w:r>
        <w:rPr>
          <w:spacing w:val="-13"/>
          <w:sz w:val="20"/>
        </w:rPr>
        <w:t xml:space="preserve"> </w:t>
      </w:r>
      <w:r>
        <w:rPr>
          <w:sz w:val="20"/>
        </w:rPr>
        <w:t>určené</w:t>
      </w:r>
      <w:r>
        <w:rPr>
          <w:spacing w:val="-14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jednotlivé</w:t>
      </w:r>
      <w:r>
        <w:rPr>
          <w:spacing w:val="-13"/>
          <w:sz w:val="20"/>
        </w:rPr>
        <w:t xml:space="preserve"> </w:t>
      </w:r>
      <w:r>
        <w:rPr>
          <w:sz w:val="20"/>
        </w:rPr>
        <w:t>roky</w:t>
      </w:r>
      <w:r>
        <w:rPr>
          <w:spacing w:val="-13"/>
          <w:sz w:val="20"/>
        </w:rPr>
        <w:t xml:space="preserve"> </w:t>
      </w:r>
      <w:r>
        <w:rPr>
          <w:sz w:val="20"/>
        </w:rPr>
        <w:t>realizace akce. V takovém případě Fond příjemci podpory umožní i odpovídající změnu termínů realiz</w:t>
      </w:r>
      <w:r>
        <w:rPr>
          <w:sz w:val="20"/>
        </w:rPr>
        <w:t>ace</w:t>
      </w:r>
      <w:r>
        <w:rPr>
          <w:spacing w:val="-37"/>
          <w:sz w:val="20"/>
        </w:rPr>
        <w:t xml:space="preserve"> </w:t>
      </w:r>
      <w:r>
        <w:rPr>
          <w:sz w:val="20"/>
        </w:rPr>
        <w:t>akce.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18"/>
        <w:ind w:right="115"/>
        <w:jc w:val="both"/>
        <w:rPr>
          <w:sz w:val="20"/>
        </w:rPr>
      </w:pPr>
      <w:r>
        <w:rPr>
          <w:sz w:val="20"/>
        </w:rPr>
        <w:t>Příjemce podpory je povinen z vlastních zdrojů uhradit veškeré výdaje akce přesahující výši poskytnuté podpory včetně výdajů připadajících na nezpůsobilé výdaje</w:t>
      </w:r>
      <w:r>
        <w:rPr>
          <w:spacing w:val="-9"/>
          <w:sz w:val="20"/>
        </w:rPr>
        <w:t xml:space="preserve"> </w:t>
      </w:r>
      <w:r>
        <w:rPr>
          <w:sz w:val="20"/>
        </w:rPr>
        <w:t>projektu.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ind w:right="118"/>
        <w:jc w:val="both"/>
        <w:rPr>
          <w:sz w:val="20"/>
        </w:rPr>
      </w:pPr>
      <w:r>
        <w:rPr>
          <w:sz w:val="20"/>
        </w:rPr>
        <w:t>Odlišnou výši financování z vlastních zdrojů příjemce podpory, které by zna</w:t>
      </w:r>
      <w:r>
        <w:rPr>
          <w:sz w:val="20"/>
        </w:rPr>
        <w:t>menalo nižší podíl těchto vlastních zdrojů na celkových výdajích akce, může v jednotlivých letech povolit Fond v případě vážných důvodů na základě žádosti příjemce</w:t>
      </w:r>
      <w:r>
        <w:rPr>
          <w:spacing w:val="-3"/>
          <w:sz w:val="20"/>
        </w:rPr>
        <w:t xml:space="preserve"> </w:t>
      </w:r>
      <w:r>
        <w:rPr>
          <w:sz w:val="20"/>
        </w:rPr>
        <w:t>podpory.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ind w:right="110" w:hanging="425"/>
        <w:jc w:val="both"/>
        <w:rPr>
          <w:sz w:val="20"/>
        </w:rPr>
      </w:pPr>
      <w:r>
        <w:rPr>
          <w:sz w:val="20"/>
        </w:rPr>
        <w:t>V</w:t>
      </w:r>
      <w:r>
        <w:rPr>
          <w:spacing w:val="-11"/>
          <w:sz w:val="20"/>
        </w:rPr>
        <w:t xml:space="preserve"> </w:t>
      </w:r>
      <w:r>
        <w:rPr>
          <w:sz w:val="20"/>
        </w:rPr>
        <w:t>průběhu</w:t>
      </w:r>
      <w:r>
        <w:rPr>
          <w:spacing w:val="-12"/>
          <w:sz w:val="20"/>
        </w:rPr>
        <w:t xml:space="preserve"> </w:t>
      </w:r>
      <w:r>
        <w:rPr>
          <w:sz w:val="20"/>
        </w:rPr>
        <w:t>roku</w:t>
      </w:r>
      <w:r>
        <w:rPr>
          <w:spacing w:val="-12"/>
          <w:sz w:val="20"/>
        </w:rPr>
        <w:t xml:space="preserve"> </w:t>
      </w:r>
      <w:r>
        <w:rPr>
          <w:sz w:val="20"/>
        </w:rPr>
        <w:t>bude</w:t>
      </w:r>
      <w:r>
        <w:rPr>
          <w:spacing w:val="-11"/>
          <w:sz w:val="20"/>
        </w:rPr>
        <w:t xml:space="preserve"> </w:t>
      </w:r>
      <w:r>
        <w:rPr>
          <w:sz w:val="20"/>
        </w:rPr>
        <w:t>Fond</w:t>
      </w:r>
      <w:r>
        <w:rPr>
          <w:spacing w:val="-9"/>
          <w:sz w:val="20"/>
        </w:rPr>
        <w:t xml:space="preserve"> </w:t>
      </w:r>
      <w:r>
        <w:rPr>
          <w:sz w:val="20"/>
        </w:rPr>
        <w:t>poskytovat</w:t>
      </w:r>
      <w:r>
        <w:rPr>
          <w:spacing w:val="-12"/>
          <w:sz w:val="20"/>
        </w:rPr>
        <w:t xml:space="preserve"> </w:t>
      </w:r>
      <w:r>
        <w:rPr>
          <w:sz w:val="20"/>
        </w:rPr>
        <w:t>podporu</w:t>
      </w:r>
      <w:r>
        <w:rPr>
          <w:spacing w:val="-10"/>
          <w:sz w:val="20"/>
        </w:rPr>
        <w:t xml:space="preserve"> </w:t>
      </w:r>
      <w:r>
        <w:rPr>
          <w:sz w:val="20"/>
        </w:rPr>
        <w:t>v</w:t>
      </w:r>
      <w:r>
        <w:rPr>
          <w:spacing w:val="-11"/>
          <w:sz w:val="20"/>
        </w:rPr>
        <w:t xml:space="preserve"> </w:t>
      </w:r>
      <w:r>
        <w:rPr>
          <w:sz w:val="20"/>
        </w:rPr>
        <w:t>závislosti</w:t>
      </w:r>
      <w:r>
        <w:rPr>
          <w:spacing w:val="-12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postupu</w:t>
      </w:r>
      <w:r>
        <w:rPr>
          <w:spacing w:val="-11"/>
          <w:sz w:val="20"/>
        </w:rPr>
        <w:t xml:space="preserve"> </w:t>
      </w:r>
      <w:r>
        <w:rPr>
          <w:sz w:val="20"/>
        </w:rPr>
        <w:t>realizace</w:t>
      </w:r>
      <w:r>
        <w:rPr>
          <w:spacing w:val="-13"/>
          <w:sz w:val="20"/>
        </w:rPr>
        <w:t xml:space="preserve"> </w:t>
      </w:r>
      <w:r>
        <w:rPr>
          <w:sz w:val="20"/>
        </w:rPr>
        <w:t>akce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plnění</w:t>
      </w:r>
      <w:r>
        <w:rPr>
          <w:spacing w:val="-12"/>
          <w:sz w:val="20"/>
        </w:rPr>
        <w:t xml:space="preserve"> </w:t>
      </w:r>
      <w:r>
        <w:rPr>
          <w:sz w:val="20"/>
        </w:rPr>
        <w:t>podmínek této Smlouvy. Konkrétní částky podpory budou poskytovány do úhrnné výše určené Smlouvou na dané období    dle    Fondem     akceptovaného     finančně     platebního     kalendáře     v AIS     SFŽP     ČR a na základě žádostí o uvolnění finančníc</w:t>
      </w:r>
      <w:r>
        <w:rPr>
          <w:sz w:val="20"/>
        </w:rPr>
        <w:t>h prostředků doručených Fondu příjemcem podpory prostřednictvím AIS SFŽP</w:t>
      </w:r>
      <w:r>
        <w:rPr>
          <w:spacing w:val="-3"/>
          <w:sz w:val="20"/>
        </w:rPr>
        <w:t xml:space="preserve"> </w:t>
      </w:r>
      <w:r>
        <w:rPr>
          <w:sz w:val="20"/>
        </w:rPr>
        <w:t>ČR.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20"/>
        <w:ind w:hanging="426"/>
        <w:jc w:val="left"/>
        <w:rPr>
          <w:sz w:val="20"/>
        </w:rPr>
      </w:pPr>
      <w:r>
        <w:rPr>
          <w:sz w:val="20"/>
        </w:rPr>
        <w:t>Žádost o uvolnění finančních prostředků bude obsahovat tyto</w:t>
      </w:r>
      <w:r>
        <w:rPr>
          <w:spacing w:val="-7"/>
          <w:sz w:val="20"/>
        </w:rPr>
        <w:t xml:space="preserve"> </w:t>
      </w:r>
      <w:r>
        <w:rPr>
          <w:sz w:val="20"/>
        </w:rPr>
        <w:t>náležitosti: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50"/>
        </w:tabs>
        <w:spacing w:before="120"/>
        <w:rPr>
          <w:sz w:val="20"/>
        </w:rPr>
      </w:pPr>
      <w:r>
        <w:rPr>
          <w:sz w:val="20"/>
        </w:rPr>
        <w:t>kopie faktur a ostatních účetních</w:t>
      </w:r>
      <w:r>
        <w:rPr>
          <w:spacing w:val="-3"/>
          <w:sz w:val="20"/>
        </w:rPr>
        <w:t xml:space="preserve"> </w:t>
      </w:r>
      <w:r>
        <w:rPr>
          <w:sz w:val="20"/>
        </w:rPr>
        <w:t>dokladů,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50"/>
        </w:tabs>
        <w:spacing w:before="118"/>
        <w:ind w:right="117"/>
        <w:rPr>
          <w:sz w:val="20"/>
        </w:rPr>
      </w:pPr>
      <w:r>
        <w:rPr>
          <w:sz w:val="20"/>
        </w:rPr>
        <w:t>kopie bankovních výpisů dokladující uhrazení faktur zhotoviteli, případně doklady, že došlo ke skutečnému uhrazení výdajů, včetně souvisejících</w:t>
      </w:r>
      <w:r>
        <w:rPr>
          <w:spacing w:val="-4"/>
          <w:sz w:val="20"/>
        </w:rPr>
        <w:t xml:space="preserve"> </w:t>
      </w:r>
      <w:r>
        <w:rPr>
          <w:sz w:val="20"/>
        </w:rPr>
        <w:t>odvodů,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49"/>
          <w:tab w:val="left" w:pos="950"/>
        </w:tabs>
        <w:rPr>
          <w:sz w:val="20"/>
        </w:rPr>
      </w:pPr>
      <w:r>
        <w:rPr>
          <w:sz w:val="20"/>
        </w:rPr>
        <w:t>kopii technického průkazu pořízeného</w:t>
      </w:r>
      <w:r>
        <w:rPr>
          <w:spacing w:val="1"/>
          <w:sz w:val="20"/>
        </w:rPr>
        <w:t xml:space="preserve"> </w:t>
      </w:r>
      <w:r>
        <w:rPr>
          <w:sz w:val="20"/>
        </w:rPr>
        <w:t>vozidla,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50"/>
        </w:tabs>
        <w:rPr>
          <w:sz w:val="20"/>
        </w:rPr>
      </w:pPr>
      <w:r>
        <w:rPr>
          <w:sz w:val="20"/>
        </w:rPr>
        <w:t>fotodokumentaci prokazující splnění povinné publicity podl</w:t>
      </w:r>
      <w:r>
        <w:rPr>
          <w:sz w:val="20"/>
        </w:rPr>
        <w:t>e čl. 15</w:t>
      </w:r>
      <w:r>
        <w:rPr>
          <w:spacing w:val="-4"/>
          <w:sz w:val="20"/>
        </w:rPr>
        <w:t xml:space="preserve"> </w:t>
      </w:r>
      <w:r>
        <w:rPr>
          <w:sz w:val="20"/>
        </w:rPr>
        <w:t>Výzvy,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50"/>
        </w:tabs>
        <w:spacing w:before="120"/>
        <w:rPr>
          <w:sz w:val="20"/>
        </w:rPr>
      </w:pPr>
      <w:r>
        <w:rPr>
          <w:sz w:val="20"/>
        </w:rPr>
        <w:t>předávací</w:t>
      </w:r>
      <w:r>
        <w:rPr>
          <w:spacing w:val="-6"/>
          <w:sz w:val="20"/>
        </w:rPr>
        <w:t xml:space="preserve"> </w:t>
      </w:r>
      <w:r>
        <w:rPr>
          <w:sz w:val="20"/>
        </w:rPr>
        <w:t>protokol</w:t>
      </w:r>
      <w:r>
        <w:rPr>
          <w:spacing w:val="-6"/>
          <w:sz w:val="20"/>
        </w:rPr>
        <w:t xml:space="preserve"> </w:t>
      </w:r>
      <w:r>
        <w:rPr>
          <w:sz w:val="20"/>
        </w:rPr>
        <w:t>k</w:t>
      </w:r>
      <w:r>
        <w:rPr>
          <w:spacing w:val="-6"/>
          <w:sz w:val="20"/>
        </w:rPr>
        <w:t xml:space="preserve"> </w:t>
      </w:r>
      <w:r>
        <w:rPr>
          <w:sz w:val="20"/>
        </w:rPr>
        <w:t>zakoupenému</w:t>
      </w:r>
      <w:r>
        <w:rPr>
          <w:spacing w:val="-5"/>
          <w:sz w:val="20"/>
        </w:rPr>
        <w:t xml:space="preserve"> </w:t>
      </w:r>
      <w:r>
        <w:rPr>
          <w:sz w:val="20"/>
        </w:rPr>
        <w:t>vozidlu,</w:t>
      </w:r>
      <w:r>
        <w:rPr>
          <w:spacing w:val="-6"/>
          <w:sz w:val="20"/>
        </w:rPr>
        <w:t xml:space="preserve"> </w:t>
      </w:r>
      <w:r>
        <w:rPr>
          <w:sz w:val="20"/>
        </w:rPr>
        <w:t>podepsaný</w:t>
      </w:r>
      <w:r>
        <w:rPr>
          <w:spacing w:val="-6"/>
          <w:sz w:val="20"/>
        </w:rPr>
        <w:t xml:space="preserve"> </w:t>
      </w:r>
      <w:r>
        <w:rPr>
          <w:sz w:val="20"/>
        </w:rPr>
        <w:t>zástupcem</w:t>
      </w:r>
      <w:r>
        <w:rPr>
          <w:spacing w:val="-7"/>
          <w:sz w:val="20"/>
        </w:rPr>
        <w:t xml:space="preserve"> </w:t>
      </w:r>
      <w:r>
        <w:rPr>
          <w:sz w:val="20"/>
        </w:rPr>
        <w:t>příjemce</w:t>
      </w:r>
      <w:r>
        <w:rPr>
          <w:spacing w:val="-6"/>
          <w:sz w:val="20"/>
        </w:rPr>
        <w:t xml:space="preserve"> </w:t>
      </w:r>
      <w:r>
        <w:rPr>
          <w:sz w:val="20"/>
        </w:rPr>
        <w:t>podpory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dodavatele,</w:t>
      </w:r>
    </w:p>
    <w:p w:rsidR="00DF1C16" w:rsidRDefault="00AE26AB">
      <w:pPr>
        <w:pStyle w:val="Odstavecseseznamem"/>
        <w:numPr>
          <w:ilvl w:val="1"/>
          <w:numId w:val="5"/>
        </w:numPr>
        <w:tabs>
          <w:tab w:val="left" w:pos="949"/>
          <w:tab w:val="left" w:pos="950"/>
        </w:tabs>
        <w:spacing w:before="120"/>
        <w:ind w:right="115"/>
        <w:rPr>
          <w:sz w:val="20"/>
        </w:rPr>
      </w:pPr>
      <w:r>
        <w:rPr>
          <w:sz w:val="20"/>
        </w:rPr>
        <w:t>aktuální</w:t>
      </w:r>
      <w:r>
        <w:rPr>
          <w:spacing w:val="-12"/>
          <w:sz w:val="20"/>
        </w:rPr>
        <w:t xml:space="preserve"> </w:t>
      </w:r>
      <w:r>
        <w:rPr>
          <w:sz w:val="20"/>
        </w:rPr>
        <w:t>prohlášení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plátcovství</w:t>
      </w:r>
      <w:r>
        <w:rPr>
          <w:spacing w:val="-11"/>
          <w:sz w:val="20"/>
        </w:rPr>
        <w:t xml:space="preserve"> </w:t>
      </w:r>
      <w:r>
        <w:rPr>
          <w:sz w:val="20"/>
        </w:rPr>
        <w:t>DPH</w:t>
      </w:r>
      <w:r>
        <w:rPr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z w:val="20"/>
        </w:rPr>
        <w:t>pokud</w:t>
      </w:r>
      <w:r>
        <w:rPr>
          <w:spacing w:val="-11"/>
          <w:sz w:val="20"/>
        </w:rPr>
        <w:t xml:space="preserve"> </w:t>
      </w:r>
      <w:r>
        <w:rPr>
          <w:sz w:val="20"/>
        </w:rPr>
        <w:t>je</w:t>
      </w:r>
      <w:r>
        <w:rPr>
          <w:spacing w:val="-13"/>
          <w:sz w:val="20"/>
        </w:rPr>
        <w:t xml:space="preserve"> </w:t>
      </w:r>
      <w:r>
        <w:rPr>
          <w:sz w:val="20"/>
        </w:rPr>
        <w:t>příjemce</w:t>
      </w:r>
      <w:r>
        <w:rPr>
          <w:spacing w:val="-13"/>
          <w:sz w:val="20"/>
        </w:rPr>
        <w:t xml:space="preserve"> </w:t>
      </w:r>
      <w:r>
        <w:rPr>
          <w:sz w:val="20"/>
        </w:rPr>
        <w:t>podpory</w:t>
      </w:r>
      <w:r>
        <w:rPr>
          <w:spacing w:val="-12"/>
          <w:sz w:val="20"/>
        </w:rPr>
        <w:t xml:space="preserve"> </w:t>
      </w:r>
      <w:r>
        <w:rPr>
          <w:sz w:val="20"/>
        </w:rPr>
        <w:t>plátcem,</w:t>
      </w:r>
      <w:r>
        <w:rPr>
          <w:spacing w:val="-11"/>
          <w:sz w:val="20"/>
        </w:rPr>
        <w:t xml:space="preserve"> </w:t>
      </w:r>
      <w:r>
        <w:rPr>
          <w:sz w:val="20"/>
        </w:rPr>
        <w:t>ale</w:t>
      </w:r>
      <w:r>
        <w:rPr>
          <w:spacing w:val="-13"/>
          <w:sz w:val="20"/>
        </w:rPr>
        <w:t xml:space="preserve"> </w:t>
      </w:r>
      <w:r>
        <w:rPr>
          <w:sz w:val="20"/>
        </w:rPr>
        <w:t>nemůže</w:t>
      </w:r>
      <w:r>
        <w:rPr>
          <w:spacing w:val="-13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předmět podpory</w:t>
      </w:r>
      <w:r>
        <w:rPr>
          <w:spacing w:val="-13"/>
          <w:sz w:val="20"/>
        </w:rPr>
        <w:t xml:space="preserve"> </w:t>
      </w:r>
      <w:r>
        <w:rPr>
          <w:sz w:val="20"/>
        </w:rPr>
        <w:t>uplatňovat</w:t>
      </w:r>
      <w:r>
        <w:rPr>
          <w:spacing w:val="-13"/>
          <w:sz w:val="20"/>
        </w:rPr>
        <w:t xml:space="preserve"> </w:t>
      </w:r>
      <w:r>
        <w:rPr>
          <w:sz w:val="20"/>
        </w:rPr>
        <w:t>odpočet</w:t>
      </w:r>
      <w:r>
        <w:rPr>
          <w:spacing w:val="-12"/>
          <w:sz w:val="20"/>
        </w:rPr>
        <w:t xml:space="preserve"> </w:t>
      </w:r>
      <w:r>
        <w:rPr>
          <w:sz w:val="20"/>
        </w:rPr>
        <w:t>DPH,</w:t>
      </w:r>
      <w:r>
        <w:rPr>
          <w:spacing w:val="-12"/>
          <w:sz w:val="20"/>
        </w:rPr>
        <w:t xml:space="preserve"> </w:t>
      </w:r>
      <w:r>
        <w:rPr>
          <w:sz w:val="20"/>
        </w:rPr>
        <w:t>doloží</w:t>
      </w:r>
      <w:r>
        <w:rPr>
          <w:spacing w:val="-13"/>
          <w:sz w:val="20"/>
        </w:rPr>
        <w:t xml:space="preserve"> </w:t>
      </w:r>
      <w:r>
        <w:rPr>
          <w:sz w:val="20"/>
        </w:rPr>
        <w:t>tuto</w:t>
      </w:r>
      <w:r>
        <w:rPr>
          <w:spacing w:val="-11"/>
          <w:sz w:val="20"/>
        </w:rPr>
        <w:t xml:space="preserve"> </w:t>
      </w:r>
      <w:r>
        <w:rPr>
          <w:sz w:val="20"/>
        </w:rPr>
        <w:t>skutečnost</w:t>
      </w:r>
      <w:r>
        <w:rPr>
          <w:spacing w:val="-9"/>
          <w:sz w:val="20"/>
        </w:rPr>
        <w:t xml:space="preserve"> </w:t>
      </w:r>
      <w:r>
        <w:rPr>
          <w:sz w:val="20"/>
        </w:rPr>
        <w:t>čestným</w:t>
      </w:r>
      <w:r>
        <w:rPr>
          <w:spacing w:val="-14"/>
          <w:sz w:val="20"/>
        </w:rPr>
        <w:t xml:space="preserve"> </w:t>
      </w:r>
      <w:r>
        <w:rPr>
          <w:sz w:val="20"/>
        </w:rPr>
        <w:t>prohlášením,</w:t>
      </w:r>
      <w:r>
        <w:rPr>
          <w:spacing w:val="-12"/>
          <w:sz w:val="20"/>
        </w:rPr>
        <w:t xml:space="preserve"> </w:t>
      </w:r>
      <w:r>
        <w:rPr>
          <w:sz w:val="20"/>
        </w:rPr>
        <w:t>včetně</w:t>
      </w:r>
      <w:r>
        <w:rPr>
          <w:spacing w:val="-14"/>
          <w:sz w:val="20"/>
        </w:rPr>
        <w:t xml:space="preserve"> </w:t>
      </w:r>
      <w:r>
        <w:rPr>
          <w:sz w:val="20"/>
        </w:rPr>
        <w:t>zdůvodnění.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19"/>
        <w:ind w:right="111" w:hanging="425"/>
        <w:jc w:val="both"/>
        <w:rPr>
          <w:sz w:val="20"/>
        </w:rPr>
      </w:pPr>
      <w:r>
        <w:rPr>
          <w:sz w:val="20"/>
        </w:rPr>
        <w:t>Žádostí o uvolnění finančních prostředků a předložením kopií faktur příjemce podpory mj. potvrzuje, že předložené faktury odpovídají skutečným, účelně vynaloženým a způsobilým výdajům</w:t>
      </w:r>
      <w:r>
        <w:rPr>
          <w:spacing w:val="-15"/>
          <w:sz w:val="20"/>
        </w:rPr>
        <w:t xml:space="preserve"> </w:t>
      </w:r>
      <w:r>
        <w:rPr>
          <w:sz w:val="20"/>
        </w:rPr>
        <w:t>akce.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ind w:right="108" w:hanging="425"/>
        <w:jc w:val="both"/>
        <w:rPr>
          <w:sz w:val="20"/>
        </w:rPr>
      </w:pPr>
      <w:r>
        <w:rPr>
          <w:sz w:val="20"/>
        </w:rPr>
        <w:t>Fondu mohou být</w:t>
      </w:r>
      <w:r>
        <w:rPr>
          <w:sz w:val="20"/>
        </w:rPr>
        <w:t xml:space="preserve"> předloženy pouze faktury již uhrazené. Fond akceptuje předložení faktur i z roku předcházejícího uvolnění podpory, pokud fakturace odpovídá termínům realizace</w:t>
      </w:r>
      <w:r>
        <w:rPr>
          <w:spacing w:val="-11"/>
          <w:sz w:val="20"/>
        </w:rPr>
        <w:t xml:space="preserve"> </w:t>
      </w:r>
      <w:r>
        <w:rPr>
          <w:sz w:val="20"/>
        </w:rPr>
        <w:t>akce.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ind w:right="119" w:hanging="425"/>
        <w:jc w:val="both"/>
        <w:rPr>
          <w:sz w:val="20"/>
        </w:rPr>
      </w:pPr>
      <w:r>
        <w:rPr>
          <w:sz w:val="20"/>
        </w:rPr>
        <w:t>Fond je oprávněn vydat pokyny, které mohou uvedený výčet náležitostí změnit, popřípadě roz</w:t>
      </w:r>
      <w:r>
        <w:rPr>
          <w:sz w:val="20"/>
        </w:rPr>
        <w:t>šířit. Příjemce</w:t>
      </w:r>
      <w:r>
        <w:rPr>
          <w:spacing w:val="-3"/>
          <w:sz w:val="20"/>
        </w:rPr>
        <w:t xml:space="preserve"> </w:t>
      </w:r>
      <w:r>
        <w:rPr>
          <w:sz w:val="20"/>
        </w:rPr>
        <w:t>podpory</w:t>
      </w:r>
      <w:r>
        <w:rPr>
          <w:spacing w:val="-5"/>
          <w:sz w:val="20"/>
        </w:rPr>
        <w:t xml:space="preserve"> </w:t>
      </w:r>
      <w:r>
        <w:rPr>
          <w:sz w:val="20"/>
        </w:rPr>
        <w:t>je</w:t>
      </w:r>
      <w:r>
        <w:rPr>
          <w:spacing w:val="-5"/>
          <w:sz w:val="20"/>
        </w:rPr>
        <w:t xml:space="preserve"> </w:t>
      </w:r>
      <w:r>
        <w:rPr>
          <w:sz w:val="20"/>
        </w:rPr>
        <w:t>povinen</w:t>
      </w:r>
      <w:r>
        <w:rPr>
          <w:spacing w:val="-4"/>
          <w:sz w:val="20"/>
        </w:rPr>
        <w:t xml:space="preserve"> </w:t>
      </w:r>
      <w:r>
        <w:rPr>
          <w:sz w:val="20"/>
        </w:rPr>
        <w:t>takové</w:t>
      </w:r>
      <w:r>
        <w:rPr>
          <w:spacing w:val="-5"/>
          <w:sz w:val="20"/>
        </w:rPr>
        <w:t xml:space="preserve"> </w:t>
      </w:r>
      <w:r>
        <w:rPr>
          <w:sz w:val="20"/>
        </w:rPr>
        <w:t>pokyny</w:t>
      </w:r>
      <w:r>
        <w:rPr>
          <w:spacing w:val="-4"/>
          <w:sz w:val="20"/>
        </w:rPr>
        <w:t xml:space="preserve"> </w:t>
      </w:r>
      <w:r>
        <w:rPr>
          <w:sz w:val="20"/>
        </w:rPr>
        <w:t>vydané</w:t>
      </w:r>
      <w:r>
        <w:rPr>
          <w:spacing w:val="-5"/>
          <w:sz w:val="20"/>
        </w:rPr>
        <w:t xml:space="preserve"> </w:t>
      </w:r>
      <w:r>
        <w:rPr>
          <w:sz w:val="20"/>
        </w:rPr>
        <w:t>Fondem</w:t>
      </w:r>
      <w:r>
        <w:rPr>
          <w:spacing w:val="-6"/>
          <w:sz w:val="20"/>
        </w:rPr>
        <w:t xml:space="preserve"> </w:t>
      </w:r>
      <w:r>
        <w:rPr>
          <w:sz w:val="20"/>
        </w:rPr>
        <w:t>splnit.</w:t>
      </w:r>
      <w:r>
        <w:rPr>
          <w:spacing w:val="-3"/>
          <w:sz w:val="20"/>
        </w:rPr>
        <w:t xml:space="preserve"> </w:t>
      </w:r>
      <w:r>
        <w:rPr>
          <w:sz w:val="20"/>
        </w:rPr>
        <w:t>Tyto</w:t>
      </w:r>
      <w:r>
        <w:rPr>
          <w:spacing w:val="-4"/>
          <w:sz w:val="20"/>
        </w:rPr>
        <w:t xml:space="preserve"> </w:t>
      </w:r>
      <w:r>
        <w:rPr>
          <w:sz w:val="20"/>
        </w:rPr>
        <w:t>pokyny</w:t>
      </w:r>
      <w:r>
        <w:rPr>
          <w:spacing w:val="-2"/>
          <w:sz w:val="20"/>
        </w:rPr>
        <w:t xml:space="preserve"> </w:t>
      </w:r>
      <w:r>
        <w:rPr>
          <w:sz w:val="20"/>
        </w:rPr>
        <w:t>mohou</w:t>
      </w:r>
      <w:r>
        <w:rPr>
          <w:spacing w:val="-4"/>
          <w:sz w:val="20"/>
        </w:rPr>
        <w:t xml:space="preserve"> </w:t>
      </w:r>
      <w:r>
        <w:rPr>
          <w:sz w:val="20"/>
        </w:rPr>
        <w:t>být</w:t>
      </w:r>
      <w:r>
        <w:rPr>
          <w:spacing w:val="-5"/>
          <w:sz w:val="20"/>
        </w:rPr>
        <w:t xml:space="preserve"> </w:t>
      </w:r>
      <w:r>
        <w:rPr>
          <w:sz w:val="20"/>
        </w:rPr>
        <w:t>uvedeny</w:t>
      </w:r>
      <w:r>
        <w:rPr>
          <w:spacing w:val="-3"/>
          <w:sz w:val="20"/>
        </w:rPr>
        <w:t xml:space="preserve"> </w:t>
      </w:r>
      <w:r>
        <w:rPr>
          <w:sz w:val="20"/>
        </w:rPr>
        <w:t>na formuláři finančně platebního</w:t>
      </w:r>
      <w:r>
        <w:rPr>
          <w:spacing w:val="-2"/>
          <w:sz w:val="20"/>
        </w:rPr>
        <w:t xml:space="preserve"> </w:t>
      </w:r>
      <w:r>
        <w:rPr>
          <w:sz w:val="20"/>
        </w:rPr>
        <w:t>kalendáře.</w:t>
      </w:r>
    </w:p>
    <w:p w:rsidR="00DF1C16" w:rsidRDefault="00AE26AB">
      <w:pPr>
        <w:pStyle w:val="Odstavecseseznamem"/>
        <w:numPr>
          <w:ilvl w:val="0"/>
          <w:numId w:val="5"/>
        </w:numPr>
        <w:tabs>
          <w:tab w:val="left" w:pos="526"/>
        </w:tabs>
        <w:spacing w:before="118"/>
        <w:ind w:right="115" w:hanging="425"/>
        <w:jc w:val="both"/>
        <w:rPr>
          <w:sz w:val="20"/>
        </w:rPr>
      </w:pPr>
      <w:r>
        <w:rPr>
          <w:sz w:val="20"/>
        </w:rPr>
        <w:t>V případě, že příjemce podpory obdrží od dodavatele storno nebo dobropis faktury, je povinen tyto doklady včetn</w:t>
      </w:r>
      <w:r>
        <w:rPr>
          <w:sz w:val="20"/>
        </w:rPr>
        <w:t>ě zdůvodnění a kopie bankovního výpisu neprodleně po obdržení a provedení kontroly zaslat Fondu a splnit povinnost stanovenou v článku IV bodu 2 písm.</w:t>
      </w:r>
      <w:r>
        <w:rPr>
          <w:spacing w:val="-5"/>
          <w:sz w:val="20"/>
        </w:rPr>
        <w:t xml:space="preserve"> </w:t>
      </w:r>
      <w:r>
        <w:rPr>
          <w:sz w:val="20"/>
        </w:rPr>
        <w:t>c).</w:t>
      </w:r>
    </w:p>
    <w:p w:rsidR="00DF1C16" w:rsidRDefault="00DF1C16">
      <w:pPr>
        <w:pStyle w:val="Zkladntext"/>
        <w:spacing w:before="10"/>
        <w:ind w:left="0"/>
        <w:jc w:val="left"/>
        <w:rPr>
          <w:sz w:val="28"/>
        </w:rPr>
      </w:pPr>
    </w:p>
    <w:p w:rsidR="00DF1C16" w:rsidRDefault="00AE26AB">
      <w:pPr>
        <w:pStyle w:val="Nadpis1"/>
        <w:spacing w:before="100"/>
        <w:ind w:left="3279"/>
      </w:pPr>
      <w:r>
        <w:t>IV.</w:t>
      </w:r>
    </w:p>
    <w:p w:rsidR="00DF1C16" w:rsidRDefault="00AE26AB">
      <w:pPr>
        <w:ind w:left="1142" w:right="1018"/>
        <w:jc w:val="center"/>
        <w:rPr>
          <w:b/>
          <w:sz w:val="20"/>
        </w:rPr>
      </w:pPr>
      <w:r>
        <w:rPr>
          <w:b/>
          <w:sz w:val="20"/>
        </w:rPr>
        <w:t>Základní závazky a další povinnosti příjemce podpory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4"/>
        </w:numPr>
        <w:tabs>
          <w:tab w:val="left" w:pos="526"/>
        </w:tabs>
        <w:spacing w:before="0"/>
        <w:rPr>
          <w:sz w:val="20"/>
        </w:rPr>
      </w:pPr>
      <w:r>
        <w:rPr>
          <w:sz w:val="20"/>
        </w:rPr>
        <w:t>Příjemce</w:t>
      </w:r>
      <w:r>
        <w:rPr>
          <w:spacing w:val="-2"/>
          <w:sz w:val="20"/>
        </w:rPr>
        <w:t xml:space="preserve"> </w:t>
      </w:r>
      <w:r>
        <w:rPr>
          <w:sz w:val="20"/>
        </w:rPr>
        <w:t>podpory: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8"/>
        <w:rPr>
          <w:sz w:val="20"/>
        </w:rPr>
      </w:pPr>
      <w:r>
        <w:rPr>
          <w:sz w:val="20"/>
        </w:rPr>
        <w:t>se zavazuje splnit účel akce tím,</w:t>
      </w:r>
      <w:r>
        <w:rPr>
          <w:spacing w:val="-6"/>
          <w:sz w:val="20"/>
        </w:rPr>
        <w:t xml:space="preserve"> </w:t>
      </w:r>
      <w:r>
        <w:rPr>
          <w:sz w:val="20"/>
        </w:rPr>
        <w:t>že:</w:t>
      </w:r>
    </w:p>
    <w:p w:rsidR="00DF1C16" w:rsidRDefault="00DF1C16">
      <w:pPr>
        <w:rPr>
          <w:sz w:val="20"/>
        </w:rPr>
        <w:sectPr w:rsidR="00DF1C16">
          <w:pgSz w:w="12240" w:h="15840"/>
          <w:pgMar w:top="1060" w:right="1020" w:bottom="1600" w:left="1460" w:header="0" w:footer="1380" w:gutter="0"/>
          <w:cols w:space="708"/>
        </w:sectPr>
      </w:pP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73"/>
        <w:rPr>
          <w:sz w:val="20"/>
        </w:rPr>
      </w:pPr>
      <w:r>
        <w:rPr>
          <w:sz w:val="20"/>
        </w:rPr>
        <w:lastRenderedPageBreak/>
        <w:t>akce bude provedena v předpokládaném rozsahu podle Fondem odsouhlaseného popisu</w:t>
      </w:r>
      <w:r>
        <w:rPr>
          <w:spacing w:val="47"/>
          <w:sz w:val="20"/>
        </w:rPr>
        <w:t xml:space="preserve"> </w:t>
      </w:r>
      <w:r>
        <w:rPr>
          <w:sz w:val="20"/>
        </w:rPr>
        <w:t>projektu</w:t>
      </w:r>
    </w:p>
    <w:p w:rsidR="00DF1C16" w:rsidRDefault="00AE26AB">
      <w:pPr>
        <w:pStyle w:val="Zkladntext"/>
        <w:ind w:left="923" w:right="116"/>
      </w:pPr>
      <w:r>
        <w:t>„Pořízení vozidla s alternativním pohonem N1 pro Služby obce Slatinice s.r.o.“, který je součástí žádosti ze dne 30</w:t>
      </w:r>
      <w:r>
        <w:t>. 3. 2020 a jejích příloh, a na základě smlouvy s dodavatelem ze dne 10. 11. 2020 včetně výběrového řízení, včetně případných změn a doplňků těchto dokumentů, odsouhlasených Fondem,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3"/>
          <w:tab w:val="left" w:pos="924"/>
        </w:tabs>
        <w:spacing w:before="122"/>
        <w:ind w:right="111"/>
        <w:jc w:val="left"/>
        <w:rPr>
          <w:sz w:val="20"/>
        </w:rPr>
      </w:pPr>
      <w:r>
        <w:rPr>
          <w:sz w:val="20"/>
        </w:rPr>
        <w:t>pořídí 1 ks vozidla s pohonem elektro a bude jej po dobu 3 let od ukončení</w:t>
      </w:r>
      <w:r>
        <w:rPr>
          <w:sz w:val="20"/>
        </w:rPr>
        <w:t xml:space="preserve"> realizace akce řádně provozovat.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8"/>
        <w:rPr>
          <w:sz w:val="20"/>
        </w:rPr>
      </w:pPr>
      <w:r>
        <w:rPr>
          <w:sz w:val="20"/>
        </w:rPr>
        <w:t>se zavazuje k tomu,</w:t>
      </w:r>
      <w:r>
        <w:rPr>
          <w:spacing w:val="-4"/>
          <w:sz w:val="20"/>
        </w:rPr>
        <w:t xml:space="preserve"> </w:t>
      </w:r>
      <w:r>
        <w:rPr>
          <w:sz w:val="20"/>
        </w:rPr>
        <w:t>že: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3"/>
          <w:tab w:val="left" w:pos="924"/>
        </w:tabs>
        <w:jc w:val="left"/>
        <w:rPr>
          <w:sz w:val="20"/>
        </w:rPr>
      </w:pPr>
      <w:r>
        <w:rPr>
          <w:sz w:val="20"/>
        </w:rPr>
        <w:t>bude dodržovat ustanovení Směrnice MŽP a</w:t>
      </w:r>
      <w:r>
        <w:rPr>
          <w:spacing w:val="-5"/>
          <w:sz w:val="20"/>
        </w:rPr>
        <w:t xml:space="preserve"> </w:t>
      </w:r>
      <w:r>
        <w:rPr>
          <w:sz w:val="20"/>
        </w:rPr>
        <w:t>Výzvy,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0"/>
        <w:ind w:right="110"/>
        <w:rPr>
          <w:sz w:val="20"/>
        </w:rPr>
      </w:pPr>
      <w:r>
        <w:rPr>
          <w:sz w:val="20"/>
        </w:rPr>
        <w:t>předmět podpory podle této Smlouvy, (pokud se jedná o vozidlo M2 nebo M3 podle čl. 4.1 Výzvy) nebude provozovat k účelu zajištění dopravní obslužnosti</w:t>
      </w:r>
      <w:r>
        <w:rPr>
          <w:sz w:val="20"/>
        </w:rPr>
        <w:t xml:space="preserve"> jako veřejné služby v přepravě cestujících (zákon č. 194/2010 Sb., o veřejných službách v přepravě cestujících a o změně některých zákonů,</w:t>
      </w:r>
      <w:r>
        <w:rPr>
          <w:spacing w:val="-35"/>
          <w:sz w:val="20"/>
        </w:rPr>
        <w:t xml:space="preserve"> </w:t>
      </w:r>
      <w:r>
        <w:rPr>
          <w:sz w:val="20"/>
        </w:rPr>
        <w:t>ve znění pozdějších</w:t>
      </w:r>
      <w:r>
        <w:rPr>
          <w:spacing w:val="-2"/>
          <w:sz w:val="20"/>
        </w:rPr>
        <w:t xml:space="preserve"> </w:t>
      </w:r>
      <w:r>
        <w:rPr>
          <w:sz w:val="20"/>
        </w:rPr>
        <w:t>předpisů),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0"/>
        <w:ind w:right="113"/>
        <w:rPr>
          <w:sz w:val="20"/>
        </w:rPr>
      </w:pPr>
      <w:r>
        <w:rPr>
          <w:sz w:val="20"/>
        </w:rPr>
        <w:t xml:space="preserve">nejpozději 1 měsíc po dokončení realizace projektu, pokud Fond nepovolí jiný termín, </w:t>
      </w:r>
      <w:r>
        <w:rPr>
          <w:sz w:val="20"/>
        </w:rPr>
        <w:t>se stane vlastníkem věcí pořizovaných s podporou podle této Smlouvy; pokud je příjemce podpory příspěvkovou organizací, považuje se tato podmínka za splněnou v případě, že vlastníkem se stane zřizovatel příjemce podpory a příjemce podpory v uvedené lhůtě n</w:t>
      </w:r>
      <w:r>
        <w:rPr>
          <w:sz w:val="20"/>
        </w:rPr>
        <w:t>abyde právo</w:t>
      </w:r>
      <w:r>
        <w:rPr>
          <w:spacing w:val="-12"/>
          <w:sz w:val="20"/>
        </w:rPr>
        <w:t xml:space="preserve"> </w:t>
      </w:r>
      <w:r>
        <w:rPr>
          <w:sz w:val="20"/>
        </w:rPr>
        <w:t>hospodaření,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ind w:right="111"/>
        <w:rPr>
          <w:sz w:val="20"/>
        </w:rPr>
      </w:pPr>
      <w:r>
        <w:rPr>
          <w:sz w:val="20"/>
        </w:rPr>
        <w:t>bude</w:t>
      </w:r>
      <w:r>
        <w:rPr>
          <w:spacing w:val="-16"/>
          <w:sz w:val="20"/>
        </w:rPr>
        <w:t xml:space="preserve"> </w:t>
      </w:r>
      <w:r>
        <w:rPr>
          <w:sz w:val="20"/>
        </w:rPr>
        <w:t>veškeré</w:t>
      </w:r>
      <w:r>
        <w:rPr>
          <w:spacing w:val="-15"/>
          <w:sz w:val="20"/>
        </w:rPr>
        <w:t xml:space="preserve"> </w:t>
      </w:r>
      <w:r>
        <w:rPr>
          <w:sz w:val="20"/>
        </w:rPr>
        <w:t>výdaje</w:t>
      </w:r>
      <w:r>
        <w:rPr>
          <w:spacing w:val="-16"/>
          <w:sz w:val="20"/>
        </w:rPr>
        <w:t xml:space="preserve"> </w:t>
      </w:r>
      <w:r>
        <w:rPr>
          <w:sz w:val="20"/>
        </w:rPr>
        <w:t>akce</w:t>
      </w:r>
      <w:r>
        <w:rPr>
          <w:spacing w:val="-15"/>
          <w:sz w:val="20"/>
        </w:rPr>
        <w:t xml:space="preserve"> </w:t>
      </w:r>
      <w:r>
        <w:rPr>
          <w:sz w:val="20"/>
        </w:rPr>
        <w:t>vést</w:t>
      </w:r>
      <w:r>
        <w:rPr>
          <w:spacing w:val="-15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účetnictví</w:t>
      </w:r>
      <w:r>
        <w:rPr>
          <w:spacing w:val="-15"/>
          <w:sz w:val="20"/>
        </w:rPr>
        <w:t xml:space="preserve"> </w:t>
      </w:r>
      <w:r>
        <w:rPr>
          <w:sz w:val="20"/>
        </w:rPr>
        <w:t>nebo</w:t>
      </w:r>
      <w:r>
        <w:rPr>
          <w:spacing w:val="-13"/>
          <w:sz w:val="20"/>
        </w:rPr>
        <w:t xml:space="preserve"> </w:t>
      </w:r>
      <w:r>
        <w:rPr>
          <w:sz w:val="20"/>
        </w:rPr>
        <w:t>daňové</w:t>
      </w:r>
      <w:r>
        <w:rPr>
          <w:spacing w:val="-13"/>
          <w:sz w:val="20"/>
        </w:rPr>
        <w:t xml:space="preserve"> </w:t>
      </w:r>
      <w:r>
        <w:rPr>
          <w:sz w:val="20"/>
        </w:rPr>
        <w:t>evidenci</w:t>
      </w:r>
      <w:r>
        <w:rPr>
          <w:spacing w:val="-14"/>
          <w:sz w:val="20"/>
        </w:rPr>
        <w:t xml:space="preserve"> </w:t>
      </w:r>
      <w:r>
        <w:rPr>
          <w:sz w:val="20"/>
        </w:rPr>
        <w:t>(zákon</w:t>
      </w:r>
      <w:r>
        <w:rPr>
          <w:spacing w:val="-15"/>
          <w:sz w:val="20"/>
        </w:rPr>
        <w:t xml:space="preserve"> </w:t>
      </w:r>
      <w:r>
        <w:rPr>
          <w:sz w:val="20"/>
        </w:rPr>
        <w:t>č.</w:t>
      </w:r>
      <w:r>
        <w:rPr>
          <w:spacing w:val="-14"/>
          <w:sz w:val="20"/>
        </w:rPr>
        <w:t xml:space="preserve"> </w:t>
      </w:r>
      <w:r>
        <w:rPr>
          <w:sz w:val="20"/>
        </w:rPr>
        <w:t>563/1991</w:t>
      </w:r>
      <w:r>
        <w:rPr>
          <w:spacing w:val="-14"/>
          <w:sz w:val="20"/>
        </w:rPr>
        <w:t xml:space="preserve"> </w:t>
      </w:r>
      <w:r>
        <w:rPr>
          <w:sz w:val="20"/>
        </w:rPr>
        <w:t>Sb.,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účetnictví, v platném znění, zákon č. 586/1992 Sb., o daních z příjmů, v platném znění). Příjemce podpory se zavazuje</w:t>
      </w:r>
      <w:r>
        <w:rPr>
          <w:spacing w:val="-5"/>
          <w:sz w:val="20"/>
        </w:rPr>
        <w:t xml:space="preserve"> </w:t>
      </w:r>
      <w:r>
        <w:rPr>
          <w:sz w:val="20"/>
        </w:rPr>
        <w:t>všechny</w:t>
      </w:r>
      <w:r>
        <w:rPr>
          <w:spacing w:val="-5"/>
          <w:sz w:val="20"/>
        </w:rPr>
        <w:t xml:space="preserve"> </w:t>
      </w:r>
      <w:r>
        <w:rPr>
          <w:sz w:val="20"/>
        </w:rPr>
        <w:t>transakce</w:t>
      </w:r>
      <w:r>
        <w:rPr>
          <w:spacing w:val="-2"/>
          <w:sz w:val="20"/>
        </w:rPr>
        <w:t xml:space="preserve"> </w:t>
      </w:r>
      <w:r>
        <w:rPr>
          <w:sz w:val="20"/>
        </w:rPr>
        <w:t>související</w:t>
      </w:r>
      <w:r>
        <w:rPr>
          <w:spacing w:val="-5"/>
          <w:sz w:val="20"/>
        </w:rPr>
        <w:t xml:space="preserve"> </w:t>
      </w:r>
      <w:r>
        <w:rPr>
          <w:sz w:val="20"/>
        </w:rPr>
        <w:t>s</w:t>
      </w:r>
      <w:r>
        <w:rPr>
          <w:spacing w:val="1"/>
          <w:sz w:val="20"/>
        </w:rPr>
        <w:t xml:space="preserve"> </w:t>
      </w:r>
      <w:r>
        <w:rPr>
          <w:sz w:val="20"/>
        </w:rPr>
        <w:t>akcí</w:t>
      </w:r>
      <w:r>
        <w:rPr>
          <w:spacing w:val="-4"/>
          <w:sz w:val="20"/>
        </w:rPr>
        <w:t xml:space="preserve"> </w:t>
      </w:r>
      <w:r>
        <w:rPr>
          <w:sz w:val="20"/>
        </w:rPr>
        <w:t>odděleně</w:t>
      </w:r>
      <w:r>
        <w:rPr>
          <w:spacing w:val="-5"/>
          <w:sz w:val="20"/>
        </w:rPr>
        <w:t xml:space="preserve"> </w:t>
      </w:r>
      <w:r>
        <w:rPr>
          <w:sz w:val="20"/>
        </w:rPr>
        <w:t>identifikovat</w:t>
      </w:r>
      <w:r>
        <w:rPr>
          <w:spacing w:val="-4"/>
          <w:sz w:val="20"/>
        </w:rPr>
        <w:t xml:space="preserve"> </w:t>
      </w:r>
      <w:r>
        <w:rPr>
          <w:sz w:val="20"/>
        </w:rPr>
        <w:t>od</w:t>
      </w:r>
      <w:r>
        <w:rPr>
          <w:spacing w:val="-4"/>
          <w:sz w:val="20"/>
        </w:rPr>
        <w:t xml:space="preserve"> </w:t>
      </w:r>
      <w:r>
        <w:rPr>
          <w:sz w:val="20"/>
        </w:rPr>
        <w:t>ostatních</w:t>
      </w:r>
      <w:r>
        <w:rPr>
          <w:spacing w:val="-4"/>
          <w:sz w:val="20"/>
        </w:rPr>
        <w:t xml:space="preserve"> </w:t>
      </w:r>
      <w:r>
        <w:rPr>
          <w:sz w:val="20"/>
        </w:rPr>
        <w:t>účetních</w:t>
      </w:r>
      <w:r>
        <w:rPr>
          <w:spacing w:val="-3"/>
          <w:sz w:val="20"/>
        </w:rPr>
        <w:t xml:space="preserve"> </w:t>
      </w:r>
      <w:r>
        <w:rPr>
          <w:sz w:val="20"/>
        </w:rPr>
        <w:t>transakcí, které s akcí nesouvisejí, a zavazuje se vést analytickou evidenci s vazbou k</w:t>
      </w:r>
      <w:r>
        <w:rPr>
          <w:spacing w:val="-16"/>
          <w:sz w:val="20"/>
        </w:rPr>
        <w:t xml:space="preserve"> </w:t>
      </w:r>
      <w:r>
        <w:rPr>
          <w:sz w:val="20"/>
        </w:rPr>
        <w:t>akci,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0"/>
        <w:ind w:right="113"/>
        <w:rPr>
          <w:sz w:val="20"/>
        </w:rPr>
      </w:pPr>
      <w:r>
        <w:rPr>
          <w:sz w:val="20"/>
        </w:rPr>
        <w:t>po dobu 3 let od dokončení realizace projektu bude předmět podpory v jeho vlastnictví. Vozidlo mus</w:t>
      </w:r>
      <w:r>
        <w:rPr>
          <w:sz w:val="20"/>
        </w:rPr>
        <w:t>í být po tuto dobu aktivně</w:t>
      </w:r>
      <w:r>
        <w:rPr>
          <w:spacing w:val="-3"/>
          <w:sz w:val="20"/>
        </w:rPr>
        <w:t xml:space="preserve"> </w:t>
      </w:r>
      <w:r>
        <w:rPr>
          <w:sz w:val="20"/>
        </w:rPr>
        <w:t>využíváno,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0"/>
        <w:ind w:right="114"/>
        <w:rPr>
          <w:sz w:val="20"/>
        </w:rPr>
      </w:pPr>
      <w:r>
        <w:rPr>
          <w:sz w:val="20"/>
        </w:rPr>
        <w:t>po dobu 3 let od dokončení realizace projektu odevzdá Fondu každoročně informaci o počtu najetých kilometrů za uplynulý kalendářní rok, a to vždy nejpozději do konce února následujícího kalendářního</w:t>
      </w:r>
      <w:r>
        <w:rPr>
          <w:spacing w:val="-1"/>
          <w:sz w:val="20"/>
        </w:rPr>
        <w:t xml:space="preserve"> </w:t>
      </w:r>
      <w:r>
        <w:rPr>
          <w:sz w:val="20"/>
        </w:rPr>
        <w:t>roku,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19"/>
        <w:ind w:right="110"/>
        <w:rPr>
          <w:sz w:val="20"/>
        </w:rPr>
      </w:pPr>
      <w:r>
        <w:rPr>
          <w:sz w:val="20"/>
        </w:rPr>
        <w:t>umožní provád</w:t>
      </w:r>
      <w:r>
        <w:rPr>
          <w:sz w:val="20"/>
        </w:rPr>
        <w:t>ět kontrolu provedení opatření na místě realizace včetně kontroly souvisejících dokumentů</w:t>
      </w:r>
      <w:r>
        <w:rPr>
          <w:spacing w:val="-6"/>
          <w:sz w:val="20"/>
        </w:rPr>
        <w:t xml:space="preserve"> </w:t>
      </w:r>
      <w:r>
        <w:rPr>
          <w:sz w:val="20"/>
        </w:rPr>
        <w:t>osobám</w:t>
      </w:r>
      <w:r>
        <w:rPr>
          <w:spacing w:val="-6"/>
          <w:sz w:val="20"/>
        </w:rPr>
        <w:t xml:space="preserve"> </w:t>
      </w:r>
      <w:r>
        <w:rPr>
          <w:sz w:val="20"/>
        </w:rPr>
        <w:t>pověřeným</w:t>
      </w:r>
      <w:r>
        <w:rPr>
          <w:spacing w:val="-6"/>
          <w:sz w:val="20"/>
        </w:rPr>
        <w:t xml:space="preserve"> </w:t>
      </w:r>
      <w:r>
        <w:rPr>
          <w:sz w:val="20"/>
        </w:rPr>
        <w:t>Fondem</w:t>
      </w:r>
      <w:r>
        <w:rPr>
          <w:spacing w:val="-6"/>
          <w:sz w:val="20"/>
        </w:rPr>
        <w:t xml:space="preserve"> </w:t>
      </w:r>
      <w:r>
        <w:rPr>
          <w:sz w:val="20"/>
        </w:rPr>
        <w:t>případně</w:t>
      </w:r>
      <w:r>
        <w:rPr>
          <w:spacing w:val="-5"/>
          <w:sz w:val="20"/>
        </w:rPr>
        <w:t xml:space="preserve"> </w:t>
      </w:r>
      <w:r>
        <w:rPr>
          <w:sz w:val="20"/>
        </w:rPr>
        <w:t>jiným</w:t>
      </w:r>
      <w:r>
        <w:rPr>
          <w:spacing w:val="-7"/>
          <w:sz w:val="20"/>
        </w:rPr>
        <w:t xml:space="preserve"> </w:t>
      </w:r>
      <w:r>
        <w:rPr>
          <w:sz w:val="20"/>
        </w:rPr>
        <w:t>oprávněným</w:t>
      </w:r>
      <w:r>
        <w:rPr>
          <w:spacing w:val="-6"/>
          <w:sz w:val="20"/>
        </w:rPr>
        <w:t xml:space="preserve"> </w:t>
      </w:r>
      <w:r>
        <w:rPr>
          <w:sz w:val="20"/>
        </w:rPr>
        <w:t>kontrolním</w:t>
      </w:r>
      <w:r>
        <w:rPr>
          <w:spacing w:val="-4"/>
          <w:sz w:val="20"/>
        </w:rPr>
        <w:t xml:space="preserve"> </w:t>
      </w:r>
      <w:r>
        <w:rPr>
          <w:sz w:val="20"/>
        </w:rPr>
        <w:t>orgánům,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po dobu</w:t>
      </w:r>
      <w:r>
        <w:rPr>
          <w:spacing w:val="-6"/>
          <w:sz w:val="20"/>
        </w:rPr>
        <w:t xml:space="preserve"> </w:t>
      </w:r>
      <w:r>
        <w:rPr>
          <w:sz w:val="20"/>
        </w:rPr>
        <w:t>od</w:t>
      </w:r>
      <w:r>
        <w:rPr>
          <w:spacing w:val="-6"/>
          <w:sz w:val="20"/>
        </w:rPr>
        <w:t xml:space="preserve"> </w:t>
      </w:r>
      <w:r>
        <w:rPr>
          <w:sz w:val="20"/>
        </w:rPr>
        <w:t>podání</w:t>
      </w:r>
      <w:r>
        <w:rPr>
          <w:spacing w:val="-6"/>
          <w:sz w:val="20"/>
        </w:rPr>
        <w:t xml:space="preserve"> </w:t>
      </w:r>
      <w:r>
        <w:rPr>
          <w:sz w:val="20"/>
        </w:rPr>
        <w:t>žádosti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poskytnutí</w:t>
      </w:r>
      <w:r>
        <w:rPr>
          <w:spacing w:val="-6"/>
          <w:sz w:val="20"/>
        </w:rPr>
        <w:t xml:space="preserve"> </w:t>
      </w:r>
      <w:r>
        <w:rPr>
          <w:sz w:val="20"/>
        </w:rPr>
        <w:t>dotace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uplynutí</w:t>
      </w:r>
      <w:r>
        <w:rPr>
          <w:spacing w:val="-7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let</w:t>
      </w:r>
      <w:r>
        <w:rPr>
          <w:spacing w:val="-6"/>
          <w:sz w:val="20"/>
        </w:rPr>
        <w:t xml:space="preserve"> </w:t>
      </w:r>
      <w:r>
        <w:rPr>
          <w:sz w:val="20"/>
        </w:rPr>
        <w:t>od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7"/>
          <w:sz w:val="20"/>
        </w:rPr>
        <w:t xml:space="preserve"> </w:t>
      </w:r>
      <w:r>
        <w:rPr>
          <w:sz w:val="20"/>
        </w:rPr>
        <w:t>dokončení</w:t>
      </w:r>
      <w:r>
        <w:rPr>
          <w:spacing w:val="-6"/>
          <w:sz w:val="20"/>
        </w:rPr>
        <w:t xml:space="preserve"> </w:t>
      </w:r>
      <w:r>
        <w:rPr>
          <w:sz w:val="20"/>
        </w:rPr>
        <w:t>realizace</w:t>
      </w:r>
      <w:r>
        <w:rPr>
          <w:spacing w:val="-4"/>
          <w:sz w:val="20"/>
        </w:rPr>
        <w:t xml:space="preserve"> </w:t>
      </w:r>
      <w:r>
        <w:rPr>
          <w:sz w:val="20"/>
        </w:rPr>
        <w:t>projektu,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2"/>
        <w:ind w:right="119"/>
        <w:rPr>
          <w:sz w:val="20"/>
        </w:rPr>
      </w:pPr>
      <w:r>
        <w:rPr>
          <w:sz w:val="20"/>
        </w:rPr>
        <w:t>umožní pořízení fotodokumentace Fondem nebo MŽP pověřenou osobou za účelem prezentace projektu podpořeného z Národního programu Životní</w:t>
      </w:r>
      <w:r>
        <w:rPr>
          <w:spacing w:val="2"/>
          <w:sz w:val="20"/>
        </w:rPr>
        <w:t xml:space="preserve"> </w:t>
      </w:r>
      <w:r>
        <w:rPr>
          <w:sz w:val="20"/>
        </w:rPr>
        <w:t>prostředí,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spacing w:before="120"/>
        <w:rPr>
          <w:sz w:val="20"/>
        </w:rPr>
      </w:pPr>
      <w:r>
        <w:rPr>
          <w:sz w:val="20"/>
        </w:rPr>
        <w:t>bude dodržovat pravidla publicity dle pokynů v článku 15</w:t>
      </w:r>
      <w:r>
        <w:rPr>
          <w:spacing w:val="-4"/>
          <w:sz w:val="20"/>
        </w:rPr>
        <w:t xml:space="preserve"> </w:t>
      </w:r>
      <w:r>
        <w:rPr>
          <w:sz w:val="20"/>
        </w:rPr>
        <w:t>Výzvy.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8"/>
        <w:jc w:val="both"/>
        <w:rPr>
          <w:sz w:val="20"/>
        </w:rPr>
      </w:pPr>
      <w:r>
        <w:rPr>
          <w:sz w:val="20"/>
        </w:rPr>
        <w:t>se zavazuje dodržet lhůty realizac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takto:</w:t>
      </w:r>
    </w:p>
    <w:p w:rsidR="00DF1C16" w:rsidRDefault="00AE26AB">
      <w:pPr>
        <w:pStyle w:val="Odstavecseseznamem"/>
        <w:numPr>
          <w:ilvl w:val="2"/>
          <w:numId w:val="4"/>
        </w:numPr>
        <w:tabs>
          <w:tab w:val="left" w:pos="924"/>
        </w:tabs>
        <w:ind w:right="112"/>
        <w:rPr>
          <w:sz w:val="20"/>
        </w:rPr>
      </w:pPr>
      <w:r>
        <w:rPr>
          <w:sz w:val="20"/>
        </w:rPr>
        <w:t>termín dokončení realizace projektu do konce 5/2021 a o dodržení tohoto termínu Fond bez zbytečného</w:t>
      </w:r>
      <w:r>
        <w:rPr>
          <w:spacing w:val="-9"/>
          <w:sz w:val="20"/>
        </w:rPr>
        <w:t xml:space="preserve"> </w:t>
      </w:r>
      <w:r>
        <w:rPr>
          <w:sz w:val="20"/>
        </w:rPr>
        <w:t>odkladu</w:t>
      </w:r>
      <w:r>
        <w:rPr>
          <w:spacing w:val="-9"/>
          <w:sz w:val="20"/>
        </w:rPr>
        <w:t xml:space="preserve"> </w:t>
      </w:r>
      <w:r>
        <w:rPr>
          <w:sz w:val="20"/>
        </w:rPr>
        <w:t>informovat</w:t>
      </w:r>
      <w:r>
        <w:rPr>
          <w:spacing w:val="-11"/>
          <w:sz w:val="20"/>
        </w:rPr>
        <w:t xml:space="preserve"> </w:t>
      </w:r>
      <w:r>
        <w:rPr>
          <w:sz w:val="20"/>
        </w:rPr>
        <w:t>(za</w:t>
      </w:r>
      <w:r>
        <w:rPr>
          <w:spacing w:val="-10"/>
          <w:sz w:val="20"/>
        </w:rPr>
        <w:t xml:space="preserve"> </w:t>
      </w:r>
      <w:r>
        <w:rPr>
          <w:sz w:val="20"/>
        </w:rPr>
        <w:t>termín</w:t>
      </w:r>
      <w:r>
        <w:rPr>
          <w:spacing w:val="-10"/>
          <w:sz w:val="20"/>
        </w:rPr>
        <w:t xml:space="preserve"> </w:t>
      </w:r>
      <w:r>
        <w:rPr>
          <w:sz w:val="20"/>
        </w:rPr>
        <w:t>dokončení</w:t>
      </w:r>
      <w:r>
        <w:rPr>
          <w:spacing w:val="-10"/>
          <w:sz w:val="20"/>
        </w:rPr>
        <w:t xml:space="preserve"> </w:t>
      </w:r>
      <w:r>
        <w:rPr>
          <w:sz w:val="20"/>
        </w:rPr>
        <w:t>realizace</w:t>
      </w:r>
      <w:r>
        <w:rPr>
          <w:spacing w:val="-10"/>
          <w:sz w:val="20"/>
        </w:rPr>
        <w:t xml:space="preserve"> </w:t>
      </w:r>
      <w:r>
        <w:rPr>
          <w:sz w:val="20"/>
        </w:rPr>
        <w:t>projektu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považuje</w:t>
      </w:r>
      <w:r>
        <w:rPr>
          <w:spacing w:val="-10"/>
          <w:sz w:val="20"/>
        </w:rPr>
        <w:t xml:space="preserve"> </w:t>
      </w:r>
      <w:r>
        <w:rPr>
          <w:sz w:val="20"/>
        </w:rPr>
        <w:t>datum</w:t>
      </w:r>
      <w:r>
        <w:rPr>
          <w:spacing w:val="-12"/>
          <w:sz w:val="20"/>
        </w:rPr>
        <w:t xml:space="preserve"> </w:t>
      </w:r>
      <w:r>
        <w:rPr>
          <w:sz w:val="20"/>
        </w:rPr>
        <w:t>převzetí vozidla podle této  Smlouvy v rámci projektu dle příslušné  k</w:t>
      </w:r>
      <w:r>
        <w:rPr>
          <w:sz w:val="20"/>
        </w:rPr>
        <w:t>upní  smlouvy, popřípadě protokolu   o předání a převzetí vozidla). Přitom se konstatuje, že akce byla zahájena v</w:t>
      </w:r>
      <w:r>
        <w:rPr>
          <w:spacing w:val="-12"/>
          <w:sz w:val="20"/>
        </w:rPr>
        <w:t xml:space="preserve"> </w:t>
      </w:r>
      <w:r>
        <w:rPr>
          <w:sz w:val="20"/>
        </w:rPr>
        <w:t>11/2020.</w:t>
      </w:r>
    </w:p>
    <w:p w:rsidR="00DF1C16" w:rsidRDefault="00AE26AB">
      <w:pPr>
        <w:pStyle w:val="Odstavecseseznamem"/>
        <w:numPr>
          <w:ilvl w:val="0"/>
          <w:numId w:val="4"/>
        </w:numPr>
        <w:tabs>
          <w:tab w:val="left" w:pos="526"/>
        </w:tabs>
        <w:spacing w:before="122"/>
        <w:jc w:val="both"/>
        <w:rPr>
          <w:sz w:val="20"/>
        </w:rPr>
      </w:pPr>
      <w:r>
        <w:rPr>
          <w:sz w:val="20"/>
        </w:rPr>
        <w:t>Příjemce podpory je dále</w:t>
      </w:r>
      <w:r>
        <w:rPr>
          <w:spacing w:val="-5"/>
          <w:sz w:val="20"/>
        </w:rPr>
        <w:t xml:space="preserve"> </w:t>
      </w:r>
      <w:r>
        <w:rPr>
          <w:sz w:val="20"/>
        </w:rPr>
        <w:t>povinen: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8"/>
        <w:ind w:right="115"/>
        <w:jc w:val="both"/>
        <w:rPr>
          <w:sz w:val="20"/>
        </w:rPr>
      </w:pPr>
      <w:r>
        <w:rPr>
          <w:sz w:val="20"/>
        </w:rPr>
        <w:t>poskytnuté finanční prostředky (podporu) použít výhradně k účelu podle této Smlouvy, nebo je nejpoz</w:t>
      </w:r>
      <w:r>
        <w:rPr>
          <w:sz w:val="20"/>
        </w:rPr>
        <w:t>ději</w:t>
      </w:r>
      <w:r>
        <w:rPr>
          <w:spacing w:val="-16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30</w:t>
      </w:r>
      <w:r>
        <w:rPr>
          <w:spacing w:val="-15"/>
          <w:sz w:val="20"/>
        </w:rPr>
        <w:t xml:space="preserve"> </w:t>
      </w:r>
      <w:r>
        <w:rPr>
          <w:sz w:val="20"/>
        </w:rPr>
        <w:t>dnů</w:t>
      </w:r>
      <w:r>
        <w:rPr>
          <w:spacing w:val="-14"/>
          <w:sz w:val="20"/>
        </w:rPr>
        <w:t xml:space="preserve"> </w:t>
      </w:r>
      <w:r>
        <w:rPr>
          <w:sz w:val="20"/>
        </w:rPr>
        <w:t>ode</w:t>
      </w:r>
      <w:r>
        <w:rPr>
          <w:spacing w:val="-16"/>
          <w:sz w:val="20"/>
        </w:rPr>
        <w:t xml:space="preserve"> </w:t>
      </w:r>
      <w:r>
        <w:rPr>
          <w:sz w:val="20"/>
        </w:rPr>
        <w:t>dne</w:t>
      </w:r>
      <w:r>
        <w:rPr>
          <w:spacing w:val="-15"/>
          <w:sz w:val="20"/>
        </w:rPr>
        <w:t xml:space="preserve"> </w:t>
      </w:r>
      <w:r>
        <w:rPr>
          <w:sz w:val="20"/>
        </w:rPr>
        <w:t>jejich</w:t>
      </w:r>
      <w:r>
        <w:rPr>
          <w:spacing w:val="-15"/>
          <w:sz w:val="20"/>
        </w:rPr>
        <w:t xml:space="preserve"> </w:t>
      </w:r>
      <w:r>
        <w:rPr>
          <w:sz w:val="20"/>
        </w:rPr>
        <w:t>odepsání</w:t>
      </w:r>
      <w:r>
        <w:rPr>
          <w:spacing w:val="-16"/>
          <w:sz w:val="20"/>
        </w:rPr>
        <w:t xml:space="preserve"> </w:t>
      </w:r>
      <w:r>
        <w:rPr>
          <w:sz w:val="20"/>
        </w:rPr>
        <w:t>z</w:t>
      </w:r>
      <w:r>
        <w:rPr>
          <w:spacing w:val="-13"/>
          <w:sz w:val="20"/>
        </w:rPr>
        <w:t xml:space="preserve"> </w:t>
      </w:r>
      <w:r>
        <w:rPr>
          <w:sz w:val="20"/>
        </w:rPr>
        <w:t>bankovního</w:t>
      </w:r>
      <w:r>
        <w:rPr>
          <w:spacing w:val="-14"/>
          <w:sz w:val="20"/>
        </w:rPr>
        <w:t xml:space="preserve"> </w:t>
      </w:r>
      <w:r>
        <w:rPr>
          <w:sz w:val="20"/>
        </w:rPr>
        <w:t>účtu</w:t>
      </w:r>
      <w:r>
        <w:rPr>
          <w:spacing w:val="-15"/>
          <w:sz w:val="20"/>
        </w:rPr>
        <w:t xml:space="preserve"> </w:t>
      </w:r>
      <w:r>
        <w:rPr>
          <w:sz w:val="20"/>
        </w:rPr>
        <w:t>Fondu</w:t>
      </w:r>
      <w:r>
        <w:rPr>
          <w:spacing w:val="-15"/>
          <w:sz w:val="20"/>
        </w:rPr>
        <w:t xml:space="preserve"> </w:t>
      </w:r>
      <w:r>
        <w:rPr>
          <w:sz w:val="20"/>
        </w:rPr>
        <w:t>vrátit</w:t>
      </w:r>
      <w:r>
        <w:rPr>
          <w:spacing w:val="-15"/>
          <w:sz w:val="20"/>
        </w:rPr>
        <w:t xml:space="preserve"> </w:t>
      </w:r>
      <w:r>
        <w:rPr>
          <w:sz w:val="20"/>
        </w:rPr>
        <w:t>na</w:t>
      </w:r>
      <w:r>
        <w:rPr>
          <w:spacing w:val="-16"/>
          <w:sz w:val="20"/>
        </w:rPr>
        <w:t xml:space="preserve"> </w:t>
      </w:r>
      <w:r>
        <w:rPr>
          <w:sz w:val="20"/>
        </w:rPr>
        <w:t>bankovní</w:t>
      </w:r>
      <w:r>
        <w:rPr>
          <w:spacing w:val="-14"/>
          <w:sz w:val="20"/>
        </w:rPr>
        <w:t xml:space="preserve"> </w:t>
      </w:r>
      <w:r>
        <w:rPr>
          <w:sz w:val="20"/>
        </w:rPr>
        <w:t>účet</w:t>
      </w:r>
      <w:r>
        <w:rPr>
          <w:spacing w:val="-15"/>
          <w:sz w:val="20"/>
        </w:rPr>
        <w:t xml:space="preserve"> </w:t>
      </w:r>
      <w:r>
        <w:rPr>
          <w:sz w:val="20"/>
        </w:rPr>
        <w:t>Fondu; za použití prostředků poskytnutých Fondem se považuje příjemcem podpory již provedená</w:t>
      </w:r>
      <w:r>
        <w:rPr>
          <w:spacing w:val="-27"/>
          <w:sz w:val="20"/>
        </w:rPr>
        <w:t xml:space="preserve"> </w:t>
      </w:r>
      <w:r>
        <w:rPr>
          <w:sz w:val="20"/>
        </w:rPr>
        <w:t>platba,</w:t>
      </w:r>
    </w:p>
    <w:p w:rsidR="00DF1C16" w:rsidRDefault="00DF1C16">
      <w:pPr>
        <w:jc w:val="both"/>
        <w:rPr>
          <w:sz w:val="20"/>
        </w:rPr>
        <w:sectPr w:rsidR="00DF1C16">
          <w:pgSz w:w="12240" w:h="15840"/>
          <w:pgMar w:top="1060" w:right="1020" w:bottom="1660" w:left="1460" w:header="0" w:footer="1380" w:gutter="0"/>
          <w:cols w:space="708"/>
        </w:sectPr>
      </w:pP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73"/>
        <w:ind w:right="111"/>
        <w:jc w:val="both"/>
        <w:rPr>
          <w:sz w:val="20"/>
        </w:rPr>
      </w:pPr>
      <w:r>
        <w:rPr>
          <w:sz w:val="20"/>
        </w:rPr>
        <w:lastRenderedPageBreak/>
        <w:t>vést o použití poskytnutých prostředků samostatnou průkaznou evidenci v souladu s právními předpisy,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ind w:right="112"/>
        <w:jc w:val="both"/>
        <w:rPr>
          <w:sz w:val="20"/>
        </w:rPr>
      </w:pPr>
      <w:r>
        <w:rPr>
          <w:sz w:val="20"/>
        </w:rPr>
        <w:t>vrátit poskytnuté finanční prostředky, popřípadě jejich část do 30 dnů poté, co odpadl účel akce, pro který</w:t>
      </w:r>
      <w:r>
        <w:rPr>
          <w:spacing w:val="-8"/>
          <w:sz w:val="20"/>
        </w:rPr>
        <w:t xml:space="preserve"> </w:t>
      </w:r>
      <w:r>
        <w:rPr>
          <w:sz w:val="20"/>
        </w:rPr>
        <w:t>je</w:t>
      </w:r>
      <w:r>
        <w:rPr>
          <w:spacing w:val="-7"/>
          <w:sz w:val="20"/>
        </w:rPr>
        <w:t xml:space="preserve"> </w:t>
      </w:r>
      <w:r>
        <w:rPr>
          <w:sz w:val="20"/>
        </w:rPr>
        <w:t>podpora</w:t>
      </w:r>
      <w:r>
        <w:rPr>
          <w:spacing w:val="-7"/>
          <w:sz w:val="20"/>
        </w:rPr>
        <w:t xml:space="preserve"> </w:t>
      </w:r>
      <w:r>
        <w:rPr>
          <w:sz w:val="20"/>
        </w:rPr>
        <w:t>poskytována;</w:t>
      </w:r>
      <w:r>
        <w:rPr>
          <w:spacing w:val="-7"/>
          <w:sz w:val="20"/>
        </w:rPr>
        <w:t xml:space="preserve"> </w:t>
      </w:r>
      <w:r>
        <w:rPr>
          <w:sz w:val="20"/>
        </w:rPr>
        <w:t>stejně</w:t>
      </w:r>
      <w:r>
        <w:rPr>
          <w:spacing w:val="-8"/>
          <w:sz w:val="20"/>
        </w:rPr>
        <w:t xml:space="preserve"> </w:t>
      </w:r>
      <w:r>
        <w:rPr>
          <w:sz w:val="20"/>
        </w:rPr>
        <w:t>je</w:t>
      </w:r>
      <w:r>
        <w:rPr>
          <w:spacing w:val="-8"/>
          <w:sz w:val="20"/>
        </w:rPr>
        <w:t xml:space="preserve"> </w:t>
      </w:r>
      <w:r>
        <w:rPr>
          <w:sz w:val="20"/>
        </w:rPr>
        <w:t>povinen</w:t>
      </w:r>
      <w:r>
        <w:rPr>
          <w:spacing w:val="-7"/>
          <w:sz w:val="20"/>
        </w:rPr>
        <w:t xml:space="preserve"> </w:t>
      </w:r>
      <w:r>
        <w:rPr>
          <w:sz w:val="20"/>
        </w:rPr>
        <w:t>postu</w:t>
      </w:r>
      <w:r>
        <w:rPr>
          <w:sz w:val="20"/>
        </w:rPr>
        <w:t>povat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v</w:t>
      </w:r>
      <w:r>
        <w:rPr>
          <w:spacing w:val="-7"/>
          <w:sz w:val="20"/>
        </w:rPr>
        <w:t xml:space="preserve"> </w:t>
      </w:r>
      <w:r>
        <w:rPr>
          <w:sz w:val="20"/>
        </w:rPr>
        <w:t>případě,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8"/>
          <w:sz w:val="20"/>
        </w:rPr>
        <w:t xml:space="preserve"> </w:t>
      </w:r>
      <w:r>
        <w:rPr>
          <w:sz w:val="20"/>
        </w:rPr>
        <w:t>oprávněná</w:t>
      </w:r>
      <w:r>
        <w:rPr>
          <w:spacing w:val="-7"/>
          <w:sz w:val="20"/>
        </w:rPr>
        <w:t xml:space="preserve"> </w:t>
      </w:r>
      <w:r>
        <w:rPr>
          <w:sz w:val="20"/>
        </w:rPr>
        <w:t>potřeba</w:t>
      </w:r>
      <w:r>
        <w:rPr>
          <w:spacing w:val="-7"/>
          <w:sz w:val="20"/>
        </w:rPr>
        <w:t xml:space="preserve"> </w:t>
      </w:r>
      <w:r>
        <w:rPr>
          <w:sz w:val="20"/>
        </w:rPr>
        <w:t>použít poskytnuté peněžní prostředky odpadne pouze na přechodnou</w:t>
      </w:r>
      <w:r>
        <w:rPr>
          <w:spacing w:val="-8"/>
          <w:sz w:val="20"/>
        </w:rPr>
        <w:t xml:space="preserve"> </w:t>
      </w:r>
      <w:r>
        <w:rPr>
          <w:sz w:val="20"/>
        </w:rPr>
        <w:t>dobu,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ind w:right="110"/>
        <w:jc w:val="both"/>
        <w:rPr>
          <w:sz w:val="20"/>
        </w:rPr>
      </w:pPr>
      <w:r>
        <w:rPr>
          <w:sz w:val="20"/>
        </w:rPr>
        <w:t xml:space="preserve">vrátit odpovídající  část podpory v  případě, že  DPH  bude zahrnuta do  způsobilých výdajů  akce    a příjemce podpory má nebo mu vznikne nárok </w:t>
      </w:r>
      <w:r>
        <w:rPr>
          <w:sz w:val="20"/>
        </w:rPr>
        <w:t>na odpočet DPH, a to bez ohledu na to, zda tento nárok</w:t>
      </w:r>
      <w:r>
        <w:rPr>
          <w:spacing w:val="-7"/>
          <w:sz w:val="20"/>
        </w:rPr>
        <w:t xml:space="preserve"> </w:t>
      </w:r>
      <w:r>
        <w:rPr>
          <w:sz w:val="20"/>
        </w:rPr>
        <w:t>uplatní;</w:t>
      </w:r>
      <w:r>
        <w:rPr>
          <w:spacing w:val="-7"/>
          <w:sz w:val="20"/>
        </w:rPr>
        <w:t xml:space="preserve"> </w:t>
      </w:r>
      <w:r>
        <w:rPr>
          <w:sz w:val="20"/>
        </w:rPr>
        <w:t>vrátit</w:t>
      </w:r>
      <w:r>
        <w:rPr>
          <w:spacing w:val="-8"/>
          <w:sz w:val="20"/>
        </w:rPr>
        <w:t xml:space="preserve"> </w:t>
      </w:r>
      <w:r>
        <w:rPr>
          <w:sz w:val="20"/>
        </w:rPr>
        <w:t>odpovídající</w:t>
      </w:r>
      <w:r>
        <w:rPr>
          <w:spacing w:val="-6"/>
          <w:sz w:val="20"/>
        </w:rPr>
        <w:t xml:space="preserve"> </w:t>
      </w:r>
      <w:r>
        <w:rPr>
          <w:sz w:val="20"/>
        </w:rPr>
        <w:t>část</w:t>
      </w:r>
      <w:r>
        <w:rPr>
          <w:spacing w:val="-8"/>
          <w:sz w:val="20"/>
        </w:rPr>
        <w:t xml:space="preserve"> </w:t>
      </w:r>
      <w:r>
        <w:rPr>
          <w:sz w:val="20"/>
        </w:rPr>
        <w:t>podpory</w:t>
      </w:r>
      <w:r>
        <w:rPr>
          <w:spacing w:val="-7"/>
          <w:sz w:val="20"/>
        </w:rPr>
        <w:t xml:space="preserve"> </w:t>
      </w:r>
      <w:r>
        <w:rPr>
          <w:sz w:val="20"/>
        </w:rPr>
        <w:t>je</w:t>
      </w:r>
      <w:r>
        <w:rPr>
          <w:spacing w:val="-7"/>
          <w:sz w:val="20"/>
        </w:rPr>
        <w:t xml:space="preserve"> </w:t>
      </w:r>
      <w:r>
        <w:rPr>
          <w:sz w:val="20"/>
        </w:rPr>
        <w:t>příjemce</w:t>
      </w:r>
      <w:r>
        <w:rPr>
          <w:spacing w:val="-8"/>
          <w:sz w:val="20"/>
        </w:rPr>
        <w:t xml:space="preserve"> </w:t>
      </w:r>
      <w:r>
        <w:rPr>
          <w:sz w:val="20"/>
        </w:rPr>
        <w:t>podpory</w:t>
      </w:r>
      <w:r>
        <w:rPr>
          <w:spacing w:val="-7"/>
          <w:sz w:val="20"/>
        </w:rPr>
        <w:t xml:space="preserve"> </w:t>
      </w:r>
      <w:r>
        <w:rPr>
          <w:sz w:val="20"/>
        </w:rPr>
        <w:t>povinen</w:t>
      </w:r>
      <w:r>
        <w:rPr>
          <w:spacing w:val="-7"/>
          <w:sz w:val="20"/>
        </w:rPr>
        <w:t xml:space="preserve"> </w:t>
      </w:r>
      <w:r>
        <w:rPr>
          <w:sz w:val="20"/>
        </w:rPr>
        <w:t>nejpozději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30</w:t>
      </w:r>
      <w:r>
        <w:rPr>
          <w:spacing w:val="-6"/>
          <w:sz w:val="20"/>
        </w:rPr>
        <w:t xml:space="preserve"> </w:t>
      </w:r>
      <w:r>
        <w:rPr>
          <w:sz w:val="20"/>
        </w:rPr>
        <w:t>dní</w:t>
      </w:r>
      <w:r>
        <w:rPr>
          <w:spacing w:val="-7"/>
          <w:sz w:val="20"/>
        </w:rPr>
        <w:t xml:space="preserve"> </w:t>
      </w:r>
      <w:r>
        <w:rPr>
          <w:sz w:val="20"/>
        </w:rPr>
        <w:t>ode dne, kdy mu příslušný nárok na odpočet DPH</w:t>
      </w:r>
      <w:r>
        <w:rPr>
          <w:spacing w:val="-8"/>
          <w:sz w:val="20"/>
        </w:rPr>
        <w:t xml:space="preserve"> </w:t>
      </w:r>
      <w:r>
        <w:rPr>
          <w:sz w:val="20"/>
        </w:rPr>
        <w:t>vznikne,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9"/>
        <w:ind w:right="113"/>
        <w:jc w:val="both"/>
        <w:rPr>
          <w:sz w:val="20"/>
        </w:rPr>
      </w:pPr>
      <w:r>
        <w:rPr>
          <w:sz w:val="20"/>
        </w:rPr>
        <w:t>předkládat</w:t>
      </w:r>
      <w:r>
        <w:rPr>
          <w:spacing w:val="-6"/>
          <w:sz w:val="20"/>
        </w:rPr>
        <w:t xml:space="preserve"> </w:t>
      </w:r>
      <w:r>
        <w:rPr>
          <w:sz w:val="20"/>
        </w:rPr>
        <w:t>Fondu</w:t>
      </w:r>
      <w:r>
        <w:rPr>
          <w:spacing w:val="-6"/>
          <w:sz w:val="20"/>
        </w:rPr>
        <w:t xml:space="preserve"> </w:t>
      </w:r>
      <w:r>
        <w:rPr>
          <w:sz w:val="20"/>
        </w:rPr>
        <w:t>prostřednictvím</w:t>
      </w:r>
      <w:r>
        <w:rPr>
          <w:spacing w:val="-8"/>
          <w:sz w:val="20"/>
        </w:rPr>
        <w:t xml:space="preserve"> </w:t>
      </w:r>
      <w:r>
        <w:rPr>
          <w:sz w:val="20"/>
        </w:rPr>
        <w:t>AIS</w:t>
      </w:r>
      <w:r>
        <w:rPr>
          <w:spacing w:val="-5"/>
          <w:sz w:val="20"/>
        </w:rPr>
        <w:t xml:space="preserve"> </w:t>
      </w:r>
      <w:r>
        <w:rPr>
          <w:sz w:val="20"/>
        </w:rPr>
        <w:t>SFŽP</w:t>
      </w:r>
      <w:r>
        <w:rPr>
          <w:spacing w:val="-3"/>
          <w:sz w:val="20"/>
        </w:rPr>
        <w:t xml:space="preserve"> </w:t>
      </w:r>
      <w:r>
        <w:rPr>
          <w:sz w:val="20"/>
        </w:rPr>
        <w:t>ČR</w:t>
      </w:r>
      <w:r>
        <w:rPr>
          <w:spacing w:val="-6"/>
          <w:sz w:val="20"/>
        </w:rPr>
        <w:t xml:space="preserve"> </w:t>
      </w:r>
      <w:r>
        <w:rPr>
          <w:sz w:val="20"/>
        </w:rPr>
        <w:t>roční</w:t>
      </w:r>
      <w:r>
        <w:rPr>
          <w:spacing w:val="-5"/>
          <w:sz w:val="20"/>
        </w:rPr>
        <w:t xml:space="preserve"> </w:t>
      </w:r>
      <w:r>
        <w:rPr>
          <w:sz w:val="20"/>
        </w:rPr>
        <w:t>finanční</w:t>
      </w:r>
      <w:r>
        <w:rPr>
          <w:spacing w:val="-7"/>
          <w:sz w:val="20"/>
        </w:rPr>
        <w:t xml:space="preserve"> </w:t>
      </w:r>
      <w:r>
        <w:rPr>
          <w:sz w:val="20"/>
        </w:rPr>
        <w:t>vypořádání</w:t>
      </w:r>
      <w:r>
        <w:rPr>
          <w:spacing w:val="-9"/>
          <w:sz w:val="20"/>
        </w:rPr>
        <w:t xml:space="preserve"> </w:t>
      </w:r>
      <w:r>
        <w:rPr>
          <w:sz w:val="20"/>
        </w:rPr>
        <w:t>vztahů</w:t>
      </w:r>
      <w:r>
        <w:rPr>
          <w:spacing w:val="-7"/>
          <w:sz w:val="20"/>
        </w:rPr>
        <w:t xml:space="preserve"> </w:t>
      </w:r>
      <w:r>
        <w:rPr>
          <w:sz w:val="20"/>
        </w:rPr>
        <w:t>vzniklých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základě této Smlouvy, a to vždy nejpozději do 31. ledna následujícího kalendářního roku; k obsahu ročního finančního vypořádání může Fond vydat příjemci podpory závazné</w:t>
      </w:r>
      <w:r>
        <w:rPr>
          <w:spacing w:val="-7"/>
          <w:sz w:val="20"/>
        </w:rPr>
        <w:t xml:space="preserve"> </w:t>
      </w:r>
      <w:r>
        <w:rPr>
          <w:sz w:val="20"/>
        </w:rPr>
        <w:t>pokyny,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9"/>
        <w:ind w:right="110"/>
        <w:jc w:val="both"/>
        <w:rPr>
          <w:sz w:val="20"/>
        </w:rPr>
      </w:pPr>
      <w:r>
        <w:rPr>
          <w:sz w:val="20"/>
        </w:rPr>
        <w:t>umožnit</w:t>
      </w:r>
      <w:r>
        <w:rPr>
          <w:spacing w:val="-15"/>
          <w:sz w:val="20"/>
        </w:rPr>
        <w:t xml:space="preserve"> </w:t>
      </w:r>
      <w:r>
        <w:rPr>
          <w:sz w:val="20"/>
        </w:rPr>
        <w:t>osobám</w:t>
      </w:r>
      <w:r>
        <w:rPr>
          <w:spacing w:val="-16"/>
          <w:sz w:val="20"/>
        </w:rPr>
        <w:t xml:space="preserve"> </w:t>
      </w:r>
      <w:r>
        <w:rPr>
          <w:sz w:val="20"/>
        </w:rPr>
        <w:t>pověřeným</w:t>
      </w:r>
      <w:r>
        <w:rPr>
          <w:spacing w:val="-14"/>
          <w:sz w:val="20"/>
        </w:rPr>
        <w:t xml:space="preserve"> </w:t>
      </w:r>
      <w:r>
        <w:rPr>
          <w:sz w:val="20"/>
        </w:rPr>
        <w:t>Fondem</w:t>
      </w:r>
      <w:r>
        <w:rPr>
          <w:spacing w:val="-15"/>
          <w:sz w:val="20"/>
        </w:rPr>
        <w:t xml:space="preserve"> </w:t>
      </w:r>
      <w:r>
        <w:rPr>
          <w:sz w:val="20"/>
        </w:rPr>
        <w:t>provádě</w:t>
      </w:r>
      <w:r>
        <w:rPr>
          <w:sz w:val="20"/>
        </w:rPr>
        <w:t>t</w:t>
      </w:r>
      <w:r>
        <w:rPr>
          <w:spacing w:val="-14"/>
          <w:sz w:val="20"/>
        </w:rPr>
        <w:t xml:space="preserve"> </w:t>
      </w:r>
      <w:r>
        <w:rPr>
          <w:sz w:val="20"/>
        </w:rPr>
        <w:t>věcnou,</w:t>
      </w:r>
      <w:r>
        <w:rPr>
          <w:spacing w:val="-14"/>
          <w:sz w:val="20"/>
        </w:rPr>
        <w:t xml:space="preserve"> </w:t>
      </w:r>
      <w:r>
        <w:rPr>
          <w:sz w:val="20"/>
        </w:rPr>
        <w:t>finanční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účetní</w:t>
      </w:r>
      <w:r>
        <w:rPr>
          <w:spacing w:val="-12"/>
          <w:sz w:val="20"/>
        </w:rPr>
        <w:t xml:space="preserve"> </w:t>
      </w:r>
      <w:r>
        <w:rPr>
          <w:sz w:val="20"/>
        </w:rPr>
        <w:t>kontrolu</w:t>
      </w:r>
      <w:r>
        <w:rPr>
          <w:spacing w:val="-13"/>
          <w:sz w:val="20"/>
        </w:rPr>
        <w:t xml:space="preserve"> </w:t>
      </w:r>
      <w:r>
        <w:rPr>
          <w:sz w:val="20"/>
        </w:rPr>
        <w:t>v</w:t>
      </w:r>
      <w:r>
        <w:rPr>
          <w:spacing w:val="2"/>
          <w:sz w:val="20"/>
        </w:rPr>
        <w:t xml:space="preserve"> </w:t>
      </w:r>
      <w:r>
        <w:rPr>
          <w:sz w:val="20"/>
        </w:rPr>
        <w:t>průběhu</w:t>
      </w:r>
      <w:r>
        <w:rPr>
          <w:spacing w:val="-14"/>
          <w:sz w:val="20"/>
        </w:rPr>
        <w:t xml:space="preserve"> </w:t>
      </w:r>
      <w:r>
        <w:rPr>
          <w:sz w:val="20"/>
        </w:rPr>
        <w:t>realizace akce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po</w:t>
      </w:r>
      <w:r>
        <w:rPr>
          <w:spacing w:val="-7"/>
          <w:sz w:val="20"/>
        </w:rPr>
        <w:t xml:space="preserve"> </w:t>
      </w:r>
      <w:r>
        <w:rPr>
          <w:sz w:val="20"/>
        </w:rPr>
        <w:t>jejím</w:t>
      </w:r>
      <w:r>
        <w:rPr>
          <w:spacing w:val="-9"/>
          <w:sz w:val="20"/>
        </w:rPr>
        <w:t xml:space="preserve"> </w:t>
      </w:r>
      <w:r>
        <w:rPr>
          <w:sz w:val="20"/>
        </w:rPr>
        <w:t>dokončení,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v</w:t>
      </w:r>
      <w:r>
        <w:rPr>
          <w:spacing w:val="-10"/>
          <w:sz w:val="20"/>
        </w:rPr>
        <w:t xml:space="preserve"> </w:t>
      </w:r>
      <w:r>
        <w:rPr>
          <w:sz w:val="20"/>
        </w:rPr>
        <w:t>takovém</w:t>
      </w:r>
      <w:r>
        <w:rPr>
          <w:spacing w:val="-8"/>
          <w:sz w:val="20"/>
        </w:rPr>
        <w:t xml:space="preserve"> </w:t>
      </w:r>
      <w:r>
        <w:rPr>
          <w:sz w:val="20"/>
        </w:rPr>
        <w:t>rozsahu</w:t>
      </w:r>
      <w:r>
        <w:rPr>
          <w:spacing w:val="-8"/>
          <w:sz w:val="20"/>
        </w:rPr>
        <w:t xml:space="preserve"> </w:t>
      </w:r>
      <w:r>
        <w:rPr>
          <w:sz w:val="20"/>
        </w:rPr>
        <w:t>(i</w:t>
      </w:r>
      <w:r>
        <w:rPr>
          <w:spacing w:val="-8"/>
          <w:sz w:val="20"/>
        </w:rPr>
        <w:t xml:space="preserve"> </w:t>
      </w:r>
      <w:r>
        <w:rPr>
          <w:sz w:val="20"/>
        </w:rPr>
        <w:t>pokud</w:t>
      </w:r>
      <w:r>
        <w:rPr>
          <w:spacing w:val="-7"/>
          <w:sz w:val="20"/>
        </w:rPr>
        <w:t xml:space="preserve"> </w:t>
      </w:r>
      <w:r>
        <w:rPr>
          <w:sz w:val="20"/>
        </w:rPr>
        <w:t>jde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poskytnutí</w:t>
      </w:r>
      <w:r>
        <w:rPr>
          <w:spacing w:val="-8"/>
          <w:sz w:val="20"/>
        </w:rPr>
        <w:t xml:space="preserve"> </w:t>
      </w:r>
      <w:r>
        <w:rPr>
          <w:sz w:val="20"/>
        </w:rPr>
        <w:t>příslušných</w:t>
      </w:r>
      <w:r>
        <w:rPr>
          <w:spacing w:val="-8"/>
          <w:sz w:val="20"/>
        </w:rPr>
        <w:t xml:space="preserve"> </w:t>
      </w:r>
      <w:r>
        <w:rPr>
          <w:sz w:val="20"/>
        </w:rPr>
        <w:t>dokladů),</w:t>
      </w:r>
      <w:r>
        <w:rPr>
          <w:spacing w:val="-7"/>
          <w:sz w:val="20"/>
        </w:rPr>
        <w:t xml:space="preserve"> </w:t>
      </w:r>
      <w:r>
        <w:rPr>
          <w:sz w:val="20"/>
        </w:rPr>
        <w:t>aby mohly být objasněny všechny okolnosti, týkající se této</w:t>
      </w:r>
      <w:r>
        <w:rPr>
          <w:spacing w:val="-3"/>
          <w:sz w:val="20"/>
        </w:rPr>
        <w:t xml:space="preserve"> </w:t>
      </w:r>
      <w:r>
        <w:rPr>
          <w:sz w:val="20"/>
        </w:rPr>
        <w:t>Smlouvy,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22"/>
        <w:ind w:right="116"/>
        <w:jc w:val="both"/>
        <w:rPr>
          <w:sz w:val="20"/>
        </w:rPr>
      </w:pPr>
      <w:r>
        <w:rPr>
          <w:sz w:val="20"/>
        </w:rPr>
        <w:t xml:space="preserve">bez zbytečného odkladu a před uplynutím smluvního termínu požádat Fond o změnu Smlouvy        v případě takových změn skutečností či podmínek předpokládaných ve Smlouvě, které by příjemci podpory znemožnily dodržet podmínky Smlouvy (splnit jeho povinnosti </w:t>
      </w:r>
      <w:r>
        <w:rPr>
          <w:sz w:val="20"/>
        </w:rPr>
        <w:t>stanovené touto</w:t>
      </w:r>
      <w:r>
        <w:rPr>
          <w:spacing w:val="-32"/>
          <w:sz w:val="20"/>
        </w:rPr>
        <w:t xml:space="preserve"> </w:t>
      </w:r>
      <w:r>
        <w:rPr>
          <w:sz w:val="20"/>
        </w:rPr>
        <w:t>Smlouvou),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18"/>
        <w:ind w:right="116"/>
        <w:jc w:val="both"/>
        <w:rPr>
          <w:sz w:val="20"/>
        </w:rPr>
      </w:pPr>
      <w:r>
        <w:rPr>
          <w:sz w:val="20"/>
        </w:rPr>
        <w:t>informovat</w:t>
      </w:r>
      <w:r>
        <w:rPr>
          <w:spacing w:val="-6"/>
          <w:sz w:val="20"/>
        </w:rPr>
        <w:t xml:space="preserve"> </w:t>
      </w:r>
      <w:r>
        <w:rPr>
          <w:sz w:val="20"/>
        </w:rPr>
        <w:t>Fond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všech</w:t>
      </w:r>
      <w:r>
        <w:rPr>
          <w:spacing w:val="-5"/>
          <w:sz w:val="20"/>
        </w:rPr>
        <w:t xml:space="preserve"> </w:t>
      </w:r>
      <w:r>
        <w:rPr>
          <w:sz w:val="20"/>
        </w:rPr>
        <w:t>změnách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dalších</w:t>
      </w:r>
      <w:r>
        <w:rPr>
          <w:spacing w:val="-4"/>
          <w:sz w:val="20"/>
        </w:rPr>
        <w:t xml:space="preserve"> </w:t>
      </w:r>
      <w:r>
        <w:rPr>
          <w:sz w:val="20"/>
        </w:rPr>
        <w:t>okolnostech,</w:t>
      </w:r>
      <w:r>
        <w:rPr>
          <w:spacing w:val="-5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mají</w:t>
      </w:r>
      <w:r>
        <w:rPr>
          <w:spacing w:val="-6"/>
          <w:sz w:val="20"/>
        </w:rPr>
        <w:t xml:space="preserve"> </w:t>
      </w:r>
      <w:r>
        <w:rPr>
          <w:sz w:val="20"/>
        </w:rPr>
        <w:t>nebo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mohly</w:t>
      </w:r>
      <w:r>
        <w:rPr>
          <w:spacing w:val="-5"/>
          <w:sz w:val="20"/>
        </w:rPr>
        <w:t xml:space="preserve"> </w:t>
      </w:r>
      <w:r>
        <w:rPr>
          <w:sz w:val="20"/>
        </w:rPr>
        <w:t>mít</w:t>
      </w:r>
      <w:r>
        <w:rPr>
          <w:spacing w:val="-6"/>
          <w:sz w:val="20"/>
        </w:rPr>
        <w:t xml:space="preserve"> </w:t>
      </w:r>
      <w:r>
        <w:rPr>
          <w:sz w:val="20"/>
        </w:rPr>
        <w:t>vliv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plnění povinností příjemce podpory podle této</w:t>
      </w:r>
      <w:r>
        <w:rPr>
          <w:spacing w:val="-5"/>
          <w:sz w:val="20"/>
        </w:rPr>
        <w:t xml:space="preserve"> </w:t>
      </w:r>
      <w:r>
        <w:rPr>
          <w:sz w:val="20"/>
        </w:rPr>
        <w:t>Smlouvy,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ind w:right="111"/>
        <w:jc w:val="both"/>
        <w:rPr>
          <w:sz w:val="20"/>
        </w:rPr>
      </w:pPr>
      <w:r>
        <w:rPr>
          <w:sz w:val="20"/>
        </w:rPr>
        <w:t>uvádět</w:t>
      </w:r>
      <w:r>
        <w:rPr>
          <w:spacing w:val="-13"/>
          <w:sz w:val="20"/>
        </w:rPr>
        <w:t xml:space="preserve"> </w:t>
      </w:r>
      <w:r>
        <w:rPr>
          <w:sz w:val="20"/>
        </w:rPr>
        <w:t>pouze</w:t>
      </w:r>
      <w:r>
        <w:rPr>
          <w:spacing w:val="-14"/>
          <w:sz w:val="20"/>
        </w:rPr>
        <w:t xml:space="preserve"> </w:t>
      </w:r>
      <w:r>
        <w:rPr>
          <w:sz w:val="20"/>
        </w:rPr>
        <w:t>pravdivé,</w:t>
      </w:r>
      <w:r>
        <w:rPr>
          <w:spacing w:val="-12"/>
          <w:sz w:val="20"/>
        </w:rPr>
        <w:t xml:space="preserve"> </w:t>
      </w:r>
      <w:r>
        <w:rPr>
          <w:sz w:val="20"/>
        </w:rPr>
        <w:t>nezkreslené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úplné</w:t>
      </w:r>
      <w:r>
        <w:rPr>
          <w:spacing w:val="-12"/>
          <w:sz w:val="20"/>
        </w:rPr>
        <w:t xml:space="preserve"> </w:t>
      </w:r>
      <w:r>
        <w:rPr>
          <w:sz w:val="20"/>
        </w:rPr>
        <w:t>informace</w:t>
      </w:r>
      <w:r>
        <w:rPr>
          <w:spacing w:val="-11"/>
          <w:sz w:val="20"/>
        </w:rPr>
        <w:t xml:space="preserve"> </w:t>
      </w:r>
      <w:r>
        <w:rPr>
          <w:sz w:val="20"/>
        </w:rPr>
        <w:t>týkající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skutečností,</w:t>
      </w:r>
      <w:r>
        <w:rPr>
          <w:spacing w:val="-13"/>
          <w:sz w:val="20"/>
        </w:rPr>
        <w:t xml:space="preserve"> </w:t>
      </w:r>
      <w:r>
        <w:rPr>
          <w:sz w:val="20"/>
        </w:rPr>
        <w:t>kterými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tato</w:t>
      </w:r>
      <w:r>
        <w:rPr>
          <w:spacing w:val="-12"/>
          <w:sz w:val="20"/>
        </w:rPr>
        <w:t xml:space="preserve"> </w:t>
      </w:r>
      <w:r>
        <w:rPr>
          <w:sz w:val="20"/>
        </w:rPr>
        <w:t>Smlouva zabývá.</w:t>
      </w:r>
      <w:r>
        <w:rPr>
          <w:spacing w:val="-14"/>
          <w:sz w:val="20"/>
        </w:rPr>
        <w:t xml:space="preserve"> </w:t>
      </w:r>
      <w:r>
        <w:rPr>
          <w:sz w:val="20"/>
        </w:rPr>
        <w:t>V</w:t>
      </w:r>
      <w:r>
        <w:rPr>
          <w:spacing w:val="-13"/>
          <w:sz w:val="20"/>
        </w:rPr>
        <w:t xml:space="preserve"> </w:t>
      </w:r>
      <w:r>
        <w:rPr>
          <w:sz w:val="20"/>
        </w:rPr>
        <w:t>této</w:t>
      </w:r>
      <w:r>
        <w:rPr>
          <w:spacing w:val="-13"/>
          <w:sz w:val="20"/>
        </w:rPr>
        <w:t xml:space="preserve"> </w:t>
      </w:r>
      <w:r>
        <w:rPr>
          <w:sz w:val="20"/>
        </w:rPr>
        <w:t>souvislosti</w:t>
      </w:r>
      <w:r>
        <w:rPr>
          <w:spacing w:val="-14"/>
          <w:sz w:val="20"/>
        </w:rPr>
        <w:t xml:space="preserve"> </w:t>
      </w:r>
      <w:r>
        <w:rPr>
          <w:sz w:val="20"/>
        </w:rPr>
        <w:t>příjemce</w:t>
      </w:r>
      <w:r>
        <w:rPr>
          <w:spacing w:val="-14"/>
          <w:sz w:val="20"/>
        </w:rPr>
        <w:t xml:space="preserve"> </w:t>
      </w:r>
      <w:r>
        <w:rPr>
          <w:sz w:val="20"/>
        </w:rPr>
        <w:t>podpory</w:t>
      </w:r>
      <w:r>
        <w:rPr>
          <w:spacing w:val="-14"/>
          <w:sz w:val="20"/>
        </w:rPr>
        <w:t xml:space="preserve"> </w:t>
      </w:r>
      <w:r>
        <w:rPr>
          <w:sz w:val="20"/>
        </w:rPr>
        <w:t>prohlašuje,</w:t>
      </w:r>
      <w:r>
        <w:rPr>
          <w:spacing w:val="-11"/>
          <w:sz w:val="20"/>
        </w:rPr>
        <w:t xml:space="preserve"> </w:t>
      </w:r>
      <w:r>
        <w:rPr>
          <w:sz w:val="20"/>
        </w:rPr>
        <w:t>že</w:t>
      </w:r>
      <w:r>
        <w:rPr>
          <w:spacing w:val="-15"/>
          <w:sz w:val="20"/>
        </w:rPr>
        <w:t xml:space="preserve"> </w:t>
      </w:r>
      <w:r>
        <w:rPr>
          <w:sz w:val="20"/>
        </w:rPr>
        <w:t>rovněž</w:t>
      </w:r>
      <w:r>
        <w:rPr>
          <w:spacing w:val="-13"/>
          <w:sz w:val="20"/>
        </w:rPr>
        <w:t xml:space="preserve"> </w:t>
      </w:r>
      <w:r>
        <w:rPr>
          <w:sz w:val="20"/>
        </w:rPr>
        <w:t>veškeré</w:t>
      </w:r>
      <w:r>
        <w:rPr>
          <w:spacing w:val="-14"/>
          <w:sz w:val="20"/>
        </w:rPr>
        <w:t xml:space="preserve"> </w:t>
      </w:r>
      <w:r>
        <w:rPr>
          <w:sz w:val="20"/>
        </w:rPr>
        <w:t>podklady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informace,</w:t>
      </w:r>
      <w:r>
        <w:rPr>
          <w:spacing w:val="-14"/>
          <w:sz w:val="20"/>
        </w:rPr>
        <w:t xml:space="preserve"> </w:t>
      </w:r>
      <w:r>
        <w:rPr>
          <w:sz w:val="20"/>
        </w:rPr>
        <w:t>které Fondu poskytl před uzavřením této Smlouvy, byly pravdivé, nezkreslené a úplné. Příjemce podpory přitom bere na vědomí, že pokud kt</w:t>
      </w:r>
      <w:r>
        <w:rPr>
          <w:sz w:val="20"/>
        </w:rPr>
        <w:t>erékoliv jeho prohlášení nebo tvrzení (popřípadě oboustranné konstatování vycházející z jím podané informace) uvedené v této Smlouvě není pravdivé, bude považováno za porušení jeho povinnosti stanovené touto</w:t>
      </w:r>
      <w:r>
        <w:rPr>
          <w:spacing w:val="-5"/>
          <w:sz w:val="20"/>
        </w:rPr>
        <w:t xml:space="preserve"> </w:t>
      </w:r>
      <w:r>
        <w:rPr>
          <w:sz w:val="20"/>
        </w:rPr>
        <w:t>Smlouvou,</w:t>
      </w:r>
    </w:p>
    <w:p w:rsidR="00DF1C16" w:rsidRDefault="00AE26AB">
      <w:pPr>
        <w:pStyle w:val="Odstavecseseznamem"/>
        <w:numPr>
          <w:ilvl w:val="1"/>
          <w:numId w:val="4"/>
        </w:numPr>
        <w:tabs>
          <w:tab w:val="left" w:pos="809"/>
        </w:tabs>
        <w:spacing w:before="120"/>
        <w:ind w:right="112"/>
        <w:jc w:val="both"/>
        <w:rPr>
          <w:sz w:val="20"/>
        </w:rPr>
      </w:pPr>
      <w:r>
        <w:rPr>
          <w:sz w:val="20"/>
        </w:rPr>
        <w:t>dodržovat pravidla pro zadávání veřejn</w:t>
      </w:r>
      <w:r>
        <w:rPr>
          <w:sz w:val="20"/>
        </w:rPr>
        <w:t>ých zakázek, stanovená ve Směrnici MŽP (včetně jejích příloh) a</w:t>
      </w:r>
      <w:r>
        <w:rPr>
          <w:spacing w:val="-5"/>
          <w:sz w:val="20"/>
        </w:rPr>
        <w:t xml:space="preserve"> </w:t>
      </w:r>
      <w:r>
        <w:rPr>
          <w:sz w:val="20"/>
        </w:rPr>
        <w:t>v</w:t>
      </w:r>
      <w:r>
        <w:rPr>
          <w:spacing w:val="-3"/>
          <w:sz w:val="20"/>
        </w:rPr>
        <w:t xml:space="preserve"> </w:t>
      </w:r>
      <w:r>
        <w:rPr>
          <w:sz w:val="20"/>
        </w:rPr>
        <w:t>aktuálních</w:t>
      </w:r>
      <w:r>
        <w:rPr>
          <w:spacing w:val="-4"/>
          <w:sz w:val="20"/>
        </w:rPr>
        <w:t xml:space="preserve"> </w:t>
      </w:r>
      <w:r>
        <w:rPr>
          <w:sz w:val="20"/>
        </w:rPr>
        <w:t>Pokynech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4"/>
          <w:sz w:val="20"/>
        </w:rPr>
        <w:t xml:space="preserve"> </w:t>
      </w:r>
      <w:r>
        <w:rPr>
          <w:sz w:val="20"/>
        </w:rPr>
        <w:t>zadávání</w:t>
      </w:r>
      <w:r>
        <w:rPr>
          <w:spacing w:val="-4"/>
          <w:sz w:val="20"/>
        </w:rPr>
        <w:t xml:space="preserve"> </w:t>
      </w:r>
      <w:r>
        <w:rPr>
          <w:sz w:val="20"/>
        </w:rPr>
        <w:t>veřejných</w:t>
      </w:r>
      <w:r>
        <w:rPr>
          <w:spacing w:val="-3"/>
          <w:sz w:val="20"/>
        </w:rPr>
        <w:t xml:space="preserve"> </w:t>
      </w:r>
      <w:r>
        <w:rPr>
          <w:sz w:val="20"/>
        </w:rPr>
        <w:t>zakázek</w:t>
      </w:r>
      <w:r>
        <w:rPr>
          <w:spacing w:val="-5"/>
          <w:sz w:val="20"/>
        </w:rPr>
        <w:t xml:space="preserve"> </w:t>
      </w:r>
      <w:r>
        <w:rPr>
          <w:sz w:val="20"/>
        </w:rPr>
        <w:t>v</w:t>
      </w:r>
      <w:r>
        <w:rPr>
          <w:spacing w:val="2"/>
          <w:sz w:val="20"/>
        </w:rPr>
        <w:t xml:space="preserve"> </w:t>
      </w:r>
      <w:r>
        <w:rPr>
          <w:sz w:val="20"/>
        </w:rPr>
        <w:t>OPŽP</w:t>
      </w:r>
      <w:r>
        <w:rPr>
          <w:spacing w:val="-6"/>
          <w:sz w:val="20"/>
        </w:rPr>
        <w:t xml:space="preserve"> </w:t>
      </w:r>
      <w:r>
        <w:rPr>
          <w:sz w:val="20"/>
        </w:rPr>
        <w:t>2014-2020,</w:t>
      </w:r>
      <w:r>
        <w:rPr>
          <w:spacing w:val="-4"/>
          <w:sz w:val="20"/>
        </w:rPr>
        <w:t xml:space="preserve"> </w:t>
      </w:r>
      <w:r>
        <w:rPr>
          <w:sz w:val="20"/>
        </w:rPr>
        <w:t>které</w:t>
      </w:r>
      <w:r>
        <w:rPr>
          <w:spacing w:val="-2"/>
          <w:sz w:val="20"/>
        </w:rPr>
        <w:t xml:space="preserve"> </w:t>
      </w:r>
      <w:r>
        <w:rPr>
          <w:sz w:val="20"/>
        </w:rPr>
        <w:t>jsou</w:t>
      </w:r>
      <w:r>
        <w:rPr>
          <w:spacing w:val="-4"/>
          <w:sz w:val="20"/>
        </w:rPr>
        <w:t xml:space="preserve"> </w:t>
      </w:r>
      <w:r>
        <w:rPr>
          <w:sz w:val="20"/>
        </w:rPr>
        <w:t>zveřejněny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na </w:t>
      </w:r>
      <w:hyperlink r:id="rId8">
        <w:r>
          <w:rPr>
            <w:sz w:val="20"/>
          </w:rPr>
          <w:t xml:space="preserve">www.sfzp.cz, </w:t>
        </w:r>
      </w:hyperlink>
      <w:r>
        <w:rPr>
          <w:sz w:val="20"/>
        </w:rPr>
        <w:t>sekce Národní program Životní prostředí – O programu – Zadávání veřejných zakázek – odkaz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Zadávání</w:t>
      </w:r>
      <w:r>
        <w:rPr>
          <w:spacing w:val="-7"/>
          <w:sz w:val="20"/>
        </w:rPr>
        <w:t xml:space="preserve"> </w:t>
      </w:r>
      <w:r>
        <w:rPr>
          <w:sz w:val="20"/>
        </w:rPr>
        <w:t>veřejných</w:t>
      </w:r>
      <w:r>
        <w:rPr>
          <w:spacing w:val="-9"/>
          <w:sz w:val="20"/>
        </w:rPr>
        <w:t xml:space="preserve"> </w:t>
      </w:r>
      <w:r>
        <w:rPr>
          <w:sz w:val="20"/>
        </w:rPr>
        <w:t>zakázek</w:t>
      </w:r>
      <w:r>
        <w:rPr>
          <w:spacing w:val="-9"/>
          <w:sz w:val="20"/>
        </w:rPr>
        <w:t xml:space="preserve"> </w:t>
      </w:r>
      <w:r>
        <w:rPr>
          <w:sz w:val="20"/>
        </w:rPr>
        <w:t>pro</w:t>
      </w:r>
      <w:r>
        <w:rPr>
          <w:spacing w:val="-9"/>
          <w:sz w:val="20"/>
        </w:rPr>
        <w:t xml:space="preserve"> </w:t>
      </w:r>
      <w:r>
        <w:rPr>
          <w:sz w:val="20"/>
        </w:rPr>
        <w:t>OPŽP</w:t>
      </w:r>
      <w:r>
        <w:rPr>
          <w:spacing w:val="-10"/>
          <w:sz w:val="20"/>
        </w:rPr>
        <w:t xml:space="preserve"> </w:t>
      </w:r>
      <w:r>
        <w:rPr>
          <w:sz w:val="20"/>
        </w:rPr>
        <w:t>2014-2020,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průběhu</w:t>
      </w:r>
      <w:r>
        <w:rPr>
          <w:spacing w:val="-7"/>
          <w:sz w:val="20"/>
        </w:rPr>
        <w:t xml:space="preserve"> </w:t>
      </w:r>
      <w:r>
        <w:rPr>
          <w:sz w:val="20"/>
        </w:rPr>
        <w:t>realizace</w:t>
      </w:r>
      <w:r>
        <w:rPr>
          <w:spacing w:val="-7"/>
          <w:sz w:val="20"/>
        </w:rPr>
        <w:t xml:space="preserve"> </w:t>
      </w:r>
      <w:r>
        <w:rPr>
          <w:sz w:val="20"/>
        </w:rPr>
        <w:t>akce.</w:t>
      </w:r>
      <w:r>
        <w:rPr>
          <w:spacing w:val="-7"/>
          <w:sz w:val="20"/>
        </w:rPr>
        <w:t xml:space="preserve"> </w:t>
      </w:r>
      <w:r>
        <w:rPr>
          <w:sz w:val="20"/>
        </w:rPr>
        <w:t>Specifické povinnosti relevantní pouze pro OPŽP 2014-2020 se na příjemce podpory ne</w:t>
      </w:r>
      <w:r>
        <w:rPr>
          <w:sz w:val="20"/>
        </w:rPr>
        <w:t>vztahují. V této souvislosti příjemce podpory prohlašuje, že uvedená pravidla byla</w:t>
      </w:r>
      <w:r>
        <w:rPr>
          <w:spacing w:val="-7"/>
          <w:sz w:val="20"/>
        </w:rPr>
        <w:t xml:space="preserve"> </w:t>
      </w:r>
      <w:r>
        <w:rPr>
          <w:sz w:val="20"/>
        </w:rPr>
        <w:t>dodržena.</w:t>
      </w:r>
    </w:p>
    <w:p w:rsidR="00DF1C16" w:rsidRDefault="00DF1C16">
      <w:pPr>
        <w:pStyle w:val="Zkladntext"/>
        <w:spacing w:before="1"/>
        <w:ind w:left="0"/>
        <w:jc w:val="left"/>
        <w:rPr>
          <w:sz w:val="36"/>
        </w:rPr>
      </w:pPr>
    </w:p>
    <w:p w:rsidR="00DF1C16" w:rsidRDefault="00AE26AB">
      <w:pPr>
        <w:pStyle w:val="Nadpis1"/>
        <w:spacing w:before="1"/>
        <w:ind w:left="3274"/>
      </w:pPr>
      <w:r>
        <w:t>V.</w:t>
      </w:r>
    </w:p>
    <w:p w:rsidR="00DF1C16" w:rsidRDefault="00AE26AB">
      <w:pPr>
        <w:ind w:left="1142" w:right="1017"/>
        <w:jc w:val="center"/>
        <w:rPr>
          <w:b/>
          <w:sz w:val="20"/>
        </w:rPr>
      </w:pPr>
      <w:r>
        <w:rPr>
          <w:b/>
          <w:sz w:val="20"/>
        </w:rPr>
        <w:t>Porušení smluvních podmínek a sankce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526"/>
        </w:tabs>
        <w:spacing w:before="0"/>
        <w:ind w:right="112"/>
        <w:jc w:val="both"/>
        <w:rPr>
          <w:sz w:val="20"/>
        </w:rPr>
      </w:pPr>
      <w:r>
        <w:rPr>
          <w:sz w:val="20"/>
        </w:rPr>
        <w:t>Jestliže příjemce podpory nesplní některý ze závazků stanovených touto Smlouvou, bude Fond postupovat ve  smyslu  příslušných  ustanovení  zákona  č.  218/2000  Sb.,  o  rozpočtových  pravidlech a o změně některých souvisejících zákonů (rozpočtová pravidla</w:t>
      </w:r>
      <w:r>
        <w:rPr>
          <w:sz w:val="20"/>
        </w:rPr>
        <w:t>), v platném</w:t>
      </w:r>
      <w:r>
        <w:rPr>
          <w:spacing w:val="-2"/>
          <w:sz w:val="20"/>
        </w:rPr>
        <w:t xml:space="preserve"> </w:t>
      </w:r>
      <w:r>
        <w:rPr>
          <w:sz w:val="20"/>
        </w:rPr>
        <w:t>znění.</w:t>
      </w: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526"/>
        </w:tabs>
        <w:spacing w:before="119"/>
        <w:ind w:right="114"/>
        <w:jc w:val="both"/>
        <w:rPr>
          <w:sz w:val="20"/>
        </w:rPr>
      </w:pPr>
      <w:r>
        <w:rPr>
          <w:sz w:val="20"/>
        </w:rPr>
        <w:t>Porušení</w:t>
      </w:r>
      <w:r>
        <w:rPr>
          <w:spacing w:val="-10"/>
          <w:sz w:val="20"/>
        </w:rPr>
        <w:t xml:space="preserve"> </w:t>
      </w:r>
      <w:r>
        <w:rPr>
          <w:sz w:val="20"/>
        </w:rPr>
        <w:t>povinností</w:t>
      </w:r>
      <w:r>
        <w:rPr>
          <w:spacing w:val="-10"/>
          <w:sz w:val="20"/>
        </w:rPr>
        <w:t xml:space="preserve"> </w:t>
      </w:r>
      <w:r>
        <w:rPr>
          <w:sz w:val="20"/>
        </w:rPr>
        <w:t>podle</w:t>
      </w:r>
      <w:r>
        <w:rPr>
          <w:spacing w:val="-10"/>
          <w:sz w:val="20"/>
        </w:rPr>
        <w:t xml:space="preserve"> </w:t>
      </w:r>
      <w:r>
        <w:rPr>
          <w:sz w:val="20"/>
        </w:rPr>
        <w:t>článku</w:t>
      </w:r>
      <w:r>
        <w:rPr>
          <w:spacing w:val="-10"/>
          <w:sz w:val="20"/>
        </w:rPr>
        <w:t xml:space="preserve"> </w:t>
      </w:r>
      <w:r>
        <w:rPr>
          <w:sz w:val="20"/>
        </w:rPr>
        <w:t>II</w:t>
      </w:r>
      <w:r>
        <w:rPr>
          <w:spacing w:val="-10"/>
          <w:sz w:val="20"/>
        </w:rPr>
        <w:t xml:space="preserve"> </w:t>
      </w:r>
      <w:r>
        <w:rPr>
          <w:sz w:val="20"/>
        </w:rPr>
        <w:t>bodů</w:t>
      </w:r>
      <w:r>
        <w:rPr>
          <w:spacing w:val="-9"/>
          <w:sz w:val="20"/>
        </w:rPr>
        <w:t xml:space="preserve"> </w:t>
      </w:r>
      <w:r>
        <w:rPr>
          <w:sz w:val="20"/>
        </w:rPr>
        <w:t>4</w:t>
      </w:r>
      <w:r>
        <w:rPr>
          <w:spacing w:val="-9"/>
          <w:sz w:val="20"/>
        </w:rPr>
        <w:t xml:space="preserve"> </w:t>
      </w:r>
      <w:r>
        <w:rPr>
          <w:sz w:val="20"/>
        </w:rPr>
        <w:t>nebo</w:t>
      </w:r>
      <w:r>
        <w:rPr>
          <w:spacing w:val="-8"/>
          <w:sz w:val="20"/>
        </w:rPr>
        <w:t xml:space="preserve"> </w:t>
      </w:r>
      <w:r>
        <w:rPr>
          <w:sz w:val="20"/>
        </w:rPr>
        <w:t>5</w:t>
      </w:r>
      <w:r>
        <w:rPr>
          <w:spacing w:val="-9"/>
          <w:sz w:val="20"/>
        </w:rPr>
        <w:t xml:space="preserve"> </w:t>
      </w:r>
      <w:r>
        <w:rPr>
          <w:sz w:val="20"/>
        </w:rPr>
        <w:t>nebo</w:t>
      </w:r>
      <w:r>
        <w:rPr>
          <w:spacing w:val="-8"/>
          <w:sz w:val="20"/>
        </w:rPr>
        <w:t xml:space="preserve"> </w:t>
      </w:r>
      <w:r>
        <w:rPr>
          <w:sz w:val="20"/>
        </w:rPr>
        <w:t>podle</w:t>
      </w:r>
      <w:r>
        <w:rPr>
          <w:spacing w:val="-10"/>
          <w:sz w:val="20"/>
        </w:rPr>
        <w:t xml:space="preserve"> </w:t>
      </w:r>
      <w:r>
        <w:rPr>
          <w:sz w:val="20"/>
        </w:rPr>
        <w:t>článku</w:t>
      </w:r>
      <w:r>
        <w:rPr>
          <w:spacing w:val="-10"/>
          <w:sz w:val="20"/>
        </w:rPr>
        <w:t xml:space="preserve"> </w:t>
      </w:r>
      <w:r>
        <w:rPr>
          <w:sz w:val="20"/>
        </w:rPr>
        <w:t>IV</w:t>
      </w:r>
      <w:r>
        <w:rPr>
          <w:spacing w:val="-9"/>
          <w:sz w:val="20"/>
        </w:rPr>
        <w:t xml:space="preserve"> </w:t>
      </w:r>
      <w:r>
        <w:rPr>
          <w:sz w:val="20"/>
        </w:rPr>
        <w:t>bodu</w:t>
      </w:r>
      <w:r>
        <w:rPr>
          <w:spacing w:val="-9"/>
          <w:sz w:val="20"/>
        </w:rPr>
        <w:t xml:space="preserve"> </w:t>
      </w:r>
      <w:r>
        <w:rPr>
          <w:sz w:val="20"/>
        </w:rPr>
        <w:t>2</w:t>
      </w:r>
      <w:r>
        <w:rPr>
          <w:spacing w:val="-9"/>
          <w:sz w:val="20"/>
        </w:rPr>
        <w:t xml:space="preserve"> </w:t>
      </w:r>
      <w:r>
        <w:rPr>
          <w:sz w:val="20"/>
        </w:rPr>
        <w:t>písm.</w:t>
      </w:r>
      <w:r>
        <w:rPr>
          <w:spacing w:val="-9"/>
          <w:sz w:val="20"/>
        </w:rPr>
        <w:t xml:space="preserve"> </w:t>
      </w:r>
      <w:r>
        <w:rPr>
          <w:sz w:val="20"/>
        </w:rPr>
        <w:t>a),</w:t>
      </w:r>
      <w:r>
        <w:rPr>
          <w:spacing w:val="-9"/>
          <w:sz w:val="20"/>
        </w:rPr>
        <w:t xml:space="preserve"> </w:t>
      </w:r>
      <w:r>
        <w:rPr>
          <w:sz w:val="20"/>
        </w:rPr>
        <w:t>c)</w:t>
      </w:r>
      <w:r>
        <w:rPr>
          <w:spacing w:val="-9"/>
          <w:sz w:val="20"/>
        </w:rPr>
        <w:t xml:space="preserve"> </w:t>
      </w:r>
      <w:r>
        <w:rPr>
          <w:sz w:val="20"/>
        </w:rPr>
        <w:t>nebo</w:t>
      </w:r>
      <w:r>
        <w:rPr>
          <w:spacing w:val="-8"/>
          <w:sz w:val="20"/>
        </w:rPr>
        <w:t xml:space="preserve"> </w:t>
      </w:r>
      <w:r>
        <w:rPr>
          <w:sz w:val="20"/>
        </w:rPr>
        <w:t>d)</w:t>
      </w:r>
      <w:r>
        <w:rPr>
          <w:spacing w:val="-9"/>
          <w:sz w:val="20"/>
        </w:rPr>
        <w:t xml:space="preserve"> </w:t>
      </w:r>
      <w:r>
        <w:rPr>
          <w:sz w:val="20"/>
        </w:rPr>
        <w:t>bude postiženo  odvodem  ve  výši  100  %  z poskytnuté  podpory.  Porušení  povinností  podle  článku       IV bodu 1 písm. b) za první, druhou, třetí nebo pátou odrážkou bude postiženo odvodem ve výši 100 % z poskytnuté</w:t>
      </w:r>
      <w:r>
        <w:rPr>
          <w:spacing w:val="-1"/>
          <w:sz w:val="20"/>
        </w:rPr>
        <w:t xml:space="preserve"> </w:t>
      </w:r>
      <w:r>
        <w:rPr>
          <w:sz w:val="20"/>
        </w:rPr>
        <w:t>podpory.</w:t>
      </w:r>
    </w:p>
    <w:p w:rsidR="00DF1C16" w:rsidRDefault="00DF1C16">
      <w:pPr>
        <w:jc w:val="both"/>
        <w:rPr>
          <w:sz w:val="20"/>
        </w:rPr>
        <w:sectPr w:rsidR="00DF1C16">
          <w:pgSz w:w="12240" w:h="15840"/>
          <w:pgMar w:top="1060" w:right="1020" w:bottom="1660" w:left="1460" w:header="0" w:footer="1380" w:gutter="0"/>
          <w:cols w:space="708"/>
        </w:sectPr>
      </w:pP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526"/>
        </w:tabs>
        <w:spacing w:before="73"/>
        <w:ind w:right="112"/>
        <w:jc w:val="both"/>
        <w:rPr>
          <w:sz w:val="20"/>
        </w:rPr>
      </w:pPr>
      <w:r>
        <w:rPr>
          <w:sz w:val="20"/>
        </w:rPr>
        <w:lastRenderedPageBreak/>
        <w:t xml:space="preserve">Dojde-li k </w:t>
      </w:r>
      <w:r>
        <w:rPr>
          <w:sz w:val="20"/>
        </w:rPr>
        <w:t>porušení povinností uvedených v článku IV bodu 1 písm. a) za první odrážkou, bude toto porušení</w:t>
      </w:r>
      <w:r>
        <w:rPr>
          <w:spacing w:val="-5"/>
          <w:sz w:val="20"/>
        </w:rPr>
        <w:t xml:space="preserve"> </w:t>
      </w:r>
      <w:r>
        <w:rPr>
          <w:sz w:val="20"/>
        </w:rPr>
        <w:t>postiženo</w:t>
      </w:r>
      <w:r>
        <w:rPr>
          <w:spacing w:val="-4"/>
          <w:sz w:val="20"/>
        </w:rPr>
        <w:t xml:space="preserve"> </w:t>
      </w:r>
      <w:r>
        <w:rPr>
          <w:sz w:val="20"/>
        </w:rPr>
        <w:t>odvodem</w:t>
      </w:r>
      <w:r>
        <w:rPr>
          <w:spacing w:val="-6"/>
          <w:sz w:val="20"/>
        </w:rPr>
        <w:t xml:space="preserve"> </w:t>
      </w:r>
      <w:r>
        <w:rPr>
          <w:sz w:val="20"/>
        </w:rPr>
        <w:t>ve</w:t>
      </w:r>
      <w:r>
        <w:rPr>
          <w:spacing w:val="-5"/>
          <w:sz w:val="20"/>
        </w:rPr>
        <w:t xml:space="preserve"> </w:t>
      </w:r>
      <w:r>
        <w:rPr>
          <w:sz w:val="20"/>
        </w:rPr>
        <w:t>výši</w:t>
      </w:r>
      <w:r>
        <w:rPr>
          <w:spacing w:val="-3"/>
          <w:sz w:val="20"/>
        </w:rPr>
        <w:t xml:space="preserve"> </w:t>
      </w:r>
      <w:r>
        <w:rPr>
          <w:sz w:val="20"/>
        </w:rPr>
        <w:t>100</w:t>
      </w:r>
      <w:r>
        <w:rPr>
          <w:spacing w:val="-4"/>
          <w:sz w:val="20"/>
        </w:rPr>
        <w:t xml:space="preserve"> </w:t>
      </w:r>
      <w:r>
        <w:rPr>
          <w:sz w:val="20"/>
        </w:rPr>
        <w:t>%</w:t>
      </w:r>
      <w:r>
        <w:rPr>
          <w:spacing w:val="-4"/>
          <w:sz w:val="20"/>
        </w:rPr>
        <w:t xml:space="preserve"> </w:t>
      </w:r>
      <w:r>
        <w:rPr>
          <w:sz w:val="20"/>
        </w:rPr>
        <w:t>z poskytnuté</w:t>
      </w:r>
      <w:r>
        <w:rPr>
          <w:spacing w:val="-6"/>
          <w:sz w:val="20"/>
        </w:rPr>
        <w:t xml:space="preserve"> </w:t>
      </w:r>
      <w:r>
        <w:rPr>
          <w:sz w:val="20"/>
        </w:rPr>
        <w:t>podpory.</w:t>
      </w:r>
      <w:r>
        <w:rPr>
          <w:spacing w:val="-5"/>
          <w:sz w:val="20"/>
        </w:rPr>
        <w:t xml:space="preserve"> </w:t>
      </w:r>
      <w:r>
        <w:rPr>
          <w:sz w:val="20"/>
        </w:rPr>
        <w:t>Byl-li</w:t>
      </w:r>
      <w:r>
        <w:rPr>
          <w:spacing w:val="-5"/>
          <w:sz w:val="20"/>
        </w:rPr>
        <w:t xml:space="preserve"> </w:t>
      </w:r>
      <w:r>
        <w:rPr>
          <w:sz w:val="20"/>
        </w:rPr>
        <w:t>naplněn</w:t>
      </w:r>
      <w:r>
        <w:rPr>
          <w:spacing w:val="-4"/>
          <w:sz w:val="20"/>
        </w:rPr>
        <w:t xml:space="preserve"> </w:t>
      </w:r>
      <w:r>
        <w:rPr>
          <w:sz w:val="20"/>
        </w:rPr>
        <w:t>účel</w:t>
      </w:r>
      <w:r>
        <w:rPr>
          <w:spacing w:val="-5"/>
          <w:sz w:val="20"/>
        </w:rPr>
        <w:t xml:space="preserve"> </w:t>
      </w:r>
      <w:r>
        <w:rPr>
          <w:sz w:val="20"/>
        </w:rPr>
        <w:t>akce</w:t>
      </w:r>
      <w:r>
        <w:rPr>
          <w:spacing w:val="-5"/>
          <w:sz w:val="20"/>
        </w:rPr>
        <w:t xml:space="preserve"> </w:t>
      </w:r>
      <w:r>
        <w:rPr>
          <w:sz w:val="20"/>
        </w:rPr>
        <w:t>podle</w:t>
      </w:r>
      <w:r>
        <w:rPr>
          <w:spacing w:val="-3"/>
          <w:sz w:val="20"/>
        </w:rPr>
        <w:t xml:space="preserve"> </w:t>
      </w:r>
      <w:r>
        <w:rPr>
          <w:sz w:val="20"/>
        </w:rPr>
        <w:t>článku IV bodu 1 písm. a) za druhou odrážkou na méně než 50 % stanovených i</w:t>
      </w:r>
      <w:r>
        <w:rPr>
          <w:sz w:val="20"/>
        </w:rPr>
        <w:t>ndikátorů, bude toto porušení postiženo</w:t>
      </w:r>
      <w:r>
        <w:rPr>
          <w:spacing w:val="8"/>
          <w:sz w:val="20"/>
        </w:rPr>
        <w:t xml:space="preserve"> </w:t>
      </w:r>
      <w:r>
        <w:rPr>
          <w:sz w:val="20"/>
        </w:rPr>
        <w:t>odvodem</w:t>
      </w:r>
      <w:r>
        <w:rPr>
          <w:spacing w:val="7"/>
          <w:sz w:val="20"/>
        </w:rPr>
        <w:t xml:space="preserve"> </w:t>
      </w:r>
      <w:r>
        <w:rPr>
          <w:sz w:val="20"/>
        </w:rPr>
        <w:t>ve</w:t>
      </w:r>
      <w:r>
        <w:rPr>
          <w:spacing w:val="8"/>
          <w:sz w:val="20"/>
        </w:rPr>
        <w:t xml:space="preserve"> </w:t>
      </w:r>
      <w:r>
        <w:rPr>
          <w:sz w:val="20"/>
        </w:rPr>
        <w:t>výši</w:t>
      </w:r>
      <w:r>
        <w:rPr>
          <w:spacing w:val="10"/>
          <w:sz w:val="20"/>
        </w:rPr>
        <w:t xml:space="preserve"> </w:t>
      </w:r>
      <w:r>
        <w:rPr>
          <w:sz w:val="20"/>
        </w:rPr>
        <w:t>100</w:t>
      </w:r>
      <w:r>
        <w:rPr>
          <w:spacing w:val="7"/>
          <w:sz w:val="20"/>
        </w:rPr>
        <w:t xml:space="preserve"> </w:t>
      </w:r>
      <w:r>
        <w:rPr>
          <w:sz w:val="20"/>
        </w:rPr>
        <w:t>%</w:t>
      </w:r>
      <w:r>
        <w:rPr>
          <w:spacing w:val="9"/>
          <w:sz w:val="20"/>
        </w:rPr>
        <w:t xml:space="preserve"> </w:t>
      </w:r>
      <w:r>
        <w:rPr>
          <w:sz w:val="20"/>
        </w:rPr>
        <w:t>z</w:t>
      </w:r>
      <w:r>
        <w:rPr>
          <w:spacing w:val="2"/>
          <w:sz w:val="20"/>
        </w:rPr>
        <w:t xml:space="preserve"> </w:t>
      </w:r>
      <w:r>
        <w:rPr>
          <w:sz w:val="20"/>
        </w:rPr>
        <w:t>poskytnuté</w:t>
      </w:r>
      <w:r>
        <w:rPr>
          <w:spacing w:val="8"/>
          <w:sz w:val="20"/>
        </w:rPr>
        <w:t xml:space="preserve"> </w:t>
      </w:r>
      <w:r>
        <w:rPr>
          <w:sz w:val="20"/>
        </w:rPr>
        <w:t>podpory.</w:t>
      </w:r>
      <w:r>
        <w:rPr>
          <w:spacing w:val="9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případě</w:t>
      </w:r>
      <w:r>
        <w:rPr>
          <w:spacing w:val="8"/>
          <w:sz w:val="20"/>
        </w:rPr>
        <w:t xml:space="preserve"> </w:t>
      </w:r>
      <w:r>
        <w:rPr>
          <w:sz w:val="20"/>
        </w:rPr>
        <w:t>plnění</w:t>
      </w:r>
      <w:r>
        <w:rPr>
          <w:spacing w:val="9"/>
          <w:sz w:val="20"/>
        </w:rPr>
        <w:t xml:space="preserve"> </w:t>
      </w:r>
      <w:r>
        <w:rPr>
          <w:sz w:val="20"/>
        </w:rPr>
        <w:t>účelu</w:t>
      </w:r>
      <w:r>
        <w:rPr>
          <w:spacing w:val="10"/>
          <w:sz w:val="20"/>
        </w:rPr>
        <w:t xml:space="preserve"> </w:t>
      </w:r>
      <w:r>
        <w:rPr>
          <w:sz w:val="20"/>
        </w:rPr>
        <w:t>akce</w:t>
      </w:r>
      <w:r>
        <w:rPr>
          <w:spacing w:val="8"/>
          <w:sz w:val="20"/>
        </w:rPr>
        <w:t xml:space="preserve"> </w:t>
      </w:r>
      <w:r>
        <w:rPr>
          <w:sz w:val="20"/>
        </w:rPr>
        <w:t>v rozmezí</w:t>
      </w:r>
      <w:r>
        <w:rPr>
          <w:spacing w:val="8"/>
          <w:sz w:val="20"/>
        </w:rPr>
        <w:t xml:space="preserve"> </w:t>
      </w:r>
      <w:r>
        <w:rPr>
          <w:sz w:val="20"/>
        </w:rPr>
        <w:t>50-90</w:t>
      </w:r>
    </w:p>
    <w:p w:rsidR="00DF1C16" w:rsidRDefault="00AE26AB">
      <w:pPr>
        <w:pStyle w:val="Zkladntext"/>
        <w:spacing w:before="2"/>
        <w:ind w:right="110"/>
      </w:pPr>
      <w:r>
        <w:t>% stanovených indikátorů, bude toto porušení postiženo odvodem v rozmezí 10-50 % z poskytnuté podpory</w:t>
      </w:r>
      <w:r>
        <w:rPr>
          <w:spacing w:val="-1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závislosti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míře</w:t>
      </w:r>
      <w:r>
        <w:rPr>
          <w:spacing w:val="-11"/>
        </w:rPr>
        <w:t xml:space="preserve"> </w:t>
      </w:r>
      <w:r>
        <w:t>porušení</w:t>
      </w:r>
      <w:r>
        <w:rPr>
          <w:spacing w:val="-10"/>
        </w:rPr>
        <w:t xml:space="preserve"> </w:t>
      </w:r>
      <w:r>
        <w:t>stanovených</w:t>
      </w:r>
      <w:r>
        <w:rPr>
          <w:spacing w:val="-12"/>
        </w:rPr>
        <w:t xml:space="preserve"> </w:t>
      </w:r>
      <w:r>
        <w:t>indikátorů</w:t>
      </w:r>
      <w:r>
        <w:rPr>
          <w:spacing w:val="-12"/>
        </w:rPr>
        <w:t xml:space="preserve"> </w:t>
      </w:r>
      <w:r>
        <w:t>účelu</w:t>
      </w:r>
      <w:r>
        <w:rPr>
          <w:spacing w:val="-12"/>
        </w:rPr>
        <w:t xml:space="preserve"> </w:t>
      </w:r>
      <w:r>
        <w:t>akce.</w:t>
      </w:r>
      <w:r>
        <w:rPr>
          <w:spacing w:val="-6"/>
        </w:rPr>
        <w:t xml:space="preserve"> </w:t>
      </w:r>
      <w:r>
        <w:t>Plnění</w:t>
      </w:r>
      <w:r>
        <w:rPr>
          <w:spacing w:val="-13"/>
        </w:rPr>
        <w:t xml:space="preserve"> </w:t>
      </w:r>
      <w:r>
        <w:t>účelu</w:t>
      </w:r>
      <w:r>
        <w:rPr>
          <w:spacing w:val="-12"/>
        </w:rPr>
        <w:t xml:space="preserve"> </w:t>
      </w:r>
      <w:r>
        <w:t>akce</w:t>
      </w:r>
      <w:r>
        <w:rPr>
          <w:spacing w:val="-1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rozmezí</w:t>
      </w:r>
      <w:r>
        <w:rPr>
          <w:spacing w:val="-12"/>
        </w:rPr>
        <w:t xml:space="preserve"> </w:t>
      </w:r>
      <w:r>
        <w:t>90- 100 % stanovených indikátorů nebude postiženo odvodem.</w:t>
      </w: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526"/>
        </w:tabs>
        <w:spacing w:before="118"/>
        <w:ind w:right="115"/>
        <w:jc w:val="both"/>
        <w:rPr>
          <w:sz w:val="20"/>
        </w:rPr>
      </w:pPr>
      <w:r>
        <w:rPr>
          <w:sz w:val="20"/>
        </w:rPr>
        <w:t xml:space="preserve">Nedodržení lhůty realizace akce podle článku IV bodu 1 písm. c) bude postiženo odvodem ve výši 0,5 % z poskytnuté podpory za </w:t>
      </w:r>
      <w:r>
        <w:rPr>
          <w:sz w:val="20"/>
        </w:rPr>
        <w:t>každý započatý měsíc prodlení. Porušení těchto povinností nepřesahující lhůtu 10 kalendářních dnů nebude postiženo a nebude tak považováno za porušení podmínek poskytnutí podpory.</w:t>
      </w: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602"/>
        </w:tabs>
        <w:spacing w:before="122"/>
        <w:ind w:left="601" w:right="111" w:hanging="360"/>
        <w:jc w:val="both"/>
        <w:rPr>
          <w:sz w:val="20"/>
        </w:rPr>
      </w:pPr>
      <w:r>
        <w:rPr>
          <w:sz w:val="20"/>
        </w:rPr>
        <w:t>V případě, že dojde k porušení povinností uvedených v článku IV bodu 2 písm.</w:t>
      </w:r>
      <w:r>
        <w:rPr>
          <w:sz w:val="20"/>
        </w:rPr>
        <w:t xml:space="preserve"> j), bude stanovena finanční oprava podle přílohy č. 1 této</w:t>
      </w:r>
      <w:r>
        <w:rPr>
          <w:spacing w:val="-6"/>
          <w:sz w:val="20"/>
        </w:rPr>
        <w:t xml:space="preserve"> </w:t>
      </w:r>
      <w:r>
        <w:rPr>
          <w:sz w:val="20"/>
        </w:rPr>
        <w:t>Smlouvy.</w:t>
      </w:r>
    </w:p>
    <w:p w:rsidR="00DF1C16" w:rsidRDefault="00AE26AB">
      <w:pPr>
        <w:pStyle w:val="Odstavecseseznamem"/>
        <w:numPr>
          <w:ilvl w:val="0"/>
          <w:numId w:val="3"/>
        </w:numPr>
        <w:tabs>
          <w:tab w:val="left" w:pos="581"/>
        </w:tabs>
        <w:spacing w:before="118"/>
        <w:ind w:right="111"/>
        <w:jc w:val="both"/>
        <w:rPr>
          <w:sz w:val="20"/>
        </w:rPr>
      </w:pPr>
      <w:r>
        <w:tab/>
      </w:r>
      <w:r>
        <w:rPr>
          <w:sz w:val="20"/>
        </w:rPr>
        <w:t>Porušení ostatních povinností podle této Smlouvy bude postiženo odvodem ve výši 1 % z poskytnuté podpory.</w:t>
      </w:r>
    </w:p>
    <w:p w:rsidR="00DF1C16" w:rsidRDefault="00DF1C16">
      <w:pPr>
        <w:pStyle w:val="Zkladntext"/>
        <w:spacing w:before="3"/>
        <w:ind w:left="0"/>
        <w:jc w:val="left"/>
        <w:rPr>
          <w:sz w:val="36"/>
        </w:rPr>
      </w:pPr>
    </w:p>
    <w:p w:rsidR="00DF1C16" w:rsidRDefault="00AE26AB">
      <w:pPr>
        <w:pStyle w:val="Nadpis1"/>
        <w:ind w:left="3277"/>
      </w:pPr>
      <w:r>
        <w:t>VI.</w:t>
      </w:r>
    </w:p>
    <w:p w:rsidR="00DF1C16" w:rsidRDefault="00AE26AB">
      <w:pPr>
        <w:ind w:left="3274" w:right="3148"/>
        <w:jc w:val="center"/>
        <w:rPr>
          <w:b/>
          <w:sz w:val="20"/>
        </w:rPr>
      </w:pPr>
      <w:r>
        <w:rPr>
          <w:b/>
          <w:sz w:val="20"/>
        </w:rPr>
        <w:t>Závěrečná ustanovení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18"/>
        </w:rPr>
      </w:pP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0"/>
        <w:ind w:right="116"/>
        <w:jc w:val="both"/>
        <w:rPr>
          <w:sz w:val="20"/>
        </w:rPr>
      </w:pPr>
      <w:r>
        <w:rPr>
          <w:sz w:val="20"/>
        </w:rPr>
        <w:t>Pokud dojde ke změně obecně závazných právních předpisů týkajících se vztahů vyplývajících z této Smlouvy, uzavřou smluvní strany k této Smlouvě dodatek, kterým bude zajištěn její soulad s obecně závaznými předpisy a Směrnicí MŽP. V případě neuzavření tako</w:t>
      </w:r>
      <w:r>
        <w:rPr>
          <w:sz w:val="20"/>
        </w:rPr>
        <w:t>vého dodatku má Fond právo uplatnit postup podle článku V bodu</w:t>
      </w:r>
      <w:r>
        <w:rPr>
          <w:spacing w:val="-1"/>
          <w:sz w:val="20"/>
        </w:rPr>
        <w:t xml:space="preserve"> </w:t>
      </w:r>
      <w:r>
        <w:rPr>
          <w:sz w:val="20"/>
        </w:rPr>
        <w:t>1.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119"/>
        <w:ind w:right="112"/>
        <w:jc w:val="both"/>
        <w:rPr>
          <w:sz w:val="20"/>
        </w:rPr>
      </w:pPr>
      <w:r>
        <w:rPr>
          <w:sz w:val="20"/>
        </w:rPr>
        <w:t>Pro snazší identifikaci budou smluvní strany při veškeré korespondenci (včetně elektronické) týkající se akce, uvádět vždy číslo této Smlouvy, a to již v označení věci, které se daná korespo</w:t>
      </w:r>
      <w:r>
        <w:rPr>
          <w:sz w:val="20"/>
        </w:rPr>
        <w:t>ndence bude</w:t>
      </w:r>
      <w:r>
        <w:rPr>
          <w:spacing w:val="-38"/>
          <w:sz w:val="20"/>
        </w:rPr>
        <w:t xml:space="preserve"> </w:t>
      </w:r>
      <w:r>
        <w:rPr>
          <w:sz w:val="20"/>
        </w:rPr>
        <w:t>týkat.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ind w:right="116"/>
        <w:jc w:val="both"/>
        <w:rPr>
          <w:sz w:val="20"/>
        </w:rPr>
      </w:pPr>
      <w:r>
        <w:rPr>
          <w:sz w:val="20"/>
        </w:rPr>
        <w:t>Tato Smlouva může být měněna nebo zrušena pouze dohodou obou smluvních stran v písemné formě. Změnu Smlouvy může Fond podmínit krácením nebo nepřiznáním nároku na zbývající část podpory podle článku III bodů 2 až 8, a to zejména tehdy, k</w:t>
      </w:r>
      <w:r>
        <w:rPr>
          <w:sz w:val="20"/>
        </w:rPr>
        <w:t>dy bude docíleno nižších přínosů (nebo dojde k jejich opoždění), než jak tato Smlouva původně</w:t>
      </w:r>
      <w:r>
        <w:rPr>
          <w:spacing w:val="-5"/>
          <w:sz w:val="20"/>
        </w:rPr>
        <w:t xml:space="preserve"> </w:t>
      </w:r>
      <w:r>
        <w:rPr>
          <w:sz w:val="20"/>
        </w:rPr>
        <w:t>předpokládala.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120"/>
        <w:ind w:right="116"/>
        <w:jc w:val="both"/>
        <w:rPr>
          <w:sz w:val="20"/>
        </w:rPr>
      </w:pPr>
      <w:r>
        <w:rPr>
          <w:sz w:val="20"/>
        </w:rPr>
        <w:t>Jednostranně je možno tuto Smlouvu vypovědět pouze za podmínek stanovených zákonem či touto Smlouvou.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120"/>
        <w:ind w:right="114"/>
        <w:jc w:val="both"/>
        <w:rPr>
          <w:sz w:val="20"/>
        </w:rPr>
      </w:pPr>
      <w:r>
        <w:rPr>
          <w:sz w:val="20"/>
        </w:rPr>
        <w:t>Vztahy</w:t>
      </w:r>
      <w:r>
        <w:rPr>
          <w:spacing w:val="-13"/>
          <w:sz w:val="20"/>
        </w:rPr>
        <w:t xml:space="preserve"> </w:t>
      </w:r>
      <w:r>
        <w:rPr>
          <w:sz w:val="20"/>
        </w:rPr>
        <w:t>dle</w:t>
      </w:r>
      <w:r>
        <w:rPr>
          <w:spacing w:val="-14"/>
          <w:sz w:val="20"/>
        </w:rPr>
        <w:t xml:space="preserve"> </w:t>
      </w:r>
      <w:r>
        <w:rPr>
          <w:sz w:val="20"/>
        </w:rPr>
        <w:t>této</w:t>
      </w:r>
      <w:r>
        <w:rPr>
          <w:spacing w:val="-12"/>
          <w:sz w:val="20"/>
        </w:rPr>
        <w:t xml:space="preserve"> </w:t>
      </w:r>
      <w:r>
        <w:rPr>
          <w:sz w:val="20"/>
        </w:rPr>
        <w:t>Smlouvy</w:t>
      </w:r>
      <w:r>
        <w:rPr>
          <w:spacing w:val="-12"/>
          <w:sz w:val="20"/>
        </w:rPr>
        <w:t xml:space="preserve"> </w:t>
      </w:r>
      <w:r>
        <w:rPr>
          <w:sz w:val="20"/>
        </w:rPr>
        <w:t>neupravené</w:t>
      </w:r>
      <w:r>
        <w:rPr>
          <w:spacing w:val="-14"/>
          <w:sz w:val="20"/>
        </w:rPr>
        <w:t xml:space="preserve"> </w:t>
      </w:r>
      <w:r>
        <w:rPr>
          <w:sz w:val="20"/>
        </w:rPr>
        <w:t>veřejnoprávními</w:t>
      </w:r>
      <w:r>
        <w:rPr>
          <w:spacing w:val="-12"/>
          <w:sz w:val="20"/>
        </w:rPr>
        <w:t xml:space="preserve"> </w:t>
      </w:r>
      <w:r>
        <w:rPr>
          <w:sz w:val="20"/>
        </w:rPr>
        <w:t>předpisy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řídí</w:t>
      </w:r>
      <w:r>
        <w:rPr>
          <w:spacing w:val="-13"/>
          <w:sz w:val="20"/>
        </w:rPr>
        <w:t xml:space="preserve"> </w:t>
      </w:r>
      <w:r>
        <w:rPr>
          <w:sz w:val="20"/>
        </w:rPr>
        <w:t>příslušnými</w:t>
      </w:r>
      <w:r>
        <w:rPr>
          <w:spacing w:val="-13"/>
          <w:sz w:val="20"/>
        </w:rPr>
        <w:t xml:space="preserve"> </w:t>
      </w:r>
      <w:r>
        <w:rPr>
          <w:sz w:val="20"/>
        </w:rPr>
        <w:t>ustanoveními</w:t>
      </w:r>
      <w:r>
        <w:rPr>
          <w:spacing w:val="-13"/>
          <w:sz w:val="20"/>
        </w:rPr>
        <w:t xml:space="preserve"> </w:t>
      </w:r>
      <w:r>
        <w:rPr>
          <w:sz w:val="20"/>
        </w:rPr>
        <w:t>platného občanského zákoníku, zejména jeho části</w:t>
      </w:r>
      <w:r>
        <w:rPr>
          <w:spacing w:val="4"/>
          <w:sz w:val="20"/>
        </w:rPr>
        <w:t xml:space="preserve"> </w:t>
      </w:r>
      <w:r>
        <w:rPr>
          <w:sz w:val="20"/>
        </w:rPr>
        <w:t>čtvrté.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jc w:val="both"/>
        <w:rPr>
          <w:sz w:val="20"/>
        </w:rPr>
      </w:pPr>
      <w:r>
        <w:rPr>
          <w:sz w:val="20"/>
        </w:rPr>
        <w:t>Pro účely této Smlouvy má povinnost příjemce podpory stejný význam jako závazek příjemce</w:t>
      </w:r>
      <w:r>
        <w:rPr>
          <w:spacing w:val="-34"/>
          <w:sz w:val="20"/>
        </w:rPr>
        <w:t xml:space="preserve"> </w:t>
      </w:r>
      <w:r>
        <w:rPr>
          <w:sz w:val="20"/>
        </w:rPr>
        <w:t>podpory.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118"/>
        <w:ind w:right="108"/>
        <w:jc w:val="both"/>
        <w:rPr>
          <w:sz w:val="20"/>
        </w:rPr>
      </w:pPr>
      <w:r>
        <w:rPr>
          <w:sz w:val="20"/>
        </w:rPr>
        <w:t>Pro účely  této  Smlouvy se informací (povinností informovat) rozumí podání informace v AIS SFŽP ČR,  v</w:t>
      </w:r>
      <w:r>
        <w:rPr>
          <w:spacing w:val="-4"/>
          <w:sz w:val="20"/>
        </w:rPr>
        <w:t xml:space="preserve"> </w:t>
      </w:r>
      <w:r>
        <w:rPr>
          <w:sz w:val="20"/>
        </w:rPr>
        <w:t>písemné</w:t>
      </w:r>
      <w:r>
        <w:rPr>
          <w:spacing w:val="-11"/>
          <w:sz w:val="20"/>
        </w:rPr>
        <w:t xml:space="preserve"> </w:t>
      </w:r>
      <w:r>
        <w:rPr>
          <w:sz w:val="20"/>
        </w:rPr>
        <w:t>podobě,</w:t>
      </w:r>
      <w:r>
        <w:rPr>
          <w:spacing w:val="-11"/>
          <w:sz w:val="20"/>
        </w:rPr>
        <w:t xml:space="preserve"> </w:t>
      </w:r>
      <w:r>
        <w:rPr>
          <w:sz w:val="20"/>
        </w:rPr>
        <w:t>případně</w:t>
      </w:r>
      <w:r>
        <w:rPr>
          <w:spacing w:val="-10"/>
          <w:sz w:val="20"/>
        </w:rPr>
        <w:t xml:space="preserve"> </w:t>
      </w:r>
      <w:r>
        <w:rPr>
          <w:sz w:val="20"/>
        </w:rPr>
        <w:t>e-mailem</w:t>
      </w:r>
      <w:r>
        <w:rPr>
          <w:spacing w:val="-12"/>
          <w:sz w:val="20"/>
        </w:rPr>
        <w:t xml:space="preserve"> </w:t>
      </w:r>
      <w:r>
        <w:rPr>
          <w:sz w:val="20"/>
        </w:rPr>
        <w:t>příslušnému</w:t>
      </w:r>
      <w:r>
        <w:rPr>
          <w:spacing w:val="-10"/>
          <w:sz w:val="20"/>
        </w:rPr>
        <w:t xml:space="preserve"> </w:t>
      </w:r>
      <w:r>
        <w:rPr>
          <w:sz w:val="20"/>
        </w:rPr>
        <w:t>projektovému</w:t>
      </w:r>
      <w:r>
        <w:rPr>
          <w:spacing w:val="-10"/>
          <w:sz w:val="20"/>
        </w:rPr>
        <w:t xml:space="preserve"> </w:t>
      </w:r>
      <w:r>
        <w:rPr>
          <w:sz w:val="20"/>
        </w:rPr>
        <w:t>manažerovi</w:t>
      </w:r>
      <w:r>
        <w:rPr>
          <w:spacing w:val="-10"/>
          <w:sz w:val="20"/>
        </w:rPr>
        <w:t xml:space="preserve"> </w:t>
      </w:r>
      <w:r>
        <w:rPr>
          <w:sz w:val="20"/>
        </w:rPr>
        <w:t>nebo</w:t>
      </w:r>
      <w:r>
        <w:rPr>
          <w:spacing w:val="-10"/>
          <w:sz w:val="20"/>
        </w:rPr>
        <w:t xml:space="preserve"> </w:t>
      </w:r>
      <w:r>
        <w:rPr>
          <w:sz w:val="20"/>
        </w:rPr>
        <w:t>datovou</w:t>
      </w:r>
      <w:r>
        <w:rPr>
          <w:spacing w:val="-10"/>
          <w:sz w:val="20"/>
        </w:rPr>
        <w:t xml:space="preserve"> </w:t>
      </w:r>
      <w:r>
        <w:rPr>
          <w:sz w:val="20"/>
        </w:rPr>
        <w:t>schránkou.</w:t>
      </w: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ind w:right="110"/>
        <w:jc w:val="both"/>
        <w:rPr>
          <w:sz w:val="20"/>
        </w:rPr>
      </w:pPr>
      <w:r>
        <w:rPr>
          <w:sz w:val="20"/>
        </w:rPr>
        <w:t>Příjemce podpory souhlasí se zveřejněním celého textu této</w:t>
      </w:r>
      <w:r>
        <w:rPr>
          <w:sz w:val="20"/>
        </w:rPr>
        <w:t xml:space="preserve"> Smlouvy v registru  smluv podle zákona    č. 340/2015  Sb.,  o  zvláštních  podmínkách  účinnosti  některých  smluv,  uveřejňování  těchto  smluv  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41"/>
          <w:sz w:val="20"/>
        </w:rPr>
        <w:t xml:space="preserve"> </w:t>
      </w:r>
      <w:r>
        <w:rPr>
          <w:sz w:val="20"/>
        </w:rPr>
        <w:t>registru</w:t>
      </w:r>
      <w:r>
        <w:rPr>
          <w:spacing w:val="-12"/>
          <w:sz w:val="20"/>
        </w:rPr>
        <w:t xml:space="preserve"> </w:t>
      </w:r>
      <w:r>
        <w:rPr>
          <w:sz w:val="20"/>
        </w:rPr>
        <w:t>smluv</w:t>
      </w:r>
      <w:r>
        <w:rPr>
          <w:spacing w:val="-12"/>
          <w:sz w:val="20"/>
        </w:rPr>
        <w:t xml:space="preserve"> </w:t>
      </w:r>
      <w:r>
        <w:rPr>
          <w:sz w:val="20"/>
        </w:rPr>
        <w:t>(zákon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registru</w:t>
      </w:r>
      <w:r>
        <w:rPr>
          <w:spacing w:val="-12"/>
          <w:sz w:val="20"/>
        </w:rPr>
        <w:t xml:space="preserve"> </w:t>
      </w:r>
      <w:r>
        <w:rPr>
          <w:sz w:val="20"/>
        </w:rPr>
        <w:t>smluv),</w:t>
      </w:r>
      <w:r>
        <w:rPr>
          <w:spacing w:val="-13"/>
          <w:sz w:val="20"/>
        </w:rPr>
        <w:t xml:space="preserve"> </w:t>
      </w:r>
      <w:r>
        <w:rPr>
          <w:sz w:val="20"/>
        </w:rPr>
        <w:t>ve</w:t>
      </w:r>
      <w:r>
        <w:rPr>
          <w:spacing w:val="-13"/>
          <w:sz w:val="20"/>
        </w:rPr>
        <w:t xml:space="preserve"> </w:t>
      </w:r>
      <w:r>
        <w:rPr>
          <w:sz w:val="20"/>
        </w:rPr>
        <w:t>znění</w:t>
      </w:r>
      <w:r>
        <w:rPr>
          <w:spacing w:val="-13"/>
          <w:sz w:val="20"/>
        </w:rPr>
        <w:t xml:space="preserve"> </w:t>
      </w:r>
      <w:r>
        <w:rPr>
          <w:sz w:val="20"/>
        </w:rPr>
        <w:t>pozdějších</w:t>
      </w:r>
      <w:r>
        <w:rPr>
          <w:spacing w:val="-12"/>
          <w:sz w:val="20"/>
        </w:rPr>
        <w:t xml:space="preserve"> </w:t>
      </w:r>
      <w:r>
        <w:rPr>
          <w:sz w:val="20"/>
        </w:rPr>
        <w:t>předpisů,</w:t>
      </w:r>
      <w:r>
        <w:rPr>
          <w:spacing w:val="-13"/>
          <w:sz w:val="20"/>
        </w:rPr>
        <w:t xml:space="preserve"> </w:t>
      </w:r>
      <w:r>
        <w:rPr>
          <w:sz w:val="20"/>
        </w:rPr>
        <w:t>pokud</w:t>
      </w:r>
      <w:r>
        <w:rPr>
          <w:spacing w:val="-12"/>
          <w:sz w:val="20"/>
        </w:rPr>
        <w:t xml:space="preserve"> </w:t>
      </w:r>
      <w:r>
        <w:rPr>
          <w:sz w:val="20"/>
        </w:rPr>
        <w:t>zveřejnění</w:t>
      </w:r>
      <w:r>
        <w:rPr>
          <w:spacing w:val="-13"/>
          <w:sz w:val="20"/>
        </w:rPr>
        <w:t xml:space="preserve"> </w:t>
      </w:r>
      <w:r>
        <w:rPr>
          <w:sz w:val="20"/>
        </w:rPr>
        <w:t>této</w:t>
      </w:r>
      <w:r>
        <w:rPr>
          <w:spacing w:val="-12"/>
          <w:sz w:val="20"/>
        </w:rPr>
        <w:t xml:space="preserve"> </w:t>
      </w:r>
      <w:r>
        <w:rPr>
          <w:sz w:val="20"/>
        </w:rPr>
        <w:t>Smlouvy tento zákon</w:t>
      </w:r>
      <w:r>
        <w:rPr>
          <w:spacing w:val="-1"/>
          <w:sz w:val="20"/>
        </w:rPr>
        <w:t xml:space="preserve"> </w:t>
      </w:r>
      <w:r>
        <w:rPr>
          <w:sz w:val="20"/>
        </w:rPr>
        <w:t>ukládá.</w:t>
      </w:r>
    </w:p>
    <w:p w:rsidR="00DF1C16" w:rsidRDefault="00DF1C16">
      <w:pPr>
        <w:jc w:val="both"/>
        <w:rPr>
          <w:sz w:val="20"/>
        </w:rPr>
        <w:sectPr w:rsidR="00DF1C16">
          <w:pgSz w:w="12240" w:h="15840"/>
          <w:pgMar w:top="1060" w:right="1020" w:bottom="1660" w:left="1460" w:header="0" w:footer="1380" w:gutter="0"/>
          <w:cols w:space="708"/>
        </w:sectPr>
      </w:pPr>
    </w:p>
    <w:p w:rsidR="00DF1C16" w:rsidRDefault="00AE26AB">
      <w:pPr>
        <w:pStyle w:val="Odstavecseseznamem"/>
        <w:numPr>
          <w:ilvl w:val="0"/>
          <w:numId w:val="2"/>
        </w:numPr>
        <w:tabs>
          <w:tab w:val="left" w:pos="526"/>
        </w:tabs>
        <w:spacing w:before="73"/>
        <w:ind w:right="115"/>
        <w:jc w:val="both"/>
        <w:rPr>
          <w:sz w:val="20"/>
        </w:rPr>
      </w:pPr>
      <w:r>
        <w:rPr>
          <w:sz w:val="20"/>
        </w:rPr>
        <w:lastRenderedPageBreak/>
        <w:t xml:space="preserve">Tato Smlouva je vyhotovena v jednom elektronickém vyhotovení, podepsaném zaručenými elektronickými podpisy zástupců smluvních stran, popřípadě je vyhotovena ve dvou listinných exemplářích a podepsána vlastnoručně; </w:t>
      </w:r>
      <w:r>
        <w:rPr>
          <w:sz w:val="20"/>
        </w:rPr>
        <w:t>každý exemplář má platnost originálu. Každá smluvní strana obdrží jeden exemplář.</w:t>
      </w:r>
    </w:p>
    <w:p w:rsidR="00DF1C16" w:rsidRDefault="00DF1C16">
      <w:pPr>
        <w:pStyle w:val="Zkladntext"/>
        <w:spacing w:before="3"/>
        <w:ind w:left="0"/>
        <w:jc w:val="left"/>
        <w:rPr>
          <w:sz w:val="36"/>
        </w:rPr>
      </w:pPr>
    </w:p>
    <w:p w:rsidR="00DF1C16" w:rsidRDefault="00AE26AB">
      <w:pPr>
        <w:pStyle w:val="Zkladntext"/>
        <w:tabs>
          <w:tab w:val="left" w:pos="6691"/>
        </w:tabs>
        <w:ind w:left="242"/>
        <w:jc w:val="left"/>
      </w:pPr>
      <w:r>
        <w:t>V:</w:t>
      </w:r>
      <w:r>
        <w:tab/>
        <w:t>V Praze</w:t>
      </w:r>
      <w:r>
        <w:rPr>
          <w:spacing w:val="21"/>
        </w:rPr>
        <w:t xml:space="preserve"> </w:t>
      </w:r>
      <w:r>
        <w:t>dne:</w:t>
      </w:r>
    </w:p>
    <w:p w:rsidR="00DF1C16" w:rsidRDefault="00DF1C16">
      <w:pPr>
        <w:pStyle w:val="Zkladntext"/>
        <w:spacing w:before="1"/>
        <w:ind w:left="0"/>
        <w:jc w:val="left"/>
        <w:rPr>
          <w:sz w:val="18"/>
        </w:rPr>
      </w:pPr>
    </w:p>
    <w:p w:rsidR="00DF1C16" w:rsidRDefault="00AE26AB">
      <w:pPr>
        <w:pStyle w:val="Zkladntext"/>
        <w:ind w:left="242"/>
        <w:jc w:val="left"/>
      </w:pPr>
      <w:r>
        <w:t>dne:</w:t>
      </w:r>
    </w:p>
    <w:p w:rsidR="00DF1C16" w:rsidRDefault="00DF1C16">
      <w:pPr>
        <w:pStyle w:val="Zkladntext"/>
        <w:ind w:left="0"/>
        <w:jc w:val="left"/>
        <w:rPr>
          <w:sz w:val="26"/>
        </w:rPr>
      </w:pPr>
    </w:p>
    <w:p w:rsidR="00DF1C16" w:rsidRDefault="00DF1C16">
      <w:pPr>
        <w:pStyle w:val="Zkladntext"/>
        <w:ind w:left="0"/>
        <w:jc w:val="left"/>
        <w:rPr>
          <w:sz w:val="26"/>
        </w:rPr>
      </w:pPr>
    </w:p>
    <w:p w:rsidR="00DF1C16" w:rsidRDefault="00DF1C16">
      <w:pPr>
        <w:pStyle w:val="Zkladntext"/>
        <w:ind w:left="0"/>
        <w:jc w:val="left"/>
        <w:rPr>
          <w:sz w:val="29"/>
        </w:rPr>
      </w:pPr>
    </w:p>
    <w:p w:rsidR="00DF1C16" w:rsidRDefault="00AE26AB">
      <w:pPr>
        <w:pStyle w:val="Zkladntext"/>
        <w:tabs>
          <w:tab w:val="left" w:pos="6722"/>
        </w:tabs>
        <w:ind w:left="242"/>
        <w:jc w:val="left"/>
      </w:pPr>
      <w:r>
        <w:t>…………………………………………….</w:t>
      </w:r>
      <w:r>
        <w:tab/>
        <w:t>……………………………………</w:t>
      </w:r>
    </w:p>
    <w:p w:rsidR="00DF1C16" w:rsidRDefault="00AE26AB">
      <w:pPr>
        <w:pStyle w:val="Zkladntext"/>
        <w:tabs>
          <w:tab w:val="left" w:pos="6722"/>
        </w:tabs>
        <w:spacing w:before="1"/>
        <w:ind w:left="242"/>
        <w:jc w:val="left"/>
      </w:pPr>
      <w:r>
        <w:t>zástupce</w:t>
      </w:r>
      <w:r>
        <w:rPr>
          <w:spacing w:val="-3"/>
        </w:rPr>
        <w:t xml:space="preserve"> </w:t>
      </w:r>
      <w:r>
        <w:t>příjemce</w:t>
      </w:r>
      <w:r>
        <w:rPr>
          <w:spacing w:val="-3"/>
        </w:rPr>
        <w:t xml:space="preserve"> </w:t>
      </w:r>
      <w:r>
        <w:t>podpory</w:t>
      </w:r>
      <w:r>
        <w:tab/>
        <w:t>zástupce</w:t>
      </w:r>
      <w:r>
        <w:rPr>
          <w:spacing w:val="-1"/>
        </w:rPr>
        <w:t xml:space="preserve"> </w:t>
      </w:r>
      <w:r>
        <w:t>Fondu</w:t>
      </w:r>
    </w:p>
    <w:p w:rsidR="00DF1C16" w:rsidRDefault="00DF1C16">
      <w:pPr>
        <w:pStyle w:val="Zkladntext"/>
        <w:spacing w:before="1"/>
        <w:ind w:left="0"/>
        <w:jc w:val="left"/>
        <w:rPr>
          <w:sz w:val="27"/>
        </w:rPr>
      </w:pPr>
    </w:p>
    <w:p w:rsidR="00DF1C16" w:rsidRDefault="00AE26AB">
      <w:pPr>
        <w:pStyle w:val="Zkladntext"/>
        <w:spacing w:before="1" w:line="264" w:lineRule="auto"/>
        <w:ind w:left="242"/>
        <w:jc w:val="left"/>
      </w:pPr>
      <w:r>
        <w:t>Příloha č. 1 - Stanovení finančních oprav, které se použijí v případě porušení povinností při zadávání zakázek/veřejných zakázek</w:t>
      </w:r>
    </w:p>
    <w:p w:rsidR="00DF1C16" w:rsidRDefault="00DF1C16">
      <w:pPr>
        <w:spacing w:line="264" w:lineRule="auto"/>
        <w:sectPr w:rsidR="00DF1C16">
          <w:pgSz w:w="12240" w:h="15840"/>
          <w:pgMar w:top="1060" w:right="1020" w:bottom="1660" w:left="1460" w:header="0" w:footer="1380" w:gutter="0"/>
          <w:cols w:space="708"/>
        </w:sectPr>
      </w:pPr>
    </w:p>
    <w:p w:rsidR="00DF1C16" w:rsidRDefault="00AE26AB">
      <w:pPr>
        <w:pStyle w:val="Zkladntext"/>
        <w:spacing w:before="85"/>
        <w:ind w:left="242"/>
        <w:jc w:val="left"/>
      </w:pPr>
      <w:r>
        <w:lastRenderedPageBreak/>
        <w:t>Příloha č. 1 - Smlouva o poskytnutí podpory ze Státního fondu životního prostředí České republiky</w:t>
      </w:r>
    </w:p>
    <w:p w:rsidR="00DF1C16" w:rsidRDefault="00DF1C16">
      <w:pPr>
        <w:pStyle w:val="Zkladntext"/>
        <w:ind w:left="0"/>
        <w:jc w:val="left"/>
        <w:rPr>
          <w:sz w:val="26"/>
        </w:rPr>
      </w:pPr>
    </w:p>
    <w:p w:rsidR="00DF1C16" w:rsidRDefault="00DF1C16">
      <w:pPr>
        <w:pStyle w:val="Zkladntext"/>
        <w:spacing w:before="2"/>
        <w:ind w:left="0"/>
        <w:jc w:val="left"/>
        <w:rPr>
          <w:sz w:val="32"/>
        </w:rPr>
      </w:pPr>
    </w:p>
    <w:p w:rsidR="00DF1C16" w:rsidRDefault="00AE26AB">
      <w:pPr>
        <w:pStyle w:val="Nadpis1"/>
        <w:spacing w:before="1" w:line="264" w:lineRule="auto"/>
        <w:ind w:right="0"/>
        <w:jc w:val="left"/>
      </w:pPr>
      <w:r>
        <w:t>Stanovení fin</w:t>
      </w:r>
      <w:r>
        <w:t>ančních oprav, které se použijí v případě porušení povinností při zadávání zakázek/ veřejných zakázek</w:t>
      </w:r>
    </w:p>
    <w:p w:rsidR="00DF1C16" w:rsidRDefault="00DF1C16">
      <w:pPr>
        <w:pStyle w:val="Zkladntext"/>
        <w:spacing w:before="1"/>
        <w:ind w:left="0"/>
        <w:jc w:val="left"/>
        <w:rPr>
          <w:b/>
          <w:sz w:val="27"/>
        </w:rPr>
      </w:pP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before="0" w:line="264" w:lineRule="auto"/>
        <w:ind w:right="110"/>
        <w:jc w:val="both"/>
        <w:rPr>
          <w:sz w:val="20"/>
        </w:rPr>
      </w:pPr>
      <w:r>
        <w:rPr>
          <w:sz w:val="20"/>
        </w:rPr>
        <w:t>Podle</w:t>
      </w:r>
      <w:r>
        <w:rPr>
          <w:spacing w:val="-16"/>
          <w:sz w:val="20"/>
        </w:rPr>
        <w:t xml:space="preserve"> </w:t>
      </w:r>
      <w:r>
        <w:rPr>
          <w:sz w:val="20"/>
        </w:rPr>
        <w:t>této</w:t>
      </w:r>
      <w:r>
        <w:rPr>
          <w:spacing w:val="-16"/>
          <w:sz w:val="20"/>
        </w:rPr>
        <w:t xml:space="preserve"> </w:t>
      </w:r>
      <w:r>
        <w:rPr>
          <w:sz w:val="20"/>
        </w:rPr>
        <w:t>přílohy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8"/>
          <w:sz w:val="20"/>
        </w:rPr>
        <w:t xml:space="preserve"> </w:t>
      </w:r>
      <w:r>
        <w:rPr>
          <w:sz w:val="20"/>
        </w:rPr>
        <w:t>v</w:t>
      </w:r>
      <w:r>
        <w:rPr>
          <w:spacing w:val="-16"/>
          <w:sz w:val="20"/>
        </w:rPr>
        <w:t xml:space="preserve"> </w:t>
      </w:r>
      <w:r>
        <w:rPr>
          <w:sz w:val="20"/>
        </w:rPr>
        <w:t>souladu</w:t>
      </w:r>
      <w:r>
        <w:rPr>
          <w:spacing w:val="-16"/>
          <w:sz w:val="20"/>
        </w:rPr>
        <w:t xml:space="preserve"> </w:t>
      </w:r>
      <w:r>
        <w:rPr>
          <w:sz w:val="20"/>
        </w:rPr>
        <w:t>se</w:t>
      </w:r>
      <w:r>
        <w:rPr>
          <w:spacing w:val="-16"/>
          <w:sz w:val="20"/>
        </w:rPr>
        <w:t xml:space="preserve"> </w:t>
      </w:r>
      <w:r>
        <w:rPr>
          <w:sz w:val="20"/>
        </w:rPr>
        <w:t>zákonem</w:t>
      </w:r>
      <w:r>
        <w:rPr>
          <w:spacing w:val="-18"/>
          <w:sz w:val="20"/>
        </w:rPr>
        <w:t xml:space="preserve"> </w:t>
      </w:r>
      <w:r>
        <w:rPr>
          <w:sz w:val="20"/>
        </w:rPr>
        <w:t>č.</w:t>
      </w:r>
      <w:r>
        <w:rPr>
          <w:spacing w:val="-15"/>
          <w:sz w:val="20"/>
        </w:rPr>
        <w:t xml:space="preserve"> </w:t>
      </w:r>
      <w:r>
        <w:rPr>
          <w:sz w:val="20"/>
        </w:rPr>
        <w:t>218/2000</w:t>
      </w:r>
      <w:r>
        <w:rPr>
          <w:spacing w:val="-14"/>
          <w:sz w:val="20"/>
        </w:rPr>
        <w:t xml:space="preserve"> </w:t>
      </w:r>
      <w:r>
        <w:rPr>
          <w:sz w:val="20"/>
        </w:rPr>
        <w:t>Sb.,</w:t>
      </w:r>
      <w:r>
        <w:rPr>
          <w:spacing w:val="-16"/>
          <w:sz w:val="20"/>
        </w:rPr>
        <w:t xml:space="preserve"> </w:t>
      </w:r>
      <w:r>
        <w:rPr>
          <w:sz w:val="20"/>
        </w:rPr>
        <w:t>o</w:t>
      </w:r>
      <w:r>
        <w:rPr>
          <w:spacing w:val="-17"/>
          <w:sz w:val="20"/>
        </w:rPr>
        <w:t xml:space="preserve"> </w:t>
      </w:r>
      <w:r>
        <w:rPr>
          <w:sz w:val="20"/>
        </w:rPr>
        <w:t>rozpočtových</w:t>
      </w:r>
      <w:r>
        <w:rPr>
          <w:spacing w:val="-7"/>
          <w:sz w:val="20"/>
        </w:rPr>
        <w:t xml:space="preserve"> </w:t>
      </w:r>
      <w:r>
        <w:rPr>
          <w:sz w:val="20"/>
        </w:rPr>
        <w:t>pravidel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změně</w:t>
      </w:r>
      <w:r>
        <w:rPr>
          <w:spacing w:val="-17"/>
          <w:sz w:val="20"/>
        </w:rPr>
        <w:t xml:space="preserve"> </w:t>
      </w:r>
      <w:r>
        <w:rPr>
          <w:sz w:val="20"/>
        </w:rPr>
        <w:t>některých souvisejících zákonů, ve znění pozdějších předpisů, stanovuje výše finanční opravy za porušení rozpočtové kázně v případě pochybení, které spočívá v porušení povinností stanovených v článku IV bodu 2) písm. j) Smlouvy při zadávání zakázek/veřejný</w:t>
      </w:r>
      <w:r>
        <w:rPr>
          <w:sz w:val="20"/>
        </w:rPr>
        <w:t xml:space="preserve">ch zakázek (dále souhrnně jen „veřejné zakázky“), zejména v nedodržení postupu podle zákona č. 134/2016 Sb., o zadávání veřejných zakázek, ve znění účinném v době zahájení zadávacího řízení, případně zákona č. 137/2006 Sb., o veřejných zakázkách, ve znění </w:t>
      </w:r>
      <w:r>
        <w:rPr>
          <w:sz w:val="20"/>
        </w:rPr>
        <w:t>účinném v době zahájení zadávacího řízení (dále souhrnně jen „zákon“) a/nebo nedodržení postupu</w:t>
      </w:r>
      <w:r>
        <w:rPr>
          <w:spacing w:val="-12"/>
          <w:sz w:val="20"/>
        </w:rPr>
        <w:t xml:space="preserve"> </w:t>
      </w:r>
      <w:r>
        <w:rPr>
          <w:sz w:val="20"/>
        </w:rPr>
        <w:t>stanoveného</w:t>
      </w:r>
      <w:r>
        <w:rPr>
          <w:spacing w:val="-12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Pokynech</w:t>
      </w:r>
      <w:r>
        <w:rPr>
          <w:spacing w:val="-12"/>
          <w:sz w:val="20"/>
        </w:rPr>
        <w:t xml:space="preserve"> </w:t>
      </w:r>
      <w:r>
        <w:rPr>
          <w:sz w:val="20"/>
        </w:rPr>
        <w:t>pro</w:t>
      </w:r>
      <w:r>
        <w:rPr>
          <w:spacing w:val="-12"/>
          <w:sz w:val="20"/>
        </w:rPr>
        <w:t xml:space="preserve"> </w:t>
      </w:r>
      <w:r>
        <w:rPr>
          <w:sz w:val="20"/>
        </w:rPr>
        <w:t>zadávání</w:t>
      </w:r>
      <w:r>
        <w:rPr>
          <w:spacing w:val="-12"/>
          <w:sz w:val="20"/>
        </w:rPr>
        <w:t xml:space="preserve"> </w:t>
      </w:r>
      <w:r>
        <w:rPr>
          <w:sz w:val="20"/>
        </w:rPr>
        <w:t>veřejných</w:t>
      </w:r>
      <w:r>
        <w:rPr>
          <w:spacing w:val="-13"/>
          <w:sz w:val="20"/>
        </w:rPr>
        <w:t xml:space="preserve"> </w:t>
      </w:r>
      <w:r>
        <w:rPr>
          <w:sz w:val="20"/>
        </w:rPr>
        <w:t>zakázek</w:t>
      </w:r>
      <w:r>
        <w:rPr>
          <w:spacing w:val="-13"/>
          <w:sz w:val="20"/>
        </w:rPr>
        <w:t xml:space="preserve"> </w:t>
      </w:r>
      <w:r>
        <w:rPr>
          <w:sz w:val="20"/>
        </w:rPr>
        <w:t>v OPŽP</w:t>
      </w:r>
      <w:r>
        <w:rPr>
          <w:spacing w:val="-14"/>
          <w:sz w:val="20"/>
        </w:rPr>
        <w:t xml:space="preserve"> </w:t>
      </w:r>
      <w:r>
        <w:rPr>
          <w:sz w:val="20"/>
        </w:rPr>
        <w:t>2014</w:t>
      </w:r>
      <w:r>
        <w:rPr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spacing w:val="-11"/>
          <w:sz w:val="20"/>
        </w:rPr>
        <w:t xml:space="preserve"> </w:t>
      </w:r>
      <w:r>
        <w:rPr>
          <w:sz w:val="20"/>
        </w:rPr>
        <w:t>2020,</w:t>
      </w:r>
      <w:r>
        <w:rPr>
          <w:spacing w:val="-12"/>
          <w:sz w:val="20"/>
        </w:rPr>
        <w:t xml:space="preserve"> </w:t>
      </w:r>
      <w:r>
        <w:rPr>
          <w:sz w:val="20"/>
        </w:rPr>
        <w:t>ve</w:t>
      </w:r>
      <w:r>
        <w:rPr>
          <w:spacing w:val="-13"/>
          <w:sz w:val="20"/>
        </w:rPr>
        <w:t xml:space="preserve"> </w:t>
      </w:r>
      <w:r>
        <w:rPr>
          <w:sz w:val="20"/>
        </w:rPr>
        <w:t>znění</w:t>
      </w:r>
      <w:r>
        <w:rPr>
          <w:spacing w:val="-12"/>
          <w:sz w:val="20"/>
        </w:rPr>
        <w:t xml:space="preserve"> </w:t>
      </w:r>
      <w:r>
        <w:rPr>
          <w:sz w:val="20"/>
        </w:rPr>
        <w:t>účinném v době zahájení výběrového/zadávacího řízení (dále jen „Pokyny OPŽP“)</w:t>
      </w:r>
      <w:r>
        <w:rPr>
          <w:sz w:val="20"/>
        </w:rPr>
        <w:t>, případně v dokumentu Zadávání veřejných zakázek v OPŽP 2014 – 2020, ve znění účinném v době zahájení výběrového/zadávacího řízení (dále jen „Zadávání VZ v</w:t>
      </w:r>
      <w:r>
        <w:rPr>
          <w:spacing w:val="-1"/>
          <w:sz w:val="20"/>
        </w:rPr>
        <w:t xml:space="preserve"> </w:t>
      </w:r>
      <w:r>
        <w:rPr>
          <w:sz w:val="20"/>
        </w:rPr>
        <w:t>OPŽP“).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before="120" w:line="264" w:lineRule="auto"/>
        <w:ind w:right="111"/>
        <w:jc w:val="both"/>
        <w:rPr>
          <w:sz w:val="20"/>
        </w:rPr>
      </w:pPr>
      <w:r>
        <w:rPr>
          <w:sz w:val="20"/>
        </w:rPr>
        <w:t>V případě, že identifikované porušení nemohlo mít ani potenciální finanční dopad, nestanoví</w:t>
      </w:r>
      <w:r>
        <w:rPr>
          <w:sz w:val="20"/>
        </w:rPr>
        <w:t xml:space="preserve"> se za něj žádná finanční</w:t>
      </w:r>
      <w:r>
        <w:rPr>
          <w:spacing w:val="-3"/>
          <w:sz w:val="20"/>
        </w:rPr>
        <w:t xml:space="preserve"> </w:t>
      </w:r>
      <w:r>
        <w:rPr>
          <w:sz w:val="20"/>
        </w:rPr>
        <w:t>oprava.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before="120" w:line="264" w:lineRule="auto"/>
        <w:ind w:right="115"/>
        <w:jc w:val="both"/>
        <w:rPr>
          <w:sz w:val="20"/>
        </w:rPr>
      </w:pPr>
      <w:r>
        <w:rPr>
          <w:sz w:val="20"/>
        </w:rPr>
        <w:t>Pokud je možné přesně vyčíslit finanční dopad identifikovaného porušení, bude finanční oprava stanovena ve výši vyčísleného finančního dopadu. V případě, že není možné přesně vyčíslit finanční dopad</w:t>
      </w:r>
      <w:r>
        <w:rPr>
          <w:spacing w:val="-5"/>
          <w:sz w:val="20"/>
        </w:rPr>
        <w:t xml:space="preserve"> </w:t>
      </w:r>
      <w:r>
        <w:rPr>
          <w:sz w:val="20"/>
        </w:rPr>
        <w:t>identifikovaného</w:t>
      </w:r>
      <w:r>
        <w:rPr>
          <w:spacing w:val="-5"/>
          <w:sz w:val="20"/>
        </w:rPr>
        <w:t xml:space="preserve"> </w:t>
      </w:r>
      <w:r>
        <w:rPr>
          <w:sz w:val="20"/>
        </w:rPr>
        <w:t>poruše</w:t>
      </w:r>
      <w:r>
        <w:rPr>
          <w:sz w:val="20"/>
        </w:rPr>
        <w:t>ní,</w:t>
      </w:r>
      <w:r>
        <w:rPr>
          <w:spacing w:val="-5"/>
          <w:sz w:val="20"/>
        </w:rPr>
        <w:t xml:space="preserve"> </w:t>
      </w:r>
      <w:r>
        <w:rPr>
          <w:sz w:val="20"/>
        </w:rPr>
        <w:t>bude</w:t>
      </w:r>
      <w:r>
        <w:rPr>
          <w:spacing w:val="-6"/>
          <w:sz w:val="20"/>
        </w:rPr>
        <w:t xml:space="preserve"> </w:t>
      </w:r>
      <w:r>
        <w:rPr>
          <w:sz w:val="20"/>
        </w:rPr>
        <w:t>finanční</w:t>
      </w:r>
      <w:r>
        <w:rPr>
          <w:spacing w:val="-6"/>
          <w:sz w:val="20"/>
        </w:rPr>
        <w:t xml:space="preserve"> </w:t>
      </w:r>
      <w:r>
        <w:rPr>
          <w:sz w:val="20"/>
        </w:rPr>
        <w:t>oprava</w:t>
      </w:r>
      <w:r>
        <w:rPr>
          <w:spacing w:val="-4"/>
          <w:sz w:val="20"/>
        </w:rPr>
        <w:t xml:space="preserve"> </w:t>
      </w:r>
      <w:r>
        <w:rPr>
          <w:sz w:val="20"/>
        </w:rPr>
        <w:t>stanovena</w:t>
      </w:r>
      <w:r>
        <w:rPr>
          <w:spacing w:val="-6"/>
          <w:sz w:val="20"/>
        </w:rPr>
        <w:t xml:space="preserve"> </w:t>
      </w:r>
      <w:r>
        <w:rPr>
          <w:sz w:val="20"/>
        </w:rPr>
        <w:t>podle</w:t>
      </w:r>
      <w:r>
        <w:rPr>
          <w:spacing w:val="-6"/>
          <w:sz w:val="20"/>
        </w:rPr>
        <w:t xml:space="preserve"> </w:t>
      </w:r>
      <w:r>
        <w:rPr>
          <w:sz w:val="20"/>
        </w:rPr>
        <w:t>typu</w:t>
      </w:r>
      <w:r>
        <w:rPr>
          <w:spacing w:val="-5"/>
          <w:sz w:val="20"/>
        </w:rPr>
        <w:t xml:space="preserve"> </w:t>
      </w:r>
      <w:r>
        <w:rPr>
          <w:sz w:val="20"/>
        </w:rPr>
        <w:t>porušení,</w:t>
      </w:r>
      <w:r>
        <w:rPr>
          <w:spacing w:val="-6"/>
          <w:sz w:val="20"/>
        </w:rPr>
        <w:t xml:space="preserve"> </w:t>
      </w:r>
      <w:r>
        <w:rPr>
          <w:sz w:val="20"/>
        </w:rPr>
        <w:t>viz</w:t>
      </w:r>
      <w:r>
        <w:rPr>
          <w:spacing w:val="-4"/>
          <w:sz w:val="20"/>
        </w:rPr>
        <w:t xml:space="preserve"> </w:t>
      </w:r>
      <w:r>
        <w:rPr>
          <w:sz w:val="20"/>
        </w:rPr>
        <w:t>tabulka</w:t>
      </w:r>
      <w:r>
        <w:rPr>
          <w:spacing w:val="-6"/>
          <w:sz w:val="20"/>
        </w:rPr>
        <w:t xml:space="preserve"> </w:t>
      </w:r>
      <w:r>
        <w:rPr>
          <w:sz w:val="20"/>
        </w:rPr>
        <w:t>níže.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line="264" w:lineRule="auto"/>
        <w:ind w:right="111"/>
        <w:jc w:val="both"/>
        <w:rPr>
          <w:sz w:val="20"/>
        </w:rPr>
      </w:pPr>
      <w:r>
        <w:rPr>
          <w:sz w:val="20"/>
        </w:rPr>
        <w:t>Výše finanční opravy se vypočte z částky, která byla nebo má být z prostředků Fondu v rámci podpory poskytnuta v souvislosti s veřejnou zakázkou, u které se porušení</w:t>
      </w:r>
      <w:r>
        <w:rPr>
          <w:spacing w:val="-6"/>
          <w:sz w:val="20"/>
        </w:rPr>
        <w:t xml:space="preserve"> </w:t>
      </w:r>
      <w:r>
        <w:rPr>
          <w:sz w:val="20"/>
        </w:rPr>
        <w:t>vyskytlo.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line="264" w:lineRule="auto"/>
        <w:ind w:right="113"/>
        <w:jc w:val="both"/>
        <w:rPr>
          <w:sz w:val="20"/>
        </w:rPr>
      </w:pPr>
      <w:r>
        <w:rPr>
          <w:sz w:val="20"/>
        </w:rPr>
        <w:t>V</w:t>
      </w:r>
      <w:r>
        <w:rPr>
          <w:spacing w:val="-7"/>
          <w:sz w:val="20"/>
        </w:rPr>
        <w:t xml:space="preserve"> </w:t>
      </w:r>
      <w:r>
        <w:rPr>
          <w:sz w:val="20"/>
        </w:rPr>
        <w:t>případě,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u</w:t>
      </w:r>
      <w:r>
        <w:rPr>
          <w:spacing w:val="-7"/>
          <w:sz w:val="20"/>
        </w:rPr>
        <w:t xml:space="preserve"> </w:t>
      </w:r>
      <w:r>
        <w:rPr>
          <w:sz w:val="20"/>
        </w:rPr>
        <w:t>veřejné</w:t>
      </w:r>
      <w:r>
        <w:rPr>
          <w:spacing w:val="-8"/>
          <w:sz w:val="20"/>
        </w:rPr>
        <w:t xml:space="preserve"> </w:t>
      </w:r>
      <w:r>
        <w:rPr>
          <w:sz w:val="20"/>
        </w:rPr>
        <w:t>zakázky</w:t>
      </w:r>
      <w:r>
        <w:rPr>
          <w:spacing w:val="-7"/>
          <w:sz w:val="20"/>
        </w:rPr>
        <w:t xml:space="preserve"> </w:t>
      </w:r>
      <w:r>
        <w:rPr>
          <w:sz w:val="20"/>
        </w:rPr>
        <w:t>bude</w:t>
      </w:r>
      <w:r>
        <w:rPr>
          <w:spacing w:val="-6"/>
          <w:sz w:val="20"/>
        </w:rPr>
        <w:t xml:space="preserve"> </w:t>
      </w:r>
      <w:r>
        <w:rPr>
          <w:sz w:val="20"/>
        </w:rPr>
        <w:t>identifikováno</w:t>
      </w:r>
      <w:r>
        <w:rPr>
          <w:spacing w:val="-6"/>
          <w:sz w:val="20"/>
        </w:rPr>
        <w:t xml:space="preserve"> </w:t>
      </w:r>
      <w:r>
        <w:rPr>
          <w:sz w:val="20"/>
        </w:rPr>
        <w:t>více</w:t>
      </w:r>
      <w:r>
        <w:rPr>
          <w:spacing w:val="-8"/>
          <w:sz w:val="20"/>
        </w:rPr>
        <w:t xml:space="preserve"> </w:t>
      </w:r>
      <w:r>
        <w:rPr>
          <w:sz w:val="20"/>
        </w:rPr>
        <w:t>porušení,</w:t>
      </w:r>
      <w:r>
        <w:rPr>
          <w:spacing w:val="-7"/>
          <w:sz w:val="20"/>
        </w:rPr>
        <w:t xml:space="preserve"> </w:t>
      </w:r>
      <w:r>
        <w:rPr>
          <w:sz w:val="20"/>
        </w:rPr>
        <w:t>výše</w:t>
      </w:r>
      <w:r>
        <w:rPr>
          <w:spacing w:val="-6"/>
          <w:sz w:val="20"/>
        </w:rPr>
        <w:t xml:space="preserve"> </w:t>
      </w:r>
      <w:r>
        <w:rPr>
          <w:sz w:val="20"/>
        </w:rPr>
        <w:t>finančních</w:t>
      </w:r>
      <w:r>
        <w:rPr>
          <w:spacing w:val="-5"/>
          <w:sz w:val="20"/>
        </w:rPr>
        <w:t xml:space="preserve"> </w:t>
      </w:r>
      <w:r>
        <w:rPr>
          <w:sz w:val="20"/>
        </w:rPr>
        <w:t>oprav</w:t>
      </w:r>
      <w:r>
        <w:rPr>
          <w:spacing w:val="-7"/>
          <w:sz w:val="20"/>
        </w:rPr>
        <w:t xml:space="preserve"> </w:t>
      </w:r>
      <w:r>
        <w:rPr>
          <w:sz w:val="20"/>
        </w:rPr>
        <w:t>stanovených</w:t>
      </w:r>
      <w:r>
        <w:rPr>
          <w:spacing w:val="-7"/>
          <w:sz w:val="20"/>
        </w:rPr>
        <w:t xml:space="preserve"> </w:t>
      </w:r>
      <w:r>
        <w:rPr>
          <w:sz w:val="20"/>
        </w:rPr>
        <w:t>za jednotlivá porušení se nesčítají a výsledná finanční oprava je stanovena s ohledem na nejzávažnější porušení.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before="118" w:line="264" w:lineRule="auto"/>
        <w:ind w:right="110"/>
        <w:jc w:val="both"/>
        <w:rPr>
          <w:sz w:val="20"/>
        </w:rPr>
      </w:pPr>
      <w:r>
        <w:rPr>
          <w:sz w:val="20"/>
        </w:rPr>
        <w:t>Závažnost</w:t>
      </w:r>
      <w:r>
        <w:rPr>
          <w:spacing w:val="-7"/>
          <w:sz w:val="20"/>
        </w:rPr>
        <w:t xml:space="preserve"> </w:t>
      </w:r>
      <w:r>
        <w:rPr>
          <w:sz w:val="20"/>
        </w:rPr>
        <w:t>porušení</w:t>
      </w:r>
      <w:r>
        <w:rPr>
          <w:spacing w:val="-6"/>
          <w:sz w:val="20"/>
        </w:rPr>
        <w:t xml:space="preserve"> </w:t>
      </w:r>
      <w:r>
        <w:rPr>
          <w:sz w:val="20"/>
        </w:rPr>
        <w:t>je</w:t>
      </w:r>
      <w:r>
        <w:rPr>
          <w:spacing w:val="-6"/>
          <w:sz w:val="20"/>
        </w:rPr>
        <w:t xml:space="preserve"> </w:t>
      </w:r>
      <w:r>
        <w:rPr>
          <w:sz w:val="20"/>
        </w:rPr>
        <w:t>posuzována</w:t>
      </w:r>
      <w:r>
        <w:rPr>
          <w:spacing w:val="-7"/>
          <w:sz w:val="20"/>
        </w:rPr>
        <w:t xml:space="preserve"> </w:t>
      </w:r>
      <w:r>
        <w:rPr>
          <w:sz w:val="20"/>
        </w:rPr>
        <w:t>zejména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z w:val="20"/>
        </w:rPr>
        <w:t>h</w:t>
      </w:r>
      <w:r>
        <w:rPr>
          <w:sz w:val="20"/>
        </w:rPr>
        <w:t>lediska</w:t>
      </w:r>
      <w:r>
        <w:rPr>
          <w:spacing w:val="-6"/>
          <w:sz w:val="20"/>
        </w:rPr>
        <w:t xml:space="preserve"> </w:t>
      </w:r>
      <w:r>
        <w:rPr>
          <w:sz w:val="20"/>
        </w:rPr>
        <w:t>jeho</w:t>
      </w:r>
      <w:r>
        <w:rPr>
          <w:spacing w:val="-5"/>
          <w:sz w:val="20"/>
        </w:rPr>
        <w:t xml:space="preserve"> </w:t>
      </w:r>
      <w:r>
        <w:rPr>
          <w:sz w:val="20"/>
        </w:rPr>
        <w:t>skutečného</w:t>
      </w:r>
      <w:r>
        <w:rPr>
          <w:spacing w:val="-5"/>
          <w:sz w:val="20"/>
        </w:rPr>
        <w:t xml:space="preserve"> </w:t>
      </w:r>
      <w:r>
        <w:rPr>
          <w:sz w:val="20"/>
        </w:rPr>
        <w:t>nebo</w:t>
      </w:r>
      <w:r>
        <w:rPr>
          <w:spacing w:val="-4"/>
          <w:sz w:val="20"/>
        </w:rPr>
        <w:t xml:space="preserve"> </w:t>
      </w:r>
      <w:r>
        <w:rPr>
          <w:sz w:val="20"/>
        </w:rPr>
        <w:t>možného</w:t>
      </w:r>
      <w:r>
        <w:rPr>
          <w:spacing w:val="-5"/>
          <w:sz w:val="20"/>
        </w:rPr>
        <w:t xml:space="preserve"> </w:t>
      </w:r>
      <w:r>
        <w:rPr>
          <w:sz w:val="20"/>
        </w:rPr>
        <w:t>vlivu</w:t>
      </w:r>
      <w:r>
        <w:rPr>
          <w:spacing w:val="-5"/>
          <w:sz w:val="20"/>
        </w:rPr>
        <w:t xml:space="preserve"> </w:t>
      </w:r>
      <w:r>
        <w:rPr>
          <w:sz w:val="20"/>
        </w:rPr>
        <w:t>na výsledek výběrového/zadávacího řízení, z hlediska míry porušení základních zásad zadávání veřejných zakázek    a z hlediska míry porušení principů hospodárnosti, efektivity a účelnosti při vynakládání veřejných</w:t>
      </w:r>
      <w:r>
        <w:rPr>
          <w:sz w:val="20"/>
        </w:rPr>
        <w:t xml:space="preserve"> prostředků. Porušení je nutno považovat za závažné především v případech, kdy v jeho důsledku došlo k odrazení potenciálních dodavatelů od účasti ve výběrovém/zadávacím řízení nebo k zadání veřejné zakázky jinému dodavateli, než kterému měla být zadána.</w:t>
      </w:r>
    </w:p>
    <w:p w:rsidR="00DF1C16" w:rsidRDefault="00AE26AB">
      <w:pPr>
        <w:pStyle w:val="Odstavecseseznamem"/>
        <w:numPr>
          <w:ilvl w:val="0"/>
          <w:numId w:val="1"/>
        </w:numPr>
        <w:tabs>
          <w:tab w:val="left" w:pos="526"/>
        </w:tabs>
        <w:spacing w:line="264" w:lineRule="auto"/>
        <w:ind w:right="119" w:hanging="425"/>
        <w:jc w:val="both"/>
        <w:rPr>
          <w:sz w:val="20"/>
        </w:rPr>
      </w:pPr>
      <w:r>
        <w:rPr>
          <w:sz w:val="20"/>
        </w:rPr>
        <w:t>V</w:t>
      </w:r>
      <w:r>
        <w:rPr>
          <w:sz w:val="20"/>
        </w:rPr>
        <w:t xml:space="preserve"> případě, že bude identifikováno porušení, které nelze podřadit pod konkrétní typ porušení uvedený  v tabulce níže, bude stanovena finanční oprava dle zásady</w:t>
      </w:r>
      <w:r>
        <w:rPr>
          <w:spacing w:val="-11"/>
          <w:sz w:val="20"/>
        </w:rPr>
        <w:t xml:space="preserve"> </w:t>
      </w:r>
      <w:r>
        <w:rPr>
          <w:sz w:val="20"/>
        </w:rPr>
        <w:t>přiměřenosti.</w:t>
      </w:r>
    </w:p>
    <w:p w:rsidR="00DF1C16" w:rsidRDefault="00DF1C16">
      <w:pPr>
        <w:spacing w:line="264" w:lineRule="auto"/>
        <w:jc w:val="both"/>
        <w:rPr>
          <w:sz w:val="20"/>
        </w:rPr>
        <w:sectPr w:rsidR="00DF1C16">
          <w:pgSz w:w="12240" w:h="15840"/>
          <w:pgMar w:top="1460" w:right="1020" w:bottom="1660" w:left="1460" w:header="0" w:footer="1380" w:gutter="0"/>
          <w:cols w:space="708"/>
        </w:sectPr>
      </w:pPr>
    </w:p>
    <w:tbl>
      <w:tblPr>
        <w:tblStyle w:val="TableNormal"/>
        <w:tblW w:w="0" w:type="auto"/>
        <w:tblInd w:w="2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211"/>
        <w:gridCol w:w="3485"/>
        <w:gridCol w:w="3188"/>
      </w:tblGrid>
      <w:tr w:rsidR="00DF1C16">
        <w:trPr>
          <w:trHeight w:val="519"/>
        </w:trPr>
        <w:tc>
          <w:tcPr>
            <w:tcW w:w="492" w:type="dxa"/>
            <w:tcBorders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55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Č.</w:t>
            </w: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Typ porušení</w:t>
            </w:r>
          </w:p>
        </w:tc>
        <w:tc>
          <w:tcPr>
            <w:tcW w:w="348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Popis porušení</w:t>
            </w:r>
          </w:p>
        </w:tc>
        <w:tc>
          <w:tcPr>
            <w:tcW w:w="3188" w:type="dxa"/>
            <w:tcBorders>
              <w:lef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Sazba finanční opravy</w:t>
            </w:r>
          </w:p>
        </w:tc>
      </w:tr>
      <w:tr w:rsidR="00DF1C16">
        <w:trPr>
          <w:trHeight w:val="520"/>
        </w:trPr>
        <w:tc>
          <w:tcPr>
            <w:tcW w:w="492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69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1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rPr>
                <w:sz w:val="20"/>
              </w:rPr>
            </w:pPr>
            <w:r>
              <w:rPr>
                <w:sz w:val="20"/>
              </w:rPr>
              <w:t>Nedodržení</w:t>
            </w:r>
          </w:p>
          <w:p w:rsidR="00DF1C16" w:rsidRDefault="00AE26AB">
            <w:pPr>
              <w:pStyle w:val="TableParagraph"/>
              <w:spacing w:before="26" w:line="264" w:lineRule="auto"/>
              <w:ind w:right="505"/>
              <w:rPr>
                <w:sz w:val="20"/>
              </w:rPr>
            </w:pPr>
            <w:r>
              <w:rPr>
                <w:sz w:val="20"/>
              </w:rPr>
              <w:t>požadovaného způsobu zahájení zadávacího/ výběrového řízení</w:t>
            </w:r>
          </w:p>
        </w:tc>
        <w:tc>
          <w:tcPr>
            <w:tcW w:w="348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4" w:lineRule="auto"/>
              <w:ind w:right="111"/>
              <w:rPr>
                <w:sz w:val="20"/>
              </w:rPr>
            </w:pPr>
            <w:r>
              <w:rPr>
                <w:sz w:val="20"/>
              </w:rPr>
              <w:t>Zadavatel zadal veřejnou zakázku, aniž by zahájil zadávací řízení</w:t>
            </w:r>
          </w:p>
          <w:p w:rsidR="00DF1C16" w:rsidRDefault="00AE26AB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v souladu se zákonem nebo</w:t>
            </w:r>
          </w:p>
          <w:p w:rsidR="00DF1C16" w:rsidRDefault="00AE26AB">
            <w:pPr>
              <w:pStyle w:val="TableParagraph"/>
              <w:spacing w:before="24" w:line="264" w:lineRule="auto"/>
              <w:rPr>
                <w:sz w:val="20"/>
              </w:rPr>
            </w:pPr>
            <w:r>
              <w:rPr>
                <w:sz w:val="20"/>
              </w:rPr>
              <w:t>výběrové řízení v souladu s Pokyny OPŽP, příp. s dokumentem Zadávání VZ v OPŽP</w:t>
            </w:r>
          </w:p>
        </w:tc>
        <w:tc>
          <w:tcPr>
            <w:tcW w:w="3188" w:type="dxa"/>
            <w:tcBorders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 w:rsidR="00DF1C16">
        <w:trPr>
          <w:trHeight w:val="1689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101"/>
              <w:jc w:val="both"/>
              <w:rPr>
                <w:sz w:val="20"/>
              </w:rPr>
            </w:pPr>
            <w:r>
              <w:rPr>
                <w:sz w:val="20"/>
              </w:rPr>
              <w:t>25 %, pokud byla dodržena určitá míra uveřejnění, která umožnila</w:t>
            </w:r>
          </w:p>
          <w:p w:rsidR="00DF1C16" w:rsidRDefault="00AE26AB">
            <w:pPr>
              <w:pStyle w:val="TableParagraph"/>
              <w:spacing w:before="1" w:line="264" w:lineRule="auto"/>
              <w:ind w:left="117" w:right="694"/>
              <w:jc w:val="both"/>
              <w:rPr>
                <w:sz w:val="20"/>
              </w:rPr>
            </w:pPr>
            <w:r>
              <w:rPr>
                <w:sz w:val="20"/>
              </w:rPr>
              <w:t>potenciálním dodavatelům přístup k zadávané veřejné zakázce</w:t>
            </w:r>
          </w:p>
        </w:tc>
      </w:tr>
      <w:tr w:rsidR="00DF1C16">
        <w:trPr>
          <w:trHeight w:val="518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Neoprávněné</w:t>
            </w:r>
          </w:p>
          <w:p w:rsidR="00DF1C16" w:rsidRDefault="00AE26AB">
            <w:pPr>
              <w:pStyle w:val="TableParagraph"/>
              <w:spacing w:before="27" w:line="264" w:lineRule="auto"/>
              <w:rPr>
                <w:sz w:val="20"/>
              </w:rPr>
            </w:pPr>
            <w:r>
              <w:rPr>
                <w:sz w:val="20"/>
              </w:rPr>
              <w:t>rozdělení předmětu veřejné zakázky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266"/>
              <w:jc w:val="both"/>
              <w:rPr>
                <w:sz w:val="20"/>
              </w:rPr>
            </w:pPr>
            <w:r>
              <w:rPr>
                <w:sz w:val="20"/>
              </w:rPr>
              <w:t>Zadavatel rozdělil předmět veřejné zakázky tak, že tím došlo ke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snížení předpokládané hodnoty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</w:t>
            </w:r>
          </w:p>
          <w:p w:rsidR="00DF1C16" w:rsidRDefault="00AE26AB">
            <w:pPr>
              <w:pStyle w:val="TableParagraph"/>
              <w:spacing w:before="0" w:line="264" w:lineRule="auto"/>
              <w:ind w:right="340"/>
              <w:jc w:val="both"/>
              <w:rPr>
                <w:sz w:val="20"/>
              </w:rPr>
            </w:pPr>
            <w:r>
              <w:rPr>
                <w:sz w:val="20"/>
              </w:rPr>
              <w:t>finanční limity stanovené v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zákoně nebo v Pokynech OPŽP,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příp.</w:t>
            </w:r>
          </w:p>
          <w:p w:rsidR="00DF1C16" w:rsidRDefault="00AE26AB">
            <w:pPr>
              <w:pStyle w:val="TableParagraph"/>
              <w:spacing w:before="0"/>
              <w:jc w:val="both"/>
              <w:rPr>
                <w:sz w:val="20"/>
              </w:rPr>
            </w:pPr>
            <w:r>
              <w:rPr>
                <w:sz w:val="20"/>
              </w:rPr>
              <w:t>v dokumentu Zadávání VZ v OPŽP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 w:rsidR="00DF1C16">
        <w:trPr>
          <w:trHeight w:val="1690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103"/>
              <w:jc w:val="both"/>
              <w:rPr>
                <w:sz w:val="20"/>
              </w:rPr>
            </w:pPr>
            <w:r>
              <w:rPr>
                <w:sz w:val="20"/>
              </w:rPr>
              <w:t xml:space="preserve">25 %, pokud byla dodržena </w:t>
            </w:r>
            <w:r>
              <w:rPr>
                <w:spacing w:val="-3"/>
                <w:sz w:val="20"/>
              </w:rPr>
              <w:t xml:space="preserve">určitá </w:t>
            </w:r>
            <w:r>
              <w:rPr>
                <w:sz w:val="20"/>
              </w:rPr>
              <w:t>míra uveřejnění, která umožnila</w:t>
            </w:r>
          </w:p>
          <w:p w:rsidR="00DF1C16" w:rsidRDefault="00AE26AB">
            <w:pPr>
              <w:pStyle w:val="TableParagraph"/>
              <w:spacing w:before="1" w:line="264" w:lineRule="auto"/>
              <w:ind w:left="117" w:right="694"/>
              <w:jc w:val="both"/>
              <w:rPr>
                <w:sz w:val="20"/>
              </w:rPr>
            </w:pPr>
            <w:r>
              <w:rPr>
                <w:sz w:val="20"/>
              </w:rPr>
              <w:t>potenciálním dodavatelům přístup k zadávané veřejné zakázce</w:t>
            </w:r>
          </w:p>
        </w:tc>
      </w:tr>
      <w:tr w:rsidR="00DF1C16">
        <w:trPr>
          <w:trHeight w:val="1103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76"/>
              <w:rPr>
                <w:sz w:val="20"/>
              </w:rPr>
            </w:pPr>
            <w:r>
              <w:rPr>
                <w:sz w:val="20"/>
              </w:rPr>
              <w:t>Nedodržení minimální délky lhůty pro podání nabídek, předběžných nabídek nebo žádostí o účast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rPr>
                <w:sz w:val="20"/>
              </w:rPr>
            </w:pPr>
            <w:r>
              <w:rPr>
                <w:sz w:val="20"/>
              </w:rPr>
              <w:t>Zadavatel stanovil lhůtu pro podání nabídek, předběžných nabídek nebo žádostí o účast tak, že jejich délka</w:t>
            </w:r>
          </w:p>
          <w:p w:rsidR="00DF1C16" w:rsidRDefault="00AE26AB">
            <w:pPr>
              <w:pStyle w:val="TableParagraph"/>
              <w:spacing w:before="1" w:line="261" w:lineRule="auto"/>
              <w:ind w:right="599"/>
              <w:rPr>
                <w:sz w:val="20"/>
              </w:rPr>
            </w:pPr>
            <w:r>
              <w:rPr>
                <w:sz w:val="20"/>
              </w:rPr>
              <w:t>nedosahovala minimálních lhůt stanovených v zákoně nebo</w:t>
            </w:r>
          </w:p>
          <w:p w:rsidR="00DF1C16" w:rsidRDefault="00AE26AB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v Pokynech OPŽP, příp.</w:t>
            </w:r>
          </w:p>
          <w:p w:rsidR="00DF1C16" w:rsidRDefault="00AE26AB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v dokumentu Zadávání VZ v OPŽP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25 %, pokud je zkrácení vyšší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nebo rovno 50 % délky minimální lhůty</w:t>
            </w:r>
          </w:p>
        </w:tc>
      </w:tr>
      <w:tr w:rsidR="00DF1C16">
        <w:trPr>
          <w:trHeight w:val="1103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10 %, pokud je zkrácení vyšší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nebo rovno 30 % délky minimální lhůty</w:t>
            </w:r>
          </w:p>
        </w:tc>
      </w:tr>
      <w:tr w:rsidR="00DF1C16">
        <w:trPr>
          <w:trHeight w:val="1104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804"/>
              <w:jc w:val="both"/>
              <w:rPr>
                <w:sz w:val="20"/>
              </w:rPr>
            </w:pPr>
            <w:r>
              <w:rPr>
                <w:sz w:val="20"/>
              </w:rPr>
              <w:t>2 % až 5 % dle závažnosti porušení v případě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jiného zkrácení</w:t>
            </w:r>
          </w:p>
        </w:tc>
      </w:tr>
      <w:tr w:rsidR="00DF1C16">
        <w:trPr>
          <w:trHeight w:val="1396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76"/>
              <w:rPr>
                <w:sz w:val="20"/>
              </w:rPr>
            </w:pPr>
            <w:r>
              <w:rPr>
                <w:sz w:val="20"/>
              </w:rPr>
              <w:t>Nedostatečná doba pro opatření zadávací dokumentace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rPr>
                <w:sz w:val="20"/>
              </w:rPr>
            </w:pPr>
            <w:r>
              <w:rPr>
                <w:sz w:val="20"/>
              </w:rPr>
              <w:t>Jestliže zadávací dokumentace není volně, přímo a úplně dostupná,</w:t>
            </w:r>
          </w:p>
          <w:p w:rsidR="00DF1C16" w:rsidRDefault="00AE26AB">
            <w:pPr>
              <w:pStyle w:val="TableParagraph"/>
              <w:spacing w:before="1" w:line="264" w:lineRule="auto"/>
              <w:ind w:right="111"/>
              <w:rPr>
                <w:sz w:val="20"/>
              </w:rPr>
            </w:pPr>
            <w:r>
              <w:rPr>
                <w:sz w:val="20"/>
              </w:rPr>
              <w:t>přičemž doba, ve které si ji mohou potenciální dodavatelé opatřit, je příliš krátká a vytváří</w:t>
            </w:r>
          </w:p>
          <w:p w:rsidR="00DF1C16" w:rsidRDefault="00AE26AB">
            <w:pPr>
              <w:pStyle w:val="TableParagraph"/>
              <w:spacing w:before="0" w:line="264" w:lineRule="auto"/>
              <w:ind w:right="673"/>
              <w:rPr>
                <w:sz w:val="20"/>
              </w:rPr>
            </w:pPr>
            <w:r>
              <w:rPr>
                <w:sz w:val="20"/>
              </w:rPr>
              <w:t>neodůvodněnou překážku pro řádnou hospodářskou soutěž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25 %, pokud po zkrácení činí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délka lhůty pro doručení nabídek alespoň 50 % stanovené lhůty</w:t>
            </w:r>
          </w:p>
          <w:p w:rsidR="00DF1C16" w:rsidRDefault="00AE26AB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pro doručení nabídek</w:t>
            </w:r>
          </w:p>
        </w:tc>
      </w:tr>
      <w:tr w:rsidR="00DF1C16">
        <w:trPr>
          <w:trHeight w:val="1396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10 %, pokud po zkrácení činí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délka lhůty pro doručení nabídek alespoň 60 % stanovené lhůty</w:t>
            </w:r>
          </w:p>
          <w:p w:rsidR="00DF1C16" w:rsidRDefault="00AE26AB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pro doručení nabídek</w:t>
            </w:r>
          </w:p>
        </w:tc>
      </w:tr>
      <w:tr w:rsidR="00DF1C16">
        <w:trPr>
          <w:trHeight w:val="1397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6" w:line="264" w:lineRule="auto"/>
              <w:ind w:left="117" w:right="95"/>
              <w:rPr>
                <w:sz w:val="20"/>
              </w:rPr>
            </w:pPr>
            <w:r>
              <w:rPr>
                <w:sz w:val="20"/>
              </w:rPr>
              <w:t>5 %, pokud po zkrácení činí délka lhůty pro doručení nabídek</w:t>
            </w:r>
          </w:p>
          <w:p w:rsidR="00DF1C16" w:rsidRDefault="00AE26AB">
            <w:pPr>
              <w:pStyle w:val="TableParagraph"/>
              <w:spacing w:before="0" w:line="261" w:lineRule="auto"/>
              <w:ind w:left="117" w:right="280"/>
              <w:rPr>
                <w:sz w:val="20"/>
              </w:rPr>
            </w:pPr>
            <w:r>
              <w:rPr>
                <w:sz w:val="20"/>
              </w:rPr>
              <w:t>alespoň 80 % stanovené lhůty pro doručení nabídek</w:t>
            </w:r>
          </w:p>
        </w:tc>
      </w:tr>
    </w:tbl>
    <w:p w:rsidR="00DF1C16" w:rsidRDefault="00DF1C16">
      <w:pPr>
        <w:spacing w:line="261" w:lineRule="auto"/>
        <w:rPr>
          <w:sz w:val="20"/>
        </w:rPr>
        <w:sectPr w:rsidR="00DF1C16">
          <w:pgSz w:w="12240" w:h="15840"/>
          <w:pgMar w:top="1140" w:right="1020" w:bottom="1580" w:left="1460" w:header="0" w:footer="1380" w:gutter="0"/>
          <w:cols w:space="708"/>
        </w:sectPr>
      </w:pPr>
    </w:p>
    <w:tbl>
      <w:tblPr>
        <w:tblStyle w:val="TableNormal"/>
        <w:tblW w:w="0" w:type="auto"/>
        <w:tblInd w:w="2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211"/>
        <w:gridCol w:w="3485"/>
        <w:gridCol w:w="3188"/>
      </w:tblGrid>
      <w:tr w:rsidR="00DF1C16">
        <w:trPr>
          <w:trHeight w:val="519"/>
        </w:trPr>
        <w:tc>
          <w:tcPr>
            <w:tcW w:w="492" w:type="dxa"/>
            <w:tcBorders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55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Č.</w:t>
            </w: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Typ porušení</w:t>
            </w:r>
          </w:p>
        </w:tc>
        <w:tc>
          <w:tcPr>
            <w:tcW w:w="348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Popis porušení</w:t>
            </w:r>
          </w:p>
        </w:tc>
        <w:tc>
          <w:tcPr>
            <w:tcW w:w="3188" w:type="dxa"/>
            <w:tcBorders>
              <w:lef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Sazba finanční opravy</w:t>
            </w:r>
          </w:p>
        </w:tc>
      </w:tr>
      <w:tr w:rsidR="00DF1C16">
        <w:trPr>
          <w:trHeight w:val="494"/>
        </w:trPr>
        <w:tc>
          <w:tcPr>
            <w:tcW w:w="492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69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1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Neuveřejnění</w:t>
            </w:r>
          </w:p>
          <w:p w:rsidR="00DF1C16" w:rsidRDefault="00AE26AB">
            <w:pPr>
              <w:pStyle w:val="TableParagraph"/>
              <w:spacing w:before="27" w:line="264" w:lineRule="auto"/>
              <w:ind w:right="156"/>
              <w:rPr>
                <w:sz w:val="20"/>
              </w:rPr>
            </w:pPr>
            <w:r>
              <w:rPr>
                <w:sz w:val="20"/>
              </w:rPr>
              <w:t>prodloužení lhůty pro podání nabídek,</w:t>
            </w:r>
          </w:p>
          <w:p w:rsidR="00DF1C16" w:rsidRDefault="00AE26AB">
            <w:pPr>
              <w:pStyle w:val="TableParagraph"/>
              <w:spacing w:before="0" w:line="264" w:lineRule="auto"/>
              <w:ind w:right="171"/>
              <w:rPr>
                <w:sz w:val="20"/>
              </w:rPr>
            </w:pPr>
            <w:r>
              <w:rPr>
                <w:sz w:val="20"/>
              </w:rPr>
              <w:t>předběžných nabídek nebo žádostí o účast</w:t>
            </w:r>
          </w:p>
        </w:tc>
        <w:tc>
          <w:tcPr>
            <w:tcW w:w="348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Zadavatel v průběhu</w:t>
            </w:r>
          </w:p>
          <w:p w:rsidR="00DF1C16" w:rsidRDefault="00AE26AB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výběrového/zadávacího řízení</w:t>
            </w:r>
          </w:p>
          <w:p w:rsidR="00DF1C16" w:rsidRDefault="00AE26AB">
            <w:pPr>
              <w:pStyle w:val="TableParagraph"/>
              <w:spacing w:before="27" w:line="264" w:lineRule="auto"/>
              <w:ind w:right="111"/>
              <w:rPr>
                <w:sz w:val="20"/>
              </w:rPr>
            </w:pPr>
            <w:r>
              <w:rPr>
                <w:sz w:val="20"/>
              </w:rPr>
              <w:t>prodloužil lhůtu pro podání nabídek, předběžných nabídek nebo žádostí</w:t>
            </w:r>
          </w:p>
          <w:p w:rsidR="00DF1C16" w:rsidRDefault="00AE26AB">
            <w:pPr>
              <w:pStyle w:val="TableParagraph"/>
              <w:spacing w:before="0" w:line="264" w:lineRule="auto"/>
              <w:ind w:right="424"/>
              <w:rPr>
                <w:sz w:val="20"/>
              </w:rPr>
            </w:pPr>
            <w:r>
              <w:rPr>
                <w:sz w:val="20"/>
              </w:rPr>
              <w:t>o účast, aniž by tuto skutečnost uveřejnil způsobem stanoveným v zákoně nebo v Pokynech OPŽP, př</w:t>
            </w:r>
            <w:r>
              <w:rPr>
                <w:sz w:val="20"/>
              </w:rPr>
              <w:t>íp. v dokumentu Zadávání VZ</w:t>
            </w:r>
          </w:p>
          <w:p w:rsidR="00DF1C16" w:rsidRDefault="00AE26AB">
            <w:pPr>
              <w:pStyle w:val="TableParagraph"/>
              <w:spacing w:before="1" w:line="264" w:lineRule="auto"/>
              <w:rPr>
                <w:sz w:val="20"/>
              </w:rPr>
            </w:pPr>
            <w:r>
              <w:rPr>
                <w:sz w:val="20"/>
              </w:rPr>
              <w:t>v OPŽP, resp. způsobem, jakým bylo zahájeno výběrové/zadávací řízení</w:t>
            </w:r>
          </w:p>
        </w:tc>
        <w:tc>
          <w:tcPr>
            <w:tcW w:w="3188" w:type="dxa"/>
            <w:tcBorders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sz w:val="20"/>
              </w:rPr>
              <w:t>10 %</w:t>
            </w:r>
          </w:p>
        </w:tc>
      </w:tr>
      <w:tr w:rsidR="00DF1C16">
        <w:trPr>
          <w:trHeight w:val="2630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280"/>
              <w:rPr>
                <w:sz w:val="20"/>
              </w:rPr>
            </w:pPr>
            <w:r>
              <w:rPr>
                <w:sz w:val="20"/>
              </w:rPr>
              <w:t>5 % v případě menší závažnosti porušení</w:t>
            </w:r>
          </w:p>
        </w:tc>
      </w:tr>
      <w:tr w:rsidR="00DF1C16">
        <w:trPr>
          <w:trHeight w:val="619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Použití jednacího</w:t>
            </w:r>
          </w:p>
          <w:p w:rsidR="00DF1C16" w:rsidRDefault="00AE26AB">
            <w:pPr>
              <w:pStyle w:val="TableParagraph"/>
              <w:spacing w:before="28"/>
              <w:rPr>
                <w:sz w:val="20"/>
              </w:rPr>
            </w:pPr>
            <w:r>
              <w:rPr>
                <w:sz w:val="20"/>
              </w:rPr>
              <w:t>řízení s uveřejněním</w:t>
            </w:r>
          </w:p>
          <w:p w:rsidR="00DF1C16" w:rsidRDefault="00AE26AB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v rozporu se zákonem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Zadavatel zadal veřejnou zakázku</w:t>
            </w:r>
          </w:p>
          <w:p w:rsidR="00DF1C16" w:rsidRDefault="00AE26AB">
            <w:pPr>
              <w:pStyle w:val="TableParagraph"/>
              <w:spacing w:before="28" w:line="264" w:lineRule="auto"/>
              <w:ind w:right="128"/>
              <w:rPr>
                <w:sz w:val="20"/>
              </w:rPr>
            </w:pPr>
            <w:r>
              <w:rPr>
                <w:sz w:val="20"/>
              </w:rPr>
              <w:t>v jednacím řízení s uveřejněním, aniž by byly splněny zákonné podmínky pro takový postup, nebo v průběhu jednacího řízení s uveřejněním</w:t>
            </w:r>
          </w:p>
          <w:p w:rsidR="00DF1C16" w:rsidRDefault="00AE26AB">
            <w:pPr>
              <w:pStyle w:val="TableParagraph"/>
              <w:spacing w:before="0" w:line="264" w:lineRule="exact"/>
              <w:rPr>
                <w:sz w:val="20"/>
              </w:rPr>
            </w:pPr>
            <w:r>
              <w:rPr>
                <w:sz w:val="20"/>
              </w:rPr>
              <w:t>podstatně změnil zadávací podmínky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1355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1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  <w:tr w:rsidR="00DF1C16">
        <w:trPr>
          <w:trHeight w:val="520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69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1" w:lineRule="auto"/>
              <w:rPr>
                <w:sz w:val="20"/>
              </w:rPr>
            </w:pPr>
            <w:r>
              <w:rPr>
                <w:sz w:val="20"/>
              </w:rPr>
              <w:t>Neuvedení nebo nedostatečné</w:t>
            </w:r>
          </w:p>
          <w:p w:rsidR="00DF1C16" w:rsidRDefault="00AE26AB">
            <w:pPr>
              <w:pStyle w:val="TableParagraph"/>
              <w:spacing w:before="3" w:line="264" w:lineRule="auto"/>
              <w:ind w:right="231"/>
              <w:rPr>
                <w:sz w:val="20"/>
              </w:rPr>
            </w:pPr>
            <w:r>
              <w:rPr>
                <w:sz w:val="20"/>
              </w:rPr>
              <w:t>vymezení požadavků na kvalifikaci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rPr>
                <w:sz w:val="20"/>
              </w:rPr>
            </w:pPr>
            <w:r>
              <w:rPr>
                <w:sz w:val="20"/>
              </w:rPr>
              <w:t>Zadavatel neuvedl 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oznámení</w:t>
            </w:r>
          </w:p>
          <w:p w:rsidR="00DF1C16" w:rsidRDefault="00AE26AB">
            <w:pPr>
              <w:pStyle w:val="TableParagraph"/>
              <w:spacing w:before="24" w:line="264" w:lineRule="auto"/>
              <w:ind w:right="314"/>
              <w:rPr>
                <w:sz w:val="20"/>
              </w:rPr>
            </w:pPr>
            <w:r>
              <w:rPr>
                <w:sz w:val="20"/>
              </w:rPr>
              <w:t>o zahájení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výběrového/zadávacího řízení požadavky 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kvalifikaci,</w:t>
            </w:r>
          </w:p>
          <w:p w:rsidR="00DF1C16" w:rsidRDefault="00AE26AB">
            <w:pPr>
              <w:pStyle w:val="TableParagraph"/>
              <w:spacing w:before="1" w:line="264" w:lineRule="auto"/>
              <w:rPr>
                <w:sz w:val="20"/>
              </w:rPr>
            </w:pPr>
            <w:r>
              <w:rPr>
                <w:sz w:val="20"/>
              </w:rPr>
              <w:t>případně tyto požadavky nevymezil dostatečně určitě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1687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 a v případě, že</w:t>
            </w:r>
          </w:p>
          <w:p w:rsidR="00DF1C16" w:rsidRDefault="00AE26AB">
            <w:pPr>
              <w:pStyle w:val="TableParagraph"/>
              <w:spacing w:before="1" w:line="261" w:lineRule="auto"/>
              <w:ind w:left="117"/>
              <w:rPr>
                <w:sz w:val="20"/>
              </w:rPr>
            </w:pPr>
            <w:r>
              <w:rPr>
                <w:sz w:val="20"/>
              </w:rPr>
              <w:t>požadavky na kvalifikaci sice byly uvedené, avšak nedostatečně</w:t>
            </w:r>
          </w:p>
          <w:p w:rsidR="00DF1C16" w:rsidRDefault="00AE26AB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určitě</w:t>
            </w:r>
          </w:p>
        </w:tc>
      </w:tr>
      <w:tr w:rsidR="00DF1C16">
        <w:trPr>
          <w:trHeight w:val="520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69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1" w:lineRule="auto"/>
              <w:rPr>
                <w:sz w:val="20"/>
              </w:rPr>
            </w:pPr>
            <w:r>
              <w:rPr>
                <w:sz w:val="20"/>
              </w:rPr>
              <w:t>Neuvedení nebo nedostatečné</w:t>
            </w:r>
          </w:p>
          <w:p w:rsidR="00DF1C16" w:rsidRDefault="00AE26AB">
            <w:pPr>
              <w:pStyle w:val="TableParagraph"/>
              <w:spacing w:before="3" w:line="264" w:lineRule="auto"/>
              <w:rPr>
                <w:sz w:val="20"/>
              </w:rPr>
            </w:pPr>
            <w:r>
              <w:rPr>
                <w:sz w:val="20"/>
              </w:rPr>
              <w:t>vymezení pravidel pro hodnocení nabídek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rPr>
                <w:sz w:val="20"/>
              </w:rPr>
            </w:pPr>
            <w:r>
              <w:rPr>
                <w:sz w:val="20"/>
              </w:rPr>
              <w:t>Zadavatel neuvedl v oznámení</w:t>
            </w:r>
          </w:p>
          <w:p w:rsidR="00DF1C16" w:rsidRDefault="00AE26AB">
            <w:pPr>
              <w:pStyle w:val="TableParagraph"/>
              <w:spacing w:before="24" w:line="264" w:lineRule="auto"/>
              <w:ind w:right="200"/>
              <w:rPr>
                <w:sz w:val="20"/>
              </w:rPr>
            </w:pPr>
            <w:r>
              <w:rPr>
                <w:sz w:val="20"/>
              </w:rPr>
              <w:t>o zahájení výběrového/zadávacího řízení nebo v zadávací dokumentaci pravidla pro hodnocení nabídek,</w:t>
            </w:r>
          </w:p>
          <w:p w:rsidR="00DF1C16" w:rsidRDefault="00AE26AB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případně pravidla pro hodnocení</w:t>
            </w:r>
          </w:p>
          <w:p w:rsidR="00DF1C16" w:rsidRDefault="00AE26AB">
            <w:pPr>
              <w:pStyle w:val="TableParagraph"/>
              <w:spacing w:before="26"/>
              <w:rPr>
                <w:sz w:val="20"/>
              </w:rPr>
            </w:pPr>
            <w:r>
              <w:rPr>
                <w:sz w:val="20"/>
              </w:rPr>
              <w:t>nabídek nevymezil dostatečně určitě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1492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porušení a v případě, že pravidla pro hodnocení sice byly uvedené, avšak nedostatečně určitě</w:t>
            </w:r>
          </w:p>
        </w:tc>
      </w:tr>
      <w:tr w:rsidR="00DF1C16">
        <w:trPr>
          <w:trHeight w:val="691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76"/>
              <w:rPr>
                <w:sz w:val="20"/>
              </w:rPr>
            </w:pPr>
            <w:r>
              <w:rPr>
                <w:sz w:val="20"/>
              </w:rPr>
              <w:t>Stanovení požadavků na kvalifikaci</w:t>
            </w:r>
          </w:p>
          <w:p w:rsidR="00DF1C16" w:rsidRDefault="00AE26AB">
            <w:pPr>
              <w:pStyle w:val="TableParagraph"/>
              <w:spacing w:before="1" w:line="264" w:lineRule="auto"/>
              <w:ind w:right="123"/>
              <w:rPr>
                <w:sz w:val="20"/>
              </w:rPr>
            </w:pPr>
            <w:r>
              <w:rPr>
                <w:sz w:val="20"/>
              </w:rPr>
              <w:t>v rozporu se zákonem nebo s Pokyny OPŽP, příp. s dokumentem Zadávání VZ v OPŽP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Zadavatel stanovil diskriminační</w:t>
            </w:r>
          </w:p>
          <w:p w:rsidR="00DF1C16" w:rsidRDefault="00AE26AB">
            <w:pPr>
              <w:pStyle w:val="TableParagraph"/>
              <w:spacing w:before="27" w:line="264" w:lineRule="auto"/>
              <w:ind w:right="111"/>
              <w:rPr>
                <w:sz w:val="20"/>
              </w:rPr>
            </w:pPr>
            <w:r>
              <w:rPr>
                <w:sz w:val="20"/>
              </w:rPr>
              <w:t>nebo jiné protiprávní požadavky na kvalifikaci, včetně případů, kdy tyto požadavky bezprostředně nesouvisely s předmětem veřejné zakázky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1366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</w:tbl>
    <w:p w:rsidR="00DF1C16" w:rsidRDefault="00DF1C16">
      <w:pPr>
        <w:spacing w:line="264" w:lineRule="auto"/>
        <w:rPr>
          <w:sz w:val="20"/>
        </w:rPr>
        <w:sectPr w:rsidR="00DF1C16">
          <w:pgSz w:w="12240" w:h="15840"/>
          <w:pgMar w:top="1140" w:right="1020" w:bottom="1580" w:left="1460" w:header="0" w:footer="1380" w:gutter="0"/>
          <w:cols w:space="708"/>
        </w:sectPr>
      </w:pPr>
    </w:p>
    <w:tbl>
      <w:tblPr>
        <w:tblStyle w:val="TableNormal"/>
        <w:tblW w:w="0" w:type="auto"/>
        <w:tblInd w:w="2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211"/>
        <w:gridCol w:w="3485"/>
        <w:gridCol w:w="3188"/>
      </w:tblGrid>
      <w:tr w:rsidR="00DF1C16">
        <w:trPr>
          <w:trHeight w:val="519"/>
        </w:trPr>
        <w:tc>
          <w:tcPr>
            <w:tcW w:w="492" w:type="dxa"/>
            <w:tcBorders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55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Č.</w:t>
            </w: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Typ porušení</w:t>
            </w:r>
          </w:p>
        </w:tc>
        <w:tc>
          <w:tcPr>
            <w:tcW w:w="348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Popis porušení</w:t>
            </w:r>
          </w:p>
        </w:tc>
        <w:tc>
          <w:tcPr>
            <w:tcW w:w="3188" w:type="dxa"/>
            <w:tcBorders>
              <w:lef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Sazba finanční opravy</w:t>
            </w:r>
          </w:p>
        </w:tc>
      </w:tr>
      <w:tr w:rsidR="00DF1C16">
        <w:trPr>
          <w:trHeight w:val="494"/>
        </w:trPr>
        <w:tc>
          <w:tcPr>
            <w:tcW w:w="492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14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21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 w:line="264" w:lineRule="auto"/>
              <w:ind w:right="81"/>
              <w:rPr>
                <w:sz w:val="20"/>
              </w:rPr>
            </w:pPr>
            <w:r>
              <w:rPr>
                <w:sz w:val="20"/>
              </w:rPr>
              <w:t>Stanovení pravidel pro hodnocení nabídek</w:t>
            </w:r>
          </w:p>
          <w:p w:rsidR="00DF1C16" w:rsidRDefault="00AE26AB">
            <w:pPr>
              <w:pStyle w:val="TableParagraph"/>
              <w:spacing w:before="1" w:line="264" w:lineRule="auto"/>
              <w:ind w:right="123"/>
              <w:rPr>
                <w:sz w:val="20"/>
              </w:rPr>
            </w:pPr>
            <w:r>
              <w:rPr>
                <w:sz w:val="20"/>
              </w:rPr>
              <w:t>v rozporu se zákonem nebo s Pokyny OPŽP, příp. s dokumentem Zadávání VZ v OPŽP</w:t>
            </w:r>
          </w:p>
        </w:tc>
        <w:tc>
          <w:tcPr>
            <w:tcW w:w="348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 w:line="264" w:lineRule="auto"/>
              <w:ind w:right="314"/>
              <w:rPr>
                <w:sz w:val="20"/>
              </w:rPr>
            </w:pPr>
            <w:r>
              <w:rPr>
                <w:sz w:val="20"/>
              </w:rPr>
              <w:t>Zadavatel stanovil diskriminační nebo jiná protiprávní pravidla pro</w:t>
            </w:r>
          </w:p>
          <w:p w:rsidR="00DF1C16" w:rsidRDefault="00AE26AB">
            <w:pPr>
              <w:pStyle w:val="TableParagraph"/>
              <w:spacing w:before="1" w:line="264" w:lineRule="auto"/>
              <w:ind w:right="111"/>
              <w:rPr>
                <w:sz w:val="20"/>
              </w:rPr>
            </w:pPr>
            <w:r>
              <w:rPr>
                <w:sz w:val="20"/>
              </w:rPr>
              <w:t>hodnocení nabídek, včetně případů, kdy hodnotící kritéria nevyjadřují vztah užitné hodnoty a ceny, resp. kvalitativní, environmentální nebo sociální hlediska spojená</w:t>
            </w:r>
          </w:p>
          <w:p w:rsidR="00DF1C16" w:rsidRDefault="00AE26AB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 předmětem veřejné zakázky</w:t>
            </w:r>
          </w:p>
        </w:tc>
        <w:tc>
          <w:tcPr>
            <w:tcW w:w="3188" w:type="dxa"/>
            <w:tcBorders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2044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  <w:tr w:rsidR="00DF1C16">
        <w:trPr>
          <w:trHeight w:val="518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122"/>
              <w:jc w:val="both"/>
              <w:rPr>
                <w:sz w:val="20"/>
              </w:rPr>
            </w:pPr>
            <w:r>
              <w:rPr>
                <w:sz w:val="20"/>
              </w:rPr>
              <w:t>Stanovení technických podmínek nebo jiných podmínek účasti</w:t>
            </w:r>
          </w:p>
          <w:p w:rsidR="00DF1C16" w:rsidRDefault="00AE26AB">
            <w:pPr>
              <w:pStyle w:val="TableParagraph"/>
              <w:spacing w:before="2" w:line="264" w:lineRule="auto"/>
              <w:ind w:right="314"/>
              <w:jc w:val="both"/>
              <w:rPr>
                <w:sz w:val="20"/>
              </w:rPr>
            </w:pPr>
            <w:r>
              <w:rPr>
                <w:sz w:val="20"/>
              </w:rPr>
              <w:t xml:space="preserve">v řízení v rozporu </w:t>
            </w:r>
            <w:r>
              <w:rPr>
                <w:spacing w:val="-7"/>
                <w:sz w:val="20"/>
              </w:rPr>
              <w:t xml:space="preserve">se </w:t>
            </w:r>
            <w:r>
              <w:rPr>
                <w:sz w:val="20"/>
              </w:rPr>
              <w:t>zákonem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</w:p>
          <w:p w:rsidR="00DF1C16" w:rsidRDefault="00AE26AB">
            <w:pPr>
              <w:pStyle w:val="TableParagraph"/>
              <w:spacing w:before="0" w:line="261" w:lineRule="auto"/>
              <w:ind w:right="273"/>
              <w:jc w:val="both"/>
              <w:rPr>
                <w:sz w:val="20"/>
              </w:rPr>
            </w:pPr>
            <w:r>
              <w:rPr>
                <w:sz w:val="20"/>
              </w:rPr>
              <w:t>s Pokyny OPŽP,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příp. 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dokumentem</w:t>
            </w:r>
          </w:p>
          <w:p w:rsidR="00DF1C16" w:rsidRDefault="00AE26AB">
            <w:pPr>
              <w:pStyle w:val="TableParagraph"/>
              <w:spacing w:before="3"/>
              <w:jc w:val="both"/>
              <w:rPr>
                <w:sz w:val="20"/>
              </w:rPr>
            </w:pPr>
            <w:r>
              <w:rPr>
                <w:sz w:val="20"/>
              </w:rPr>
              <w:t>Zadávání VZ v OPŽP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rPr>
                <w:sz w:val="20"/>
              </w:rPr>
            </w:pPr>
            <w:r>
              <w:rPr>
                <w:sz w:val="20"/>
              </w:rPr>
              <w:t>Zadavatel stanovil podmínky účasti, zejména technické podmínky,</w:t>
            </w:r>
          </w:p>
          <w:p w:rsidR="00DF1C16" w:rsidRDefault="00AE26AB">
            <w:pPr>
              <w:pStyle w:val="TableParagraph"/>
              <w:spacing w:before="1" w:line="264" w:lineRule="auto"/>
              <w:ind w:right="264"/>
              <w:rPr>
                <w:sz w:val="20"/>
              </w:rPr>
            </w:pPr>
            <w:r>
              <w:rPr>
                <w:sz w:val="20"/>
              </w:rPr>
              <w:t>obchodní podmínky nebo jiné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výše neuvedené podmínky účasti ve výběrovém/zadávacím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řízení</w:t>
            </w:r>
          </w:p>
          <w:p w:rsidR="00DF1C16" w:rsidRDefault="00AE26AB">
            <w:pPr>
              <w:pStyle w:val="TableParagraph"/>
              <w:spacing w:before="1" w:line="261" w:lineRule="auto"/>
              <w:ind w:right="544"/>
              <w:rPr>
                <w:sz w:val="20"/>
              </w:rPr>
            </w:pPr>
            <w:r>
              <w:rPr>
                <w:sz w:val="20"/>
              </w:rPr>
              <w:t>diskriminačním způsobem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nebo jiným způsobem v rozporu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</w:p>
          <w:p w:rsidR="00DF1C16" w:rsidRDefault="00AE26AB">
            <w:pPr>
              <w:pStyle w:val="TableParagraph"/>
              <w:spacing w:before="3" w:line="264" w:lineRule="auto"/>
              <w:ind w:right="128"/>
              <w:rPr>
                <w:sz w:val="20"/>
              </w:rPr>
            </w:pPr>
            <w:r>
              <w:rPr>
                <w:sz w:val="20"/>
              </w:rPr>
              <w:t>zákonem nebo s Pokyny OPŽP, příp. s dokumentem Zadávání VZ v OPŽP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811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  <w:tr w:rsidR="00DF1C16">
        <w:trPr>
          <w:trHeight w:val="1396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158"/>
              <w:rPr>
                <w:sz w:val="20"/>
              </w:rPr>
            </w:pPr>
            <w:r>
              <w:rPr>
                <w:sz w:val="20"/>
              </w:rPr>
              <w:t>25 % v případě značkové specifikace v míře vyšší než 30 % z finančního objemu veřejné</w:t>
            </w:r>
          </w:p>
          <w:p w:rsidR="00DF1C16" w:rsidRDefault="00AE26AB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zakázky</w:t>
            </w:r>
          </w:p>
        </w:tc>
      </w:tr>
      <w:tr w:rsidR="00DF1C16">
        <w:trPr>
          <w:trHeight w:val="1396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541"/>
              <w:rPr>
                <w:sz w:val="20"/>
              </w:rPr>
            </w:pPr>
            <w:r>
              <w:rPr>
                <w:sz w:val="20"/>
              </w:rPr>
              <w:t>10 % v případě značkové specifikace v míře 20 – 30 % z finančního objemu veřejné zakázky</w:t>
            </w:r>
          </w:p>
        </w:tc>
      </w:tr>
      <w:tr w:rsidR="00DF1C16">
        <w:trPr>
          <w:trHeight w:val="1396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525"/>
              <w:rPr>
                <w:sz w:val="20"/>
              </w:rPr>
            </w:pPr>
            <w:r>
              <w:rPr>
                <w:sz w:val="20"/>
              </w:rPr>
              <w:t>5 % v případě značkové specifikace v míře 10 &lt; 20 % z finančního objemu veřejné zakázky</w:t>
            </w:r>
          </w:p>
        </w:tc>
      </w:tr>
      <w:tr w:rsidR="00DF1C16">
        <w:trPr>
          <w:trHeight w:val="518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76"/>
              <w:rPr>
                <w:sz w:val="20"/>
              </w:rPr>
            </w:pPr>
            <w:r>
              <w:rPr>
                <w:sz w:val="20"/>
              </w:rPr>
              <w:t>Nedostatečné vymezení předmětu veřejné zakázky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410"/>
              <w:rPr>
                <w:sz w:val="20"/>
              </w:rPr>
            </w:pPr>
            <w:r>
              <w:rPr>
                <w:sz w:val="20"/>
              </w:rPr>
              <w:t>Zadavatel nevymezil předmět veřejné zakázky v podrobnostech</w:t>
            </w:r>
          </w:p>
          <w:p w:rsidR="00DF1C16" w:rsidRDefault="00AE26AB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nezbytných pro zpracování nabídky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10 %</w:t>
            </w:r>
          </w:p>
        </w:tc>
      </w:tr>
      <w:tr w:rsidR="00DF1C16">
        <w:trPr>
          <w:trHeight w:val="580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5 % dle závažnosti porušení</w:t>
            </w:r>
          </w:p>
        </w:tc>
      </w:tr>
      <w:tr w:rsidR="00DF1C16">
        <w:trPr>
          <w:trHeight w:val="518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Nedodržení</w:t>
            </w:r>
          </w:p>
          <w:p w:rsidR="00DF1C16" w:rsidRDefault="00AE26AB">
            <w:pPr>
              <w:pStyle w:val="TableParagraph"/>
              <w:spacing w:before="27" w:line="264" w:lineRule="auto"/>
              <w:ind w:right="166"/>
              <w:rPr>
                <w:sz w:val="20"/>
              </w:rPr>
            </w:pPr>
            <w:r>
              <w:rPr>
                <w:sz w:val="20"/>
              </w:rPr>
              <w:t>zadávacích podmínek při zadávání veřejné zakázky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675"/>
              <w:rPr>
                <w:sz w:val="20"/>
              </w:rPr>
            </w:pPr>
            <w:r>
              <w:rPr>
                <w:sz w:val="20"/>
              </w:rPr>
              <w:t>Zadavatel při zadávání veřejné zakázky nedodržel stanovené zadávací podmínky, zejména</w:t>
            </w:r>
          </w:p>
          <w:p w:rsidR="00DF1C16" w:rsidRDefault="00AE26AB">
            <w:pPr>
              <w:pStyle w:val="TableParagraph"/>
              <w:spacing w:before="1" w:line="264" w:lineRule="auto"/>
              <w:ind w:right="283"/>
              <w:jc w:val="both"/>
              <w:rPr>
                <w:sz w:val="20"/>
              </w:rPr>
            </w:pPr>
            <w:r>
              <w:rPr>
                <w:sz w:val="20"/>
              </w:rPr>
              <w:t>technické podmínky, požadavky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na kvalifikaci, pravidla pro hodnocení, obchodní podmínky nebo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jiné</w:t>
            </w:r>
          </w:p>
          <w:p w:rsidR="00DF1C16" w:rsidRDefault="00AE26AB"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z w:val="20"/>
              </w:rPr>
              <w:t>podmínky účasti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  <w:p w:rsidR="00DF1C16" w:rsidRDefault="00AE26AB">
            <w:pPr>
              <w:pStyle w:val="TableParagraph"/>
              <w:spacing w:before="27" w:line="264" w:lineRule="auto"/>
              <w:ind w:right="351"/>
              <w:jc w:val="both"/>
              <w:rPr>
                <w:sz w:val="20"/>
              </w:rPr>
            </w:pPr>
            <w:r>
              <w:rPr>
                <w:sz w:val="20"/>
              </w:rPr>
              <w:t>výběrovém/zadávacím řízení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nebo podmínky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průběhu</w:t>
            </w:r>
          </w:p>
          <w:p w:rsidR="00DF1C16" w:rsidRDefault="00AE26AB">
            <w:pPr>
              <w:pStyle w:val="TableParagraph"/>
              <w:spacing w:before="0"/>
              <w:jc w:val="both"/>
              <w:rPr>
                <w:sz w:val="20"/>
              </w:rPr>
            </w:pPr>
            <w:r>
              <w:rPr>
                <w:sz w:val="20"/>
              </w:rPr>
              <w:t>výběrového/zadávacího řízení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2630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</w:tbl>
    <w:p w:rsidR="00DF1C16" w:rsidRDefault="00DF1C16">
      <w:pPr>
        <w:spacing w:line="264" w:lineRule="auto"/>
        <w:rPr>
          <w:sz w:val="20"/>
        </w:rPr>
        <w:sectPr w:rsidR="00DF1C16">
          <w:pgSz w:w="12240" w:h="15840"/>
          <w:pgMar w:top="1140" w:right="1020" w:bottom="1580" w:left="1460" w:header="0" w:footer="1380" w:gutter="0"/>
          <w:cols w:space="708"/>
        </w:sectPr>
      </w:pPr>
    </w:p>
    <w:tbl>
      <w:tblPr>
        <w:tblStyle w:val="TableNormal"/>
        <w:tblW w:w="0" w:type="auto"/>
        <w:tblInd w:w="2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211"/>
        <w:gridCol w:w="3485"/>
        <w:gridCol w:w="3188"/>
      </w:tblGrid>
      <w:tr w:rsidR="00DF1C16">
        <w:trPr>
          <w:trHeight w:val="519"/>
        </w:trPr>
        <w:tc>
          <w:tcPr>
            <w:tcW w:w="492" w:type="dxa"/>
            <w:tcBorders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94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Č.</w:t>
            </w: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Typ porušení</w:t>
            </w:r>
          </w:p>
        </w:tc>
        <w:tc>
          <w:tcPr>
            <w:tcW w:w="348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Popis porušení</w:t>
            </w:r>
          </w:p>
        </w:tc>
        <w:tc>
          <w:tcPr>
            <w:tcW w:w="3188" w:type="dxa"/>
            <w:tcBorders>
              <w:lef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Sazba finanční opravy</w:t>
            </w:r>
          </w:p>
        </w:tc>
      </w:tr>
      <w:tr w:rsidR="00DF1C16">
        <w:trPr>
          <w:trHeight w:val="494"/>
        </w:trPr>
        <w:tc>
          <w:tcPr>
            <w:tcW w:w="492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14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21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Nedodržení</w:t>
            </w:r>
          </w:p>
          <w:p w:rsidR="00DF1C16" w:rsidRDefault="00AE26AB">
            <w:pPr>
              <w:pStyle w:val="TableParagraph"/>
              <w:spacing w:before="27" w:line="264" w:lineRule="auto"/>
              <w:rPr>
                <w:sz w:val="20"/>
              </w:rPr>
            </w:pPr>
            <w:r>
              <w:rPr>
                <w:sz w:val="20"/>
              </w:rPr>
              <w:t>základních zásad zadávání veřejných</w:t>
            </w:r>
          </w:p>
          <w:p w:rsidR="00DF1C16" w:rsidRDefault="00AE26AB">
            <w:pPr>
              <w:pStyle w:val="TableParagraph"/>
              <w:spacing w:before="0" w:line="264" w:lineRule="auto"/>
              <w:rPr>
                <w:sz w:val="20"/>
              </w:rPr>
            </w:pPr>
            <w:r>
              <w:rPr>
                <w:sz w:val="20"/>
              </w:rPr>
              <w:t>zakázek při posouzení nebo hodnocení</w:t>
            </w:r>
          </w:p>
          <w:p w:rsidR="00DF1C16" w:rsidRDefault="00AE26AB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nabídek</w:t>
            </w:r>
          </w:p>
        </w:tc>
        <w:tc>
          <w:tcPr>
            <w:tcW w:w="348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 w:line="264" w:lineRule="auto"/>
              <w:ind w:right="409"/>
              <w:rPr>
                <w:sz w:val="20"/>
              </w:rPr>
            </w:pPr>
            <w:r>
              <w:rPr>
                <w:sz w:val="20"/>
              </w:rPr>
              <w:t>Zadavatel porušil základní zásady zadávání veřejných zakázek při</w:t>
            </w:r>
          </w:p>
          <w:p w:rsidR="00DF1C16" w:rsidRDefault="00AE26AB">
            <w:pPr>
              <w:pStyle w:val="TableParagraph"/>
              <w:spacing w:before="1" w:line="264" w:lineRule="auto"/>
              <w:ind w:right="144"/>
              <w:rPr>
                <w:sz w:val="20"/>
              </w:rPr>
            </w:pPr>
            <w:r>
              <w:rPr>
                <w:sz w:val="20"/>
              </w:rPr>
              <w:t>posouzení nebo hodnocení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nabídek, včetně případů, kdy v rozporu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</w:p>
          <w:p w:rsidR="00DF1C16" w:rsidRDefault="00AE26AB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zákonem či s Pokyny OPŽP,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příp.</w:t>
            </w:r>
          </w:p>
          <w:p w:rsidR="00DF1C16" w:rsidRDefault="00AE26AB">
            <w:pPr>
              <w:pStyle w:val="TableParagraph"/>
              <w:spacing w:before="27" w:line="264" w:lineRule="auto"/>
              <w:ind w:right="111"/>
              <w:jc w:val="both"/>
              <w:rPr>
                <w:sz w:val="20"/>
              </w:rPr>
            </w:pPr>
            <w:r>
              <w:rPr>
                <w:sz w:val="20"/>
              </w:rPr>
              <w:t>s dokumentem Zadávání VZ v OPŽP, jednal o nabídce, umožnil dodatečné změny nabídky nebo nezajistil</w:t>
            </w:r>
          </w:p>
          <w:p w:rsidR="00DF1C16" w:rsidRDefault="00AE26AB">
            <w:pPr>
              <w:pStyle w:val="TableParagraph"/>
              <w:spacing w:before="0" w:line="264" w:lineRule="auto"/>
              <w:ind w:right="247"/>
              <w:jc w:val="both"/>
              <w:rPr>
                <w:sz w:val="20"/>
              </w:rPr>
            </w:pPr>
            <w:r>
              <w:rPr>
                <w:sz w:val="20"/>
              </w:rPr>
              <w:t>nezbytnou auditní stopu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posouzení nebo hodnocení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nabídek</w:t>
            </w:r>
          </w:p>
        </w:tc>
        <w:tc>
          <w:tcPr>
            <w:tcW w:w="3188" w:type="dxa"/>
            <w:tcBorders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2630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  <w:tr w:rsidR="00DF1C16">
        <w:trPr>
          <w:trHeight w:val="1687"/>
        </w:trPr>
        <w:tc>
          <w:tcPr>
            <w:tcW w:w="4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94" w:right="80"/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100"/>
              <w:rPr>
                <w:sz w:val="20"/>
              </w:rPr>
            </w:pPr>
            <w:r>
              <w:rPr>
                <w:sz w:val="20"/>
              </w:rPr>
              <w:t>Neoprávněné vyřazení nabídky z důvodu mimořádně nízké</w:t>
            </w:r>
          </w:p>
          <w:p w:rsidR="00DF1C16" w:rsidRDefault="00AE26AB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nabídkové ceny</w:t>
            </w:r>
          </w:p>
        </w:tc>
        <w:tc>
          <w:tcPr>
            <w:tcW w:w="3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212"/>
              <w:rPr>
                <w:sz w:val="20"/>
              </w:rPr>
            </w:pPr>
            <w:r>
              <w:rPr>
                <w:sz w:val="20"/>
              </w:rPr>
              <w:t>Zadavatel vyřadil nabídku z důvodu mimořádně nízké nabídkové ceny, aniž by požádal účastníka</w:t>
            </w:r>
          </w:p>
          <w:p w:rsidR="00DF1C16" w:rsidRDefault="00AE26AB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výběrového/zadávacího řízení</w:t>
            </w:r>
          </w:p>
          <w:p w:rsidR="00DF1C16" w:rsidRDefault="00AE26AB">
            <w:pPr>
              <w:pStyle w:val="TableParagraph"/>
              <w:spacing w:before="24"/>
              <w:rPr>
                <w:sz w:val="20"/>
              </w:rPr>
            </w:pPr>
            <w:r>
              <w:rPr>
                <w:sz w:val="20"/>
              </w:rPr>
              <w:t>o odpovídající zdůvodnění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520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4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4" w:lineRule="auto"/>
              <w:ind w:right="251"/>
              <w:rPr>
                <w:sz w:val="20"/>
              </w:rPr>
            </w:pPr>
            <w:r>
              <w:rPr>
                <w:sz w:val="20"/>
              </w:rPr>
              <w:t>Zvýhodnění určitého dodavatele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rPr>
                <w:sz w:val="20"/>
              </w:rPr>
            </w:pPr>
            <w:r>
              <w:rPr>
                <w:sz w:val="20"/>
              </w:rPr>
              <w:t>Zadavatel v průběhu lhůty pro</w:t>
            </w:r>
          </w:p>
          <w:p w:rsidR="00DF1C16" w:rsidRDefault="00AE26AB">
            <w:pPr>
              <w:pStyle w:val="TableParagraph"/>
              <w:spacing w:before="27" w:line="261" w:lineRule="auto"/>
              <w:ind w:right="265"/>
              <w:rPr>
                <w:sz w:val="20"/>
              </w:rPr>
            </w:pPr>
            <w:r>
              <w:rPr>
                <w:sz w:val="20"/>
              </w:rPr>
              <w:t>podání nabídek nebo žádosti pro účast nebo při jednání s dodavateli</w:t>
            </w:r>
          </w:p>
          <w:p w:rsidR="00DF1C16" w:rsidRDefault="00AE26AB">
            <w:pPr>
              <w:pStyle w:val="TableParagraph"/>
              <w:spacing w:before="3" w:line="264" w:lineRule="auto"/>
              <w:ind w:right="221"/>
              <w:rPr>
                <w:sz w:val="20"/>
              </w:rPr>
            </w:pPr>
            <w:r>
              <w:rPr>
                <w:sz w:val="20"/>
              </w:rPr>
              <w:t>poskytl některému dodavateli nebo některým dodavatelům informace, které neposkytl ostatním</w:t>
            </w:r>
          </w:p>
          <w:p w:rsidR="00DF1C16" w:rsidRDefault="00AE26AB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dodavatelům, nebo zvýhodnil</w:t>
            </w:r>
          </w:p>
          <w:p w:rsidR="00DF1C16" w:rsidRDefault="00AE26AB">
            <w:pPr>
              <w:pStyle w:val="TableParagraph"/>
              <w:spacing w:before="28" w:line="264" w:lineRule="auto"/>
              <w:rPr>
                <w:sz w:val="20"/>
              </w:rPr>
            </w:pPr>
            <w:r>
              <w:rPr>
                <w:sz w:val="20"/>
              </w:rPr>
              <w:t>některého dodavatele nebo některé dodavatelé jiným než výše</w:t>
            </w:r>
          </w:p>
          <w:p w:rsidR="00DF1C16" w:rsidRDefault="00AE26AB">
            <w:pPr>
              <w:pStyle w:val="TableParagraph"/>
              <w:spacing w:before="0" w:line="264" w:lineRule="auto"/>
              <w:rPr>
                <w:sz w:val="20"/>
              </w:rPr>
            </w:pPr>
            <w:r>
              <w:rPr>
                <w:sz w:val="20"/>
              </w:rPr>
              <w:t>uvedeným způsobem, přičemž tento postup měl nebo mohl mít vliv na výběr dodavatele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3213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 w:right="419"/>
              <w:rPr>
                <w:sz w:val="20"/>
              </w:rPr>
            </w:pPr>
            <w:r>
              <w:rPr>
                <w:sz w:val="20"/>
              </w:rPr>
              <w:t>5 % nebo 10 % dle závažnosti porušení</w:t>
            </w:r>
          </w:p>
        </w:tc>
      </w:tr>
      <w:tr w:rsidR="00DF1C16">
        <w:trPr>
          <w:trHeight w:val="2566"/>
        </w:trPr>
        <w:tc>
          <w:tcPr>
            <w:tcW w:w="4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94" w:right="80"/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Střet zájmů</w:t>
            </w:r>
          </w:p>
        </w:tc>
        <w:tc>
          <w:tcPr>
            <w:tcW w:w="3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424"/>
              <w:rPr>
                <w:sz w:val="20"/>
              </w:rPr>
            </w:pPr>
            <w:r>
              <w:rPr>
                <w:sz w:val="20"/>
              </w:rPr>
              <w:t>Příslušný soud nebo jiný kompetentní orgán pravomocně rozhodl, že při zadávání veřejné zakázky došlo ke střetu zájmů,</w:t>
            </w:r>
          </w:p>
          <w:p w:rsidR="00DF1C16" w:rsidRDefault="00AE26AB">
            <w:pPr>
              <w:pStyle w:val="TableParagraph"/>
              <w:spacing w:before="1" w:line="264" w:lineRule="auto"/>
              <w:rPr>
                <w:sz w:val="20"/>
              </w:rPr>
            </w:pPr>
            <w:r>
              <w:rPr>
                <w:sz w:val="20"/>
              </w:rPr>
              <w:t>včetně případů, kdy příslušný soud pravomocně rozhodl, že byl při</w:t>
            </w:r>
          </w:p>
          <w:p w:rsidR="00DF1C16" w:rsidRDefault="00AE26AB">
            <w:pPr>
              <w:pStyle w:val="TableParagraph"/>
              <w:spacing w:before="0" w:line="264" w:lineRule="auto"/>
              <w:ind w:right="360"/>
              <w:rPr>
                <w:sz w:val="20"/>
              </w:rPr>
            </w:pPr>
            <w:r>
              <w:rPr>
                <w:sz w:val="20"/>
              </w:rPr>
              <w:t>zadávání veřejné zakázky spáchán trestný čin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 w:rsidR="00DF1C16">
        <w:trPr>
          <w:trHeight w:val="1106"/>
        </w:trPr>
        <w:tc>
          <w:tcPr>
            <w:tcW w:w="4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94" w:right="80"/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4" w:lineRule="auto"/>
              <w:ind w:right="545"/>
              <w:rPr>
                <w:sz w:val="20"/>
              </w:rPr>
            </w:pPr>
            <w:r>
              <w:rPr>
                <w:sz w:val="20"/>
              </w:rPr>
              <w:t>Podstatná změna smlouvy</w:t>
            </w:r>
          </w:p>
        </w:tc>
        <w:tc>
          <w:tcPr>
            <w:tcW w:w="3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4" w:lineRule="auto"/>
              <w:ind w:right="674"/>
              <w:jc w:val="both"/>
              <w:rPr>
                <w:sz w:val="20"/>
              </w:rPr>
            </w:pPr>
            <w:r>
              <w:rPr>
                <w:sz w:val="20"/>
              </w:rPr>
              <w:t>Zadavatel umožnil podstatnou změnu závazku ze smlouvy na veřejnou zakázku nebo práv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4" w:lineRule="auto"/>
              <w:ind w:left="117" w:right="519"/>
              <w:rPr>
                <w:sz w:val="20"/>
              </w:rPr>
            </w:pPr>
            <w:r>
              <w:rPr>
                <w:sz w:val="20"/>
              </w:rPr>
              <w:t>25 % z ceny původní veřejné zakázky</w:t>
            </w:r>
          </w:p>
        </w:tc>
      </w:tr>
    </w:tbl>
    <w:p w:rsidR="00DF1C16" w:rsidRDefault="00DF1C16">
      <w:pPr>
        <w:spacing w:line="264" w:lineRule="auto"/>
        <w:rPr>
          <w:sz w:val="20"/>
        </w:rPr>
        <w:sectPr w:rsidR="00DF1C16">
          <w:pgSz w:w="12240" w:h="15840"/>
          <w:pgMar w:top="1140" w:right="1020" w:bottom="1580" w:left="1460" w:header="0" w:footer="1380" w:gutter="0"/>
          <w:cols w:space="708"/>
        </w:sectPr>
      </w:pPr>
    </w:p>
    <w:tbl>
      <w:tblPr>
        <w:tblStyle w:val="TableNormal"/>
        <w:tblW w:w="0" w:type="auto"/>
        <w:tblInd w:w="2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211"/>
        <w:gridCol w:w="3485"/>
        <w:gridCol w:w="3188"/>
      </w:tblGrid>
      <w:tr w:rsidR="00DF1C16">
        <w:trPr>
          <w:trHeight w:val="519"/>
        </w:trPr>
        <w:tc>
          <w:tcPr>
            <w:tcW w:w="492" w:type="dxa"/>
            <w:tcBorders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94" w:right="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Č.</w:t>
            </w:r>
          </w:p>
        </w:tc>
        <w:tc>
          <w:tcPr>
            <w:tcW w:w="221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Typ porušení</w:t>
            </w:r>
          </w:p>
        </w:tc>
        <w:tc>
          <w:tcPr>
            <w:tcW w:w="348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Popis porušení</w:t>
            </w:r>
          </w:p>
        </w:tc>
        <w:tc>
          <w:tcPr>
            <w:tcW w:w="3188" w:type="dxa"/>
            <w:tcBorders>
              <w:left w:val="single" w:sz="2" w:space="0" w:color="000000"/>
            </w:tcBorders>
            <w:shd w:val="clear" w:color="auto" w:fill="F1F1F1"/>
          </w:tcPr>
          <w:p w:rsidR="00DF1C16" w:rsidRDefault="00AE26AB">
            <w:pPr>
              <w:pStyle w:val="TableParagraph"/>
              <w:spacing w:before="107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Sazba finanční opravy</w:t>
            </w:r>
          </w:p>
        </w:tc>
      </w:tr>
      <w:tr w:rsidR="00DF1C16">
        <w:trPr>
          <w:trHeight w:val="1612"/>
        </w:trPr>
        <w:tc>
          <w:tcPr>
            <w:tcW w:w="492" w:type="dxa"/>
            <w:tcBorders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81" w:line="264" w:lineRule="auto"/>
              <w:rPr>
                <w:sz w:val="20"/>
              </w:rPr>
            </w:pPr>
            <w:r>
              <w:rPr>
                <w:sz w:val="20"/>
              </w:rPr>
              <w:t>a povinností vyplývajících ze smlouvy na veřejnou zakázku v rozporu se</w:t>
            </w:r>
          </w:p>
          <w:p w:rsidR="00DF1C16" w:rsidRDefault="00AE26AB">
            <w:pPr>
              <w:pStyle w:val="TableParagraph"/>
              <w:spacing w:before="1" w:line="264" w:lineRule="auto"/>
              <w:ind w:right="128"/>
              <w:rPr>
                <w:sz w:val="20"/>
              </w:rPr>
            </w:pPr>
            <w:r>
              <w:rPr>
                <w:sz w:val="20"/>
              </w:rPr>
              <w:t>zákonem nebo s Pokyny OPŽP, příp. s dokumentem Zadávání VZ v OPŽP</w:t>
            </w:r>
          </w:p>
        </w:tc>
        <w:tc>
          <w:tcPr>
            <w:tcW w:w="3188" w:type="dxa"/>
            <w:tcBorders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201"/>
              <w:ind w:left="117"/>
              <w:rPr>
                <w:sz w:val="20"/>
              </w:rPr>
            </w:pPr>
            <w:r>
              <w:rPr>
                <w:sz w:val="20"/>
              </w:rPr>
              <w:t>a dále</w:t>
            </w:r>
          </w:p>
          <w:p w:rsidR="00DF1C16" w:rsidRDefault="00AE26AB">
            <w:pPr>
              <w:pStyle w:val="TableParagraph"/>
              <w:spacing w:before="147"/>
              <w:ind w:left="117"/>
              <w:rPr>
                <w:sz w:val="20"/>
              </w:rPr>
            </w:pPr>
            <w:r>
              <w:rPr>
                <w:sz w:val="20"/>
              </w:rPr>
              <w:t>100 % částky, o kterou byla</w:t>
            </w:r>
          </w:p>
          <w:p w:rsidR="00DF1C16" w:rsidRDefault="00AE26AB">
            <w:pPr>
              <w:pStyle w:val="TableParagraph"/>
              <w:spacing w:before="27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případně zvýšena cena veřejné zakázky</w:t>
            </w:r>
          </w:p>
        </w:tc>
      </w:tr>
      <w:tr w:rsidR="00DF1C16">
        <w:trPr>
          <w:trHeight w:val="2275"/>
        </w:trPr>
        <w:tc>
          <w:tcPr>
            <w:tcW w:w="4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94" w:right="80"/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Podstatného zúžení</w:t>
            </w:r>
          </w:p>
          <w:p w:rsidR="00DF1C16" w:rsidRDefault="00AE26AB">
            <w:pPr>
              <w:pStyle w:val="TableParagraph"/>
              <w:spacing w:before="27" w:line="264" w:lineRule="auto"/>
              <w:ind w:right="81"/>
              <w:rPr>
                <w:sz w:val="20"/>
              </w:rPr>
            </w:pPr>
            <w:r>
              <w:rPr>
                <w:sz w:val="20"/>
              </w:rPr>
              <w:t>rozsahu plnění veřejné zakázky</w:t>
            </w:r>
          </w:p>
        </w:tc>
        <w:tc>
          <w:tcPr>
            <w:tcW w:w="3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167"/>
              <w:rPr>
                <w:sz w:val="20"/>
              </w:rPr>
            </w:pPr>
            <w:r>
              <w:rPr>
                <w:sz w:val="20"/>
              </w:rPr>
              <w:t>Zadavatel umožnil podstatné zúžení rozsahu plnění veřejné zakázky</w:t>
            </w:r>
          </w:p>
          <w:p w:rsidR="00DF1C16" w:rsidRDefault="00AE26AB">
            <w:pPr>
              <w:pStyle w:val="TableParagraph"/>
              <w:spacing w:before="1" w:line="264" w:lineRule="auto"/>
              <w:ind w:right="290"/>
              <w:rPr>
                <w:sz w:val="20"/>
              </w:rPr>
            </w:pPr>
            <w:r>
              <w:rPr>
                <w:sz w:val="20"/>
              </w:rPr>
              <w:t>v rozporu se zákonem nebo s Pokyny OPŽP, příp. s dokumentem Zadávání VZ v OPŽP, přičemž toto zúžení mohlo ovlivnit výběr dodavatele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25 % z ceny veřejné zakázky</w:t>
            </w:r>
            <w:r>
              <w:rPr>
                <w:sz w:val="20"/>
              </w:rPr>
              <w:t xml:space="preserve"> po zúžení rozsahu plnění</w:t>
            </w:r>
          </w:p>
          <w:p w:rsidR="00DF1C16" w:rsidRDefault="00AE26AB">
            <w:pPr>
              <w:pStyle w:val="TableParagraph"/>
              <w:spacing w:before="121"/>
              <w:ind w:left="117"/>
              <w:rPr>
                <w:sz w:val="20"/>
              </w:rPr>
            </w:pPr>
            <w:r>
              <w:rPr>
                <w:sz w:val="20"/>
              </w:rPr>
              <w:t>a dále</w:t>
            </w:r>
          </w:p>
          <w:p w:rsidR="00DF1C16" w:rsidRDefault="00AE26AB">
            <w:pPr>
              <w:pStyle w:val="TableParagraph"/>
              <w:spacing w:before="147" w:line="264" w:lineRule="auto"/>
              <w:ind w:left="117" w:right="95"/>
              <w:rPr>
                <w:sz w:val="20"/>
              </w:rPr>
            </w:pPr>
            <w:r>
              <w:rPr>
                <w:sz w:val="20"/>
              </w:rPr>
              <w:t>100 % částky, o kterou byla snížena cena veřejné zakázky</w:t>
            </w:r>
          </w:p>
        </w:tc>
      </w:tr>
      <w:tr w:rsidR="00DF1C16">
        <w:trPr>
          <w:trHeight w:val="1103"/>
        </w:trPr>
        <w:tc>
          <w:tcPr>
            <w:tcW w:w="492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rPr>
                <w:sz w:val="20"/>
              </w:rPr>
            </w:pPr>
            <w:r>
              <w:rPr>
                <w:sz w:val="20"/>
              </w:rPr>
              <w:t>Neoprávněné zadání dodatečných</w:t>
            </w:r>
          </w:p>
          <w:p w:rsidR="00DF1C16" w:rsidRDefault="00AE26AB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stavebních prací,</w:t>
            </w:r>
          </w:p>
          <w:p w:rsidR="00DF1C16" w:rsidRDefault="00AE26AB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dodávek nebo služeb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right="357"/>
              <w:jc w:val="both"/>
              <w:rPr>
                <w:sz w:val="20"/>
              </w:rPr>
            </w:pPr>
            <w:r>
              <w:rPr>
                <w:sz w:val="20"/>
              </w:rPr>
              <w:t>Zadavatel zadal veřejnou zakázku, jejímž předmětem byly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dodatečné stavební práce, služby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</w:p>
          <w:p w:rsidR="00DF1C16" w:rsidRDefault="00AE26AB">
            <w:pPr>
              <w:pStyle w:val="TableParagraph"/>
              <w:spacing w:before="1" w:line="264" w:lineRule="auto"/>
              <w:rPr>
                <w:sz w:val="20"/>
              </w:rPr>
            </w:pPr>
            <w:r>
              <w:rPr>
                <w:sz w:val="20"/>
              </w:rPr>
              <w:t>dodávky, nebo umožnil podstatnou změnu závazku ze smlouvy na veřejnou zakázku vedoucí</w:t>
            </w:r>
          </w:p>
          <w:p w:rsidR="00DF1C16" w:rsidRDefault="00AE26AB">
            <w:pPr>
              <w:pStyle w:val="TableParagraph"/>
              <w:spacing w:before="0" w:line="264" w:lineRule="auto"/>
              <w:rPr>
                <w:sz w:val="20"/>
              </w:rPr>
            </w:pPr>
            <w:r>
              <w:rPr>
                <w:sz w:val="20"/>
              </w:rPr>
              <w:t>k provedení dodatečných stavebních prací, služeb nebo dodávek, aniž by pro to byly splněny podmínky dle</w:t>
            </w:r>
          </w:p>
          <w:p w:rsidR="00DF1C16" w:rsidRDefault="00AE26AB">
            <w:pPr>
              <w:pStyle w:val="TableParagraph"/>
              <w:spacing w:before="0" w:line="264" w:lineRule="auto"/>
              <w:ind w:right="465"/>
              <w:rPr>
                <w:sz w:val="20"/>
              </w:rPr>
            </w:pPr>
            <w:r>
              <w:rPr>
                <w:sz w:val="20"/>
              </w:rPr>
              <w:t>zákona nebo Pokynů OPŽP, příp. dokumentu Zadávání VZ v OPŽP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100 % hodnoty dodatečných stavebních prací, dodávek nebo služeb</w:t>
            </w:r>
          </w:p>
        </w:tc>
      </w:tr>
      <w:tr w:rsidR="00DF1C16">
        <w:trPr>
          <w:trHeight w:val="2565"/>
        </w:trPr>
        <w:tc>
          <w:tcPr>
            <w:tcW w:w="492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25 % hodnoty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dodatečných</w:t>
            </w:r>
          </w:p>
          <w:p w:rsidR="00DF1C16" w:rsidRDefault="00AE26AB">
            <w:pPr>
              <w:pStyle w:val="TableParagraph"/>
              <w:spacing w:before="27" w:line="264" w:lineRule="auto"/>
              <w:ind w:left="117" w:right="260"/>
              <w:rPr>
                <w:sz w:val="20"/>
              </w:rPr>
            </w:pPr>
            <w:r>
              <w:rPr>
                <w:sz w:val="20"/>
              </w:rPr>
              <w:t>stavebních prací, dodávek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nebo služeb, pokud jejich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celková</w:t>
            </w:r>
          </w:p>
          <w:p w:rsidR="00DF1C16" w:rsidRDefault="00AE26AB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hodnota nepřesahuje 50 %</w:t>
            </w:r>
          </w:p>
          <w:p w:rsidR="00DF1C16" w:rsidRDefault="00AE26AB">
            <w:pPr>
              <w:pStyle w:val="TableParagraph"/>
              <w:spacing w:before="26" w:line="264" w:lineRule="auto"/>
              <w:ind w:left="117" w:right="82"/>
              <w:rPr>
                <w:sz w:val="20"/>
              </w:rPr>
            </w:pPr>
            <w:r>
              <w:rPr>
                <w:sz w:val="20"/>
              </w:rPr>
              <w:t>hodnoty původní veřejné zakázky a zároveň nedosahuje finančních limitů pro nadlimitní veřejné</w:t>
            </w:r>
          </w:p>
          <w:p w:rsidR="00DF1C16" w:rsidRDefault="00AE26AB">
            <w:pPr>
              <w:pStyle w:val="TableParagraph"/>
              <w:spacing w:before="0" w:line="265" w:lineRule="exact"/>
              <w:ind w:left="117"/>
              <w:rPr>
                <w:sz w:val="20"/>
              </w:rPr>
            </w:pPr>
            <w:r>
              <w:rPr>
                <w:sz w:val="20"/>
              </w:rPr>
              <w:t>zakázky</w:t>
            </w:r>
          </w:p>
        </w:tc>
      </w:tr>
      <w:tr w:rsidR="00DF1C16">
        <w:trPr>
          <w:trHeight w:val="508"/>
        </w:trPr>
        <w:tc>
          <w:tcPr>
            <w:tcW w:w="492" w:type="dxa"/>
            <w:vMerge w:val="restart"/>
            <w:tcBorders>
              <w:top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4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2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rPr>
                <w:sz w:val="20"/>
              </w:rPr>
            </w:pPr>
            <w:r>
              <w:rPr>
                <w:sz w:val="20"/>
              </w:rPr>
              <w:t>Jiné porušení</w:t>
            </w:r>
          </w:p>
        </w:tc>
        <w:tc>
          <w:tcPr>
            <w:tcW w:w="34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F1C16" w:rsidRDefault="00AE26AB">
            <w:pPr>
              <w:pStyle w:val="TableParagraph"/>
              <w:spacing w:before="108" w:line="261" w:lineRule="auto"/>
              <w:rPr>
                <w:sz w:val="20"/>
              </w:rPr>
            </w:pPr>
            <w:r>
              <w:rPr>
                <w:sz w:val="20"/>
              </w:rPr>
              <w:t>Zadavatel se dopustil jiného než výše uvedeného porušení, které mělo</w:t>
            </w:r>
          </w:p>
          <w:p w:rsidR="00DF1C16" w:rsidRDefault="00AE26AB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nebo mohlo mít vliv na výběr</w:t>
            </w:r>
          </w:p>
          <w:p w:rsidR="00DF1C16" w:rsidRDefault="00AE26AB">
            <w:pPr>
              <w:pStyle w:val="TableParagraph"/>
              <w:spacing w:before="27" w:line="264" w:lineRule="auto"/>
              <w:ind w:right="242"/>
              <w:rPr>
                <w:sz w:val="20"/>
              </w:rPr>
            </w:pPr>
            <w:r>
              <w:rPr>
                <w:sz w:val="20"/>
              </w:rPr>
              <w:t>dodavatele, nebo které znemožnilo ověření souladu jeho postupu</w:t>
            </w:r>
          </w:p>
          <w:p w:rsidR="00DF1C16" w:rsidRDefault="00AE26AB">
            <w:pPr>
              <w:pStyle w:val="TableParagraph"/>
              <w:spacing w:before="0" w:line="264" w:lineRule="auto"/>
              <w:ind w:right="379"/>
              <w:rPr>
                <w:sz w:val="20"/>
              </w:rPr>
            </w:pPr>
            <w:r>
              <w:rPr>
                <w:sz w:val="20"/>
              </w:rPr>
              <w:t>s článkem IV bodem 2) písm. j) Smlouvy, včetně neuchování dokumentace o veřejné zakázce nebo nezajištění nezbytné auditní stopy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1C16" w:rsidRDefault="00AE26AB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 w:rsidR="00DF1C16">
        <w:trPr>
          <w:trHeight w:val="2614"/>
        </w:trPr>
        <w:tc>
          <w:tcPr>
            <w:tcW w:w="492" w:type="dxa"/>
            <w:vMerge/>
            <w:tcBorders>
              <w:top w:val="nil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DF1C16" w:rsidRDefault="00DF1C16">
            <w:pPr>
              <w:rPr>
                <w:sz w:val="2"/>
                <w:szCs w:val="2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</w:tcBorders>
          </w:tcPr>
          <w:p w:rsidR="00DF1C16" w:rsidRDefault="00AE26AB">
            <w:pPr>
              <w:pStyle w:val="TableParagraph"/>
              <w:spacing w:before="93" w:line="264" w:lineRule="auto"/>
              <w:ind w:left="117"/>
              <w:rPr>
                <w:sz w:val="20"/>
              </w:rPr>
            </w:pPr>
            <w:r>
              <w:rPr>
                <w:sz w:val="20"/>
              </w:rPr>
              <w:t>2 % nebo 5 % nebo 10 % dle závažnosti porušení</w:t>
            </w:r>
          </w:p>
        </w:tc>
      </w:tr>
    </w:tbl>
    <w:p w:rsidR="00AE26AB" w:rsidRDefault="00AE26AB"/>
    <w:sectPr w:rsidR="00AE26AB">
      <w:pgSz w:w="12240" w:h="15840"/>
      <w:pgMar w:top="1140" w:right="1020" w:bottom="1580" w:left="1460" w:header="0" w:footer="1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6AB" w:rsidRDefault="00AE26AB">
      <w:r>
        <w:separator/>
      </w:r>
    </w:p>
  </w:endnote>
  <w:endnote w:type="continuationSeparator" w:id="0">
    <w:p w:rsidR="00AE26AB" w:rsidRDefault="00AE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C16" w:rsidRDefault="00AE26AB">
    <w:pPr>
      <w:pStyle w:val="Zkladntext"/>
      <w:spacing w:line="14" w:lineRule="auto"/>
      <w:ind w:left="0"/>
      <w:jc w:val="left"/>
      <w:rPr>
        <w:sz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1.8pt;margin-top:708pt;width:16.8pt;height:15.25pt;z-index:-251658752;mso-position-horizontal-relative:page;mso-position-vertical-relative:page" filled="f" stroked="f">
          <v:textbox inset="0,0,0,0">
            <w:txbxContent>
              <w:p w:rsidR="00DF1C16" w:rsidRDefault="00AE26AB">
                <w:pPr>
                  <w:pStyle w:val="Zkladntext"/>
                  <w:spacing w:before="19"/>
                  <w:ind w:left="60"/>
                  <w:jc w:val="left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B10482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6AB" w:rsidRDefault="00AE26AB">
      <w:r>
        <w:separator/>
      </w:r>
    </w:p>
  </w:footnote>
  <w:footnote w:type="continuationSeparator" w:id="0">
    <w:p w:rsidR="00AE26AB" w:rsidRDefault="00AE2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EAC"/>
    <w:multiLevelType w:val="hybridMultilevel"/>
    <w:tmpl w:val="5D002980"/>
    <w:lvl w:ilvl="0" w:tplc="7C0C481C">
      <w:start w:val="1"/>
      <w:numFmt w:val="decimal"/>
      <w:lvlText w:val="%1)"/>
      <w:lvlJc w:val="left"/>
      <w:pPr>
        <w:ind w:left="525" w:hanging="284"/>
        <w:jc w:val="righ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B1F8E59A">
      <w:start w:val="1"/>
      <w:numFmt w:val="lowerLetter"/>
      <w:lvlText w:val="%2)"/>
      <w:lvlJc w:val="left"/>
      <w:pPr>
        <w:ind w:left="950" w:hanging="360"/>
        <w:jc w:val="left"/>
      </w:pPr>
      <w:rPr>
        <w:rFonts w:ascii="Segoe UI" w:eastAsia="Segoe UI" w:hAnsi="Segoe UI" w:cs="Segoe UI" w:hint="default"/>
        <w:spacing w:val="-1"/>
        <w:w w:val="99"/>
        <w:sz w:val="20"/>
        <w:szCs w:val="20"/>
        <w:lang w:val="cs-CZ" w:eastAsia="cs-CZ" w:bidi="cs-CZ"/>
      </w:rPr>
    </w:lvl>
    <w:lvl w:ilvl="2" w:tplc="016274EC">
      <w:numFmt w:val="bullet"/>
      <w:lvlText w:val="•"/>
      <w:lvlJc w:val="left"/>
      <w:pPr>
        <w:ind w:left="1937" w:hanging="360"/>
      </w:pPr>
      <w:rPr>
        <w:rFonts w:hint="default"/>
        <w:lang w:val="cs-CZ" w:eastAsia="cs-CZ" w:bidi="cs-CZ"/>
      </w:rPr>
    </w:lvl>
    <w:lvl w:ilvl="3" w:tplc="20D4EBE6">
      <w:numFmt w:val="bullet"/>
      <w:lvlText w:val="•"/>
      <w:lvlJc w:val="left"/>
      <w:pPr>
        <w:ind w:left="2915" w:hanging="360"/>
      </w:pPr>
      <w:rPr>
        <w:rFonts w:hint="default"/>
        <w:lang w:val="cs-CZ" w:eastAsia="cs-CZ" w:bidi="cs-CZ"/>
      </w:rPr>
    </w:lvl>
    <w:lvl w:ilvl="4" w:tplc="717C0C2A">
      <w:numFmt w:val="bullet"/>
      <w:lvlText w:val="•"/>
      <w:lvlJc w:val="left"/>
      <w:pPr>
        <w:ind w:left="3893" w:hanging="360"/>
      </w:pPr>
      <w:rPr>
        <w:rFonts w:hint="default"/>
        <w:lang w:val="cs-CZ" w:eastAsia="cs-CZ" w:bidi="cs-CZ"/>
      </w:rPr>
    </w:lvl>
    <w:lvl w:ilvl="5" w:tplc="29E0F67A">
      <w:numFmt w:val="bullet"/>
      <w:lvlText w:val="•"/>
      <w:lvlJc w:val="left"/>
      <w:pPr>
        <w:ind w:left="4871" w:hanging="360"/>
      </w:pPr>
      <w:rPr>
        <w:rFonts w:hint="default"/>
        <w:lang w:val="cs-CZ" w:eastAsia="cs-CZ" w:bidi="cs-CZ"/>
      </w:rPr>
    </w:lvl>
    <w:lvl w:ilvl="6" w:tplc="7018D80E">
      <w:numFmt w:val="bullet"/>
      <w:lvlText w:val="•"/>
      <w:lvlJc w:val="left"/>
      <w:pPr>
        <w:ind w:left="5848" w:hanging="360"/>
      </w:pPr>
      <w:rPr>
        <w:rFonts w:hint="default"/>
        <w:lang w:val="cs-CZ" w:eastAsia="cs-CZ" w:bidi="cs-CZ"/>
      </w:rPr>
    </w:lvl>
    <w:lvl w:ilvl="7" w:tplc="116A7586">
      <w:numFmt w:val="bullet"/>
      <w:lvlText w:val="•"/>
      <w:lvlJc w:val="left"/>
      <w:pPr>
        <w:ind w:left="6826" w:hanging="360"/>
      </w:pPr>
      <w:rPr>
        <w:rFonts w:hint="default"/>
        <w:lang w:val="cs-CZ" w:eastAsia="cs-CZ" w:bidi="cs-CZ"/>
      </w:rPr>
    </w:lvl>
    <w:lvl w:ilvl="8" w:tplc="F0860192">
      <w:numFmt w:val="bullet"/>
      <w:lvlText w:val="•"/>
      <w:lvlJc w:val="left"/>
      <w:pPr>
        <w:ind w:left="7804" w:hanging="360"/>
      </w:pPr>
      <w:rPr>
        <w:rFonts w:hint="default"/>
        <w:lang w:val="cs-CZ" w:eastAsia="cs-CZ" w:bidi="cs-CZ"/>
      </w:rPr>
    </w:lvl>
  </w:abstractNum>
  <w:abstractNum w:abstractNumId="1" w15:restartNumberingAfterBreak="0">
    <w:nsid w:val="37F276E3"/>
    <w:multiLevelType w:val="hybridMultilevel"/>
    <w:tmpl w:val="5E927516"/>
    <w:lvl w:ilvl="0" w:tplc="5F049ADC">
      <w:start w:val="1"/>
      <w:numFmt w:val="decimal"/>
      <w:lvlText w:val="%1)"/>
      <w:lvlJc w:val="left"/>
      <w:pPr>
        <w:ind w:left="525" w:hanging="284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5D6C862C">
      <w:numFmt w:val="bullet"/>
      <w:lvlText w:val="•"/>
      <w:lvlJc w:val="left"/>
      <w:pPr>
        <w:ind w:left="1444" w:hanging="284"/>
      </w:pPr>
      <w:rPr>
        <w:rFonts w:hint="default"/>
        <w:lang w:val="cs-CZ" w:eastAsia="cs-CZ" w:bidi="cs-CZ"/>
      </w:rPr>
    </w:lvl>
    <w:lvl w:ilvl="2" w:tplc="AF14099A">
      <w:numFmt w:val="bullet"/>
      <w:lvlText w:val="•"/>
      <w:lvlJc w:val="left"/>
      <w:pPr>
        <w:ind w:left="2368" w:hanging="284"/>
      </w:pPr>
      <w:rPr>
        <w:rFonts w:hint="default"/>
        <w:lang w:val="cs-CZ" w:eastAsia="cs-CZ" w:bidi="cs-CZ"/>
      </w:rPr>
    </w:lvl>
    <w:lvl w:ilvl="3" w:tplc="D7D6CF5A">
      <w:numFmt w:val="bullet"/>
      <w:lvlText w:val="•"/>
      <w:lvlJc w:val="left"/>
      <w:pPr>
        <w:ind w:left="3292" w:hanging="284"/>
      </w:pPr>
      <w:rPr>
        <w:rFonts w:hint="default"/>
        <w:lang w:val="cs-CZ" w:eastAsia="cs-CZ" w:bidi="cs-CZ"/>
      </w:rPr>
    </w:lvl>
    <w:lvl w:ilvl="4" w:tplc="41BE6E52">
      <w:numFmt w:val="bullet"/>
      <w:lvlText w:val="•"/>
      <w:lvlJc w:val="left"/>
      <w:pPr>
        <w:ind w:left="4216" w:hanging="284"/>
      </w:pPr>
      <w:rPr>
        <w:rFonts w:hint="default"/>
        <w:lang w:val="cs-CZ" w:eastAsia="cs-CZ" w:bidi="cs-CZ"/>
      </w:rPr>
    </w:lvl>
    <w:lvl w:ilvl="5" w:tplc="DDD0F4F6">
      <w:numFmt w:val="bullet"/>
      <w:lvlText w:val="•"/>
      <w:lvlJc w:val="left"/>
      <w:pPr>
        <w:ind w:left="5140" w:hanging="284"/>
      </w:pPr>
      <w:rPr>
        <w:rFonts w:hint="default"/>
        <w:lang w:val="cs-CZ" w:eastAsia="cs-CZ" w:bidi="cs-CZ"/>
      </w:rPr>
    </w:lvl>
    <w:lvl w:ilvl="6" w:tplc="1780DB6C">
      <w:numFmt w:val="bullet"/>
      <w:lvlText w:val="•"/>
      <w:lvlJc w:val="left"/>
      <w:pPr>
        <w:ind w:left="6064" w:hanging="284"/>
      </w:pPr>
      <w:rPr>
        <w:rFonts w:hint="default"/>
        <w:lang w:val="cs-CZ" w:eastAsia="cs-CZ" w:bidi="cs-CZ"/>
      </w:rPr>
    </w:lvl>
    <w:lvl w:ilvl="7" w:tplc="451A7B4E">
      <w:numFmt w:val="bullet"/>
      <w:lvlText w:val="•"/>
      <w:lvlJc w:val="left"/>
      <w:pPr>
        <w:ind w:left="6988" w:hanging="284"/>
      </w:pPr>
      <w:rPr>
        <w:rFonts w:hint="default"/>
        <w:lang w:val="cs-CZ" w:eastAsia="cs-CZ" w:bidi="cs-CZ"/>
      </w:rPr>
    </w:lvl>
    <w:lvl w:ilvl="8" w:tplc="C58CFD2A">
      <w:numFmt w:val="bullet"/>
      <w:lvlText w:val="•"/>
      <w:lvlJc w:val="left"/>
      <w:pPr>
        <w:ind w:left="7912" w:hanging="284"/>
      </w:pPr>
      <w:rPr>
        <w:rFonts w:hint="default"/>
        <w:lang w:val="cs-CZ" w:eastAsia="cs-CZ" w:bidi="cs-CZ"/>
      </w:rPr>
    </w:lvl>
  </w:abstractNum>
  <w:abstractNum w:abstractNumId="2" w15:restartNumberingAfterBreak="0">
    <w:nsid w:val="3E0A4C20"/>
    <w:multiLevelType w:val="hybridMultilevel"/>
    <w:tmpl w:val="6770D24C"/>
    <w:lvl w:ilvl="0" w:tplc="6B2A8112">
      <w:start w:val="1"/>
      <w:numFmt w:val="decimal"/>
      <w:lvlText w:val="%1)"/>
      <w:lvlJc w:val="left"/>
      <w:pPr>
        <w:ind w:left="525" w:hanging="284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FAF678D4">
      <w:numFmt w:val="bullet"/>
      <w:lvlText w:val="•"/>
      <w:lvlJc w:val="left"/>
      <w:pPr>
        <w:ind w:left="1444" w:hanging="284"/>
      </w:pPr>
      <w:rPr>
        <w:rFonts w:hint="default"/>
        <w:lang w:val="cs-CZ" w:eastAsia="cs-CZ" w:bidi="cs-CZ"/>
      </w:rPr>
    </w:lvl>
    <w:lvl w:ilvl="2" w:tplc="F360643C">
      <w:numFmt w:val="bullet"/>
      <w:lvlText w:val="•"/>
      <w:lvlJc w:val="left"/>
      <w:pPr>
        <w:ind w:left="2368" w:hanging="284"/>
      </w:pPr>
      <w:rPr>
        <w:rFonts w:hint="default"/>
        <w:lang w:val="cs-CZ" w:eastAsia="cs-CZ" w:bidi="cs-CZ"/>
      </w:rPr>
    </w:lvl>
    <w:lvl w:ilvl="3" w:tplc="E01065CE">
      <w:numFmt w:val="bullet"/>
      <w:lvlText w:val="•"/>
      <w:lvlJc w:val="left"/>
      <w:pPr>
        <w:ind w:left="3292" w:hanging="284"/>
      </w:pPr>
      <w:rPr>
        <w:rFonts w:hint="default"/>
        <w:lang w:val="cs-CZ" w:eastAsia="cs-CZ" w:bidi="cs-CZ"/>
      </w:rPr>
    </w:lvl>
    <w:lvl w:ilvl="4" w:tplc="2F507DF8">
      <w:numFmt w:val="bullet"/>
      <w:lvlText w:val="•"/>
      <w:lvlJc w:val="left"/>
      <w:pPr>
        <w:ind w:left="4216" w:hanging="284"/>
      </w:pPr>
      <w:rPr>
        <w:rFonts w:hint="default"/>
        <w:lang w:val="cs-CZ" w:eastAsia="cs-CZ" w:bidi="cs-CZ"/>
      </w:rPr>
    </w:lvl>
    <w:lvl w:ilvl="5" w:tplc="F9B8CCC2">
      <w:numFmt w:val="bullet"/>
      <w:lvlText w:val="•"/>
      <w:lvlJc w:val="left"/>
      <w:pPr>
        <w:ind w:left="5140" w:hanging="284"/>
      </w:pPr>
      <w:rPr>
        <w:rFonts w:hint="default"/>
        <w:lang w:val="cs-CZ" w:eastAsia="cs-CZ" w:bidi="cs-CZ"/>
      </w:rPr>
    </w:lvl>
    <w:lvl w:ilvl="6" w:tplc="D720A06A">
      <w:numFmt w:val="bullet"/>
      <w:lvlText w:val="•"/>
      <w:lvlJc w:val="left"/>
      <w:pPr>
        <w:ind w:left="6064" w:hanging="284"/>
      </w:pPr>
      <w:rPr>
        <w:rFonts w:hint="default"/>
        <w:lang w:val="cs-CZ" w:eastAsia="cs-CZ" w:bidi="cs-CZ"/>
      </w:rPr>
    </w:lvl>
    <w:lvl w:ilvl="7" w:tplc="8D8A662C">
      <w:numFmt w:val="bullet"/>
      <w:lvlText w:val="•"/>
      <w:lvlJc w:val="left"/>
      <w:pPr>
        <w:ind w:left="6988" w:hanging="284"/>
      </w:pPr>
      <w:rPr>
        <w:rFonts w:hint="default"/>
        <w:lang w:val="cs-CZ" w:eastAsia="cs-CZ" w:bidi="cs-CZ"/>
      </w:rPr>
    </w:lvl>
    <w:lvl w:ilvl="8" w:tplc="36607574">
      <w:numFmt w:val="bullet"/>
      <w:lvlText w:val="•"/>
      <w:lvlJc w:val="left"/>
      <w:pPr>
        <w:ind w:left="7912" w:hanging="284"/>
      </w:pPr>
      <w:rPr>
        <w:rFonts w:hint="default"/>
        <w:lang w:val="cs-CZ" w:eastAsia="cs-CZ" w:bidi="cs-CZ"/>
      </w:rPr>
    </w:lvl>
  </w:abstractNum>
  <w:abstractNum w:abstractNumId="3" w15:restartNumberingAfterBreak="0">
    <w:nsid w:val="477C1481"/>
    <w:multiLevelType w:val="hybridMultilevel"/>
    <w:tmpl w:val="C0308166"/>
    <w:lvl w:ilvl="0" w:tplc="A5C03E1A">
      <w:start w:val="1"/>
      <w:numFmt w:val="decimal"/>
      <w:lvlText w:val="%1)"/>
      <w:lvlJc w:val="left"/>
      <w:pPr>
        <w:ind w:left="525" w:hanging="284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F0E07BF6">
      <w:numFmt w:val="bullet"/>
      <w:lvlText w:val="•"/>
      <w:lvlJc w:val="left"/>
      <w:pPr>
        <w:ind w:left="1444" w:hanging="284"/>
      </w:pPr>
      <w:rPr>
        <w:rFonts w:hint="default"/>
        <w:lang w:val="cs-CZ" w:eastAsia="cs-CZ" w:bidi="cs-CZ"/>
      </w:rPr>
    </w:lvl>
    <w:lvl w:ilvl="2" w:tplc="FC145240">
      <w:numFmt w:val="bullet"/>
      <w:lvlText w:val="•"/>
      <w:lvlJc w:val="left"/>
      <w:pPr>
        <w:ind w:left="2368" w:hanging="284"/>
      </w:pPr>
      <w:rPr>
        <w:rFonts w:hint="default"/>
        <w:lang w:val="cs-CZ" w:eastAsia="cs-CZ" w:bidi="cs-CZ"/>
      </w:rPr>
    </w:lvl>
    <w:lvl w:ilvl="3" w:tplc="B3487C66">
      <w:numFmt w:val="bullet"/>
      <w:lvlText w:val="•"/>
      <w:lvlJc w:val="left"/>
      <w:pPr>
        <w:ind w:left="3292" w:hanging="284"/>
      </w:pPr>
      <w:rPr>
        <w:rFonts w:hint="default"/>
        <w:lang w:val="cs-CZ" w:eastAsia="cs-CZ" w:bidi="cs-CZ"/>
      </w:rPr>
    </w:lvl>
    <w:lvl w:ilvl="4" w:tplc="B4EC2F6A">
      <w:numFmt w:val="bullet"/>
      <w:lvlText w:val="•"/>
      <w:lvlJc w:val="left"/>
      <w:pPr>
        <w:ind w:left="4216" w:hanging="284"/>
      </w:pPr>
      <w:rPr>
        <w:rFonts w:hint="default"/>
        <w:lang w:val="cs-CZ" w:eastAsia="cs-CZ" w:bidi="cs-CZ"/>
      </w:rPr>
    </w:lvl>
    <w:lvl w:ilvl="5" w:tplc="73D88C10">
      <w:numFmt w:val="bullet"/>
      <w:lvlText w:val="•"/>
      <w:lvlJc w:val="left"/>
      <w:pPr>
        <w:ind w:left="5140" w:hanging="284"/>
      </w:pPr>
      <w:rPr>
        <w:rFonts w:hint="default"/>
        <w:lang w:val="cs-CZ" w:eastAsia="cs-CZ" w:bidi="cs-CZ"/>
      </w:rPr>
    </w:lvl>
    <w:lvl w:ilvl="6" w:tplc="E8A0C10E">
      <w:numFmt w:val="bullet"/>
      <w:lvlText w:val="•"/>
      <w:lvlJc w:val="left"/>
      <w:pPr>
        <w:ind w:left="6064" w:hanging="284"/>
      </w:pPr>
      <w:rPr>
        <w:rFonts w:hint="default"/>
        <w:lang w:val="cs-CZ" w:eastAsia="cs-CZ" w:bidi="cs-CZ"/>
      </w:rPr>
    </w:lvl>
    <w:lvl w:ilvl="7" w:tplc="CF269088">
      <w:numFmt w:val="bullet"/>
      <w:lvlText w:val="•"/>
      <w:lvlJc w:val="left"/>
      <w:pPr>
        <w:ind w:left="6988" w:hanging="284"/>
      </w:pPr>
      <w:rPr>
        <w:rFonts w:hint="default"/>
        <w:lang w:val="cs-CZ" w:eastAsia="cs-CZ" w:bidi="cs-CZ"/>
      </w:rPr>
    </w:lvl>
    <w:lvl w:ilvl="8" w:tplc="23AA7DCE">
      <w:numFmt w:val="bullet"/>
      <w:lvlText w:val="•"/>
      <w:lvlJc w:val="left"/>
      <w:pPr>
        <w:ind w:left="7912" w:hanging="284"/>
      </w:pPr>
      <w:rPr>
        <w:rFonts w:hint="default"/>
        <w:lang w:val="cs-CZ" w:eastAsia="cs-CZ" w:bidi="cs-CZ"/>
      </w:rPr>
    </w:lvl>
  </w:abstractNum>
  <w:abstractNum w:abstractNumId="4" w15:restartNumberingAfterBreak="0">
    <w:nsid w:val="5927041E"/>
    <w:multiLevelType w:val="hybridMultilevel"/>
    <w:tmpl w:val="2160A580"/>
    <w:lvl w:ilvl="0" w:tplc="CFA457F4">
      <w:start w:val="1"/>
      <w:numFmt w:val="decimal"/>
      <w:lvlText w:val="%1)"/>
      <w:lvlJc w:val="left"/>
      <w:pPr>
        <w:ind w:left="525" w:hanging="284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9E18876E">
      <w:numFmt w:val="bullet"/>
      <w:lvlText w:val="•"/>
      <w:lvlJc w:val="left"/>
      <w:pPr>
        <w:ind w:left="1444" w:hanging="284"/>
      </w:pPr>
      <w:rPr>
        <w:rFonts w:hint="default"/>
        <w:lang w:val="cs-CZ" w:eastAsia="cs-CZ" w:bidi="cs-CZ"/>
      </w:rPr>
    </w:lvl>
    <w:lvl w:ilvl="2" w:tplc="186897B6">
      <w:numFmt w:val="bullet"/>
      <w:lvlText w:val="•"/>
      <w:lvlJc w:val="left"/>
      <w:pPr>
        <w:ind w:left="2368" w:hanging="284"/>
      </w:pPr>
      <w:rPr>
        <w:rFonts w:hint="default"/>
        <w:lang w:val="cs-CZ" w:eastAsia="cs-CZ" w:bidi="cs-CZ"/>
      </w:rPr>
    </w:lvl>
    <w:lvl w:ilvl="3" w:tplc="BD363942">
      <w:numFmt w:val="bullet"/>
      <w:lvlText w:val="•"/>
      <w:lvlJc w:val="left"/>
      <w:pPr>
        <w:ind w:left="3292" w:hanging="284"/>
      </w:pPr>
      <w:rPr>
        <w:rFonts w:hint="default"/>
        <w:lang w:val="cs-CZ" w:eastAsia="cs-CZ" w:bidi="cs-CZ"/>
      </w:rPr>
    </w:lvl>
    <w:lvl w:ilvl="4" w:tplc="F536B496">
      <w:numFmt w:val="bullet"/>
      <w:lvlText w:val="•"/>
      <w:lvlJc w:val="left"/>
      <w:pPr>
        <w:ind w:left="4216" w:hanging="284"/>
      </w:pPr>
      <w:rPr>
        <w:rFonts w:hint="default"/>
        <w:lang w:val="cs-CZ" w:eastAsia="cs-CZ" w:bidi="cs-CZ"/>
      </w:rPr>
    </w:lvl>
    <w:lvl w:ilvl="5" w:tplc="4D38CA0A">
      <w:numFmt w:val="bullet"/>
      <w:lvlText w:val="•"/>
      <w:lvlJc w:val="left"/>
      <w:pPr>
        <w:ind w:left="5140" w:hanging="284"/>
      </w:pPr>
      <w:rPr>
        <w:rFonts w:hint="default"/>
        <w:lang w:val="cs-CZ" w:eastAsia="cs-CZ" w:bidi="cs-CZ"/>
      </w:rPr>
    </w:lvl>
    <w:lvl w:ilvl="6" w:tplc="5A8647F8">
      <w:numFmt w:val="bullet"/>
      <w:lvlText w:val="•"/>
      <w:lvlJc w:val="left"/>
      <w:pPr>
        <w:ind w:left="6064" w:hanging="284"/>
      </w:pPr>
      <w:rPr>
        <w:rFonts w:hint="default"/>
        <w:lang w:val="cs-CZ" w:eastAsia="cs-CZ" w:bidi="cs-CZ"/>
      </w:rPr>
    </w:lvl>
    <w:lvl w:ilvl="7" w:tplc="5C1AA6E6">
      <w:numFmt w:val="bullet"/>
      <w:lvlText w:val="•"/>
      <w:lvlJc w:val="left"/>
      <w:pPr>
        <w:ind w:left="6988" w:hanging="284"/>
      </w:pPr>
      <w:rPr>
        <w:rFonts w:hint="default"/>
        <w:lang w:val="cs-CZ" w:eastAsia="cs-CZ" w:bidi="cs-CZ"/>
      </w:rPr>
    </w:lvl>
    <w:lvl w:ilvl="8" w:tplc="55F04AB8">
      <w:numFmt w:val="bullet"/>
      <w:lvlText w:val="•"/>
      <w:lvlJc w:val="left"/>
      <w:pPr>
        <w:ind w:left="7912" w:hanging="284"/>
      </w:pPr>
      <w:rPr>
        <w:rFonts w:hint="default"/>
        <w:lang w:val="cs-CZ" w:eastAsia="cs-CZ" w:bidi="cs-CZ"/>
      </w:rPr>
    </w:lvl>
  </w:abstractNum>
  <w:abstractNum w:abstractNumId="5" w15:restartNumberingAfterBreak="0">
    <w:nsid w:val="643C2C43"/>
    <w:multiLevelType w:val="hybridMultilevel"/>
    <w:tmpl w:val="7FC8994C"/>
    <w:lvl w:ilvl="0" w:tplc="A628E180">
      <w:start w:val="1"/>
      <w:numFmt w:val="decimal"/>
      <w:lvlText w:val="%1)"/>
      <w:lvlJc w:val="left"/>
      <w:pPr>
        <w:ind w:left="525" w:hanging="284"/>
        <w:jc w:val="left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1" w:tplc="9D36A8E2">
      <w:start w:val="1"/>
      <w:numFmt w:val="lowerLetter"/>
      <w:lvlText w:val="%2)"/>
      <w:lvlJc w:val="left"/>
      <w:pPr>
        <w:ind w:left="808" w:hanging="284"/>
        <w:jc w:val="left"/>
      </w:pPr>
      <w:rPr>
        <w:rFonts w:ascii="Segoe UI" w:eastAsia="Segoe UI" w:hAnsi="Segoe UI" w:cs="Segoe UI" w:hint="default"/>
        <w:spacing w:val="-1"/>
        <w:w w:val="99"/>
        <w:sz w:val="20"/>
        <w:szCs w:val="20"/>
        <w:lang w:val="cs-CZ" w:eastAsia="cs-CZ" w:bidi="cs-CZ"/>
      </w:rPr>
    </w:lvl>
    <w:lvl w:ilvl="2" w:tplc="514E836C">
      <w:numFmt w:val="bullet"/>
      <w:lvlText w:val="-"/>
      <w:lvlJc w:val="left"/>
      <w:pPr>
        <w:ind w:left="923" w:hanging="286"/>
      </w:pPr>
      <w:rPr>
        <w:rFonts w:ascii="Segoe UI" w:eastAsia="Segoe UI" w:hAnsi="Segoe UI" w:cs="Segoe UI" w:hint="default"/>
        <w:w w:val="99"/>
        <w:sz w:val="20"/>
        <w:szCs w:val="20"/>
        <w:lang w:val="cs-CZ" w:eastAsia="cs-CZ" w:bidi="cs-CZ"/>
      </w:rPr>
    </w:lvl>
    <w:lvl w:ilvl="3" w:tplc="4E489F9C">
      <w:numFmt w:val="bullet"/>
      <w:lvlText w:val="•"/>
      <w:lvlJc w:val="left"/>
      <w:pPr>
        <w:ind w:left="2025" w:hanging="286"/>
      </w:pPr>
      <w:rPr>
        <w:rFonts w:hint="default"/>
        <w:lang w:val="cs-CZ" w:eastAsia="cs-CZ" w:bidi="cs-CZ"/>
      </w:rPr>
    </w:lvl>
    <w:lvl w:ilvl="4" w:tplc="9CBC46E6">
      <w:numFmt w:val="bullet"/>
      <w:lvlText w:val="•"/>
      <w:lvlJc w:val="left"/>
      <w:pPr>
        <w:ind w:left="3130" w:hanging="286"/>
      </w:pPr>
      <w:rPr>
        <w:rFonts w:hint="default"/>
        <w:lang w:val="cs-CZ" w:eastAsia="cs-CZ" w:bidi="cs-CZ"/>
      </w:rPr>
    </w:lvl>
    <w:lvl w:ilvl="5" w:tplc="3F040C42">
      <w:numFmt w:val="bullet"/>
      <w:lvlText w:val="•"/>
      <w:lvlJc w:val="left"/>
      <w:pPr>
        <w:ind w:left="4235" w:hanging="286"/>
      </w:pPr>
      <w:rPr>
        <w:rFonts w:hint="default"/>
        <w:lang w:val="cs-CZ" w:eastAsia="cs-CZ" w:bidi="cs-CZ"/>
      </w:rPr>
    </w:lvl>
    <w:lvl w:ilvl="6" w:tplc="7EE80FDC">
      <w:numFmt w:val="bullet"/>
      <w:lvlText w:val="•"/>
      <w:lvlJc w:val="left"/>
      <w:pPr>
        <w:ind w:left="5340" w:hanging="286"/>
      </w:pPr>
      <w:rPr>
        <w:rFonts w:hint="default"/>
        <w:lang w:val="cs-CZ" w:eastAsia="cs-CZ" w:bidi="cs-CZ"/>
      </w:rPr>
    </w:lvl>
    <w:lvl w:ilvl="7" w:tplc="CD26C628">
      <w:numFmt w:val="bullet"/>
      <w:lvlText w:val="•"/>
      <w:lvlJc w:val="left"/>
      <w:pPr>
        <w:ind w:left="6445" w:hanging="286"/>
      </w:pPr>
      <w:rPr>
        <w:rFonts w:hint="default"/>
        <w:lang w:val="cs-CZ" w:eastAsia="cs-CZ" w:bidi="cs-CZ"/>
      </w:rPr>
    </w:lvl>
    <w:lvl w:ilvl="8" w:tplc="5F20EC7E">
      <w:numFmt w:val="bullet"/>
      <w:lvlText w:val="•"/>
      <w:lvlJc w:val="left"/>
      <w:pPr>
        <w:ind w:left="7550" w:hanging="286"/>
      </w:pPr>
      <w:rPr>
        <w:rFonts w:hint="default"/>
        <w:lang w:val="cs-CZ" w:eastAsia="cs-CZ" w:bidi="cs-CZ"/>
      </w:rPr>
    </w:lvl>
  </w:abstractNum>
  <w:abstractNum w:abstractNumId="6" w15:restartNumberingAfterBreak="0">
    <w:nsid w:val="742B5A1E"/>
    <w:multiLevelType w:val="hybridMultilevel"/>
    <w:tmpl w:val="F1DAC6D2"/>
    <w:lvl w:ilvl="0" w:tplc="E9F88AB2">
      <w:start w:val="1"/>
      <w:numFmt w:val="upperRoman"/>
      <w:lvlText w:val="%1."/>
      <w:lvlJc w:val="left"/>
      <w:pPr>
        <w:ind w:left="525" w:hanging="284"/>
        <w:jc w:val="right"/>
      </w:pPr>
      <w:rPr>
        <w:rFonts w:ascii="Segoe UI" w:eastAsia="Segoe UI" w:hAnsi="Segoe UI" w:cs="Segoe UI" w:hint="default"/>
        <w:spacing w:val="-1"/>
        <w:w w:val="99"/>
        <w:sz w:val="20"/>
        <w:szCs w:val="20"/>
        <w:lang w:val="cs-CZ" w:eastAsia="cs-CZ" w:bidi="cs-CZ"/>
      </w:rPr>
    </w:lvl>
    <w:lvl w:ilvl="1" w:tplc="7602A490">
      <w:numFmt w:val="bullet"/>
      <w:lvlText w:val="•"/>
      <w:lvlJc w:val="left"/>
      <w:pPr>
        <w:ind w:left="1444" w:hanging="284"/>
      </w:pPr>
      <w:rPr>
        <w:rFonts w:hint="default"/>
        <w:lang w:val="cs-CZ" w:eastAsia="cs-CZ" w:bidi="cs-CZ"/>
      </w:rPr>
    </w:lvl>
    <w:lvl w:ilvl="2" w:tplc="C1240F72">
      <w:numFmt w:val="bullet"/>
      <w:lvlText w:val="•"/>
      <w:lvlJc w:val="left"/>
      <w:pPr>
        <w:ind w:left="2368" w:hanging="284"/>
      </w:pPr>
      <w:rPr>
        <w:rFonts w:hint="default"/>
        <w:lang w:val="cs-CZ" w:eastAsia="cs-CZ" w:bidi="cs-CZ"/>
      </w:rPr>
    </w:lvl>
    <w:lvl w:ilvl="3" w:tplc="E4A2B1D0">
      <w:numFmt w:val="bullet"/>
      <w:lvlText w:val="•"/>
      <w:lvlJc w:val="left"/>
      <w:pPr>
        <w:ind w:left="3292" w:hanging="284"/>
      </w:pPr>
      <w:rPr>
        <w:rFonts w:hint="default"/>
        <w:lang w:val="cs-CZ" w:eastAsia="cs-CZ" w:bidi="cs-CZ"/>
      </w:rPr>
    </w:lvl>
    <w:lvl w:ilvl="4" w:tplc="129C2876">
      <w:numFmt w:val="bullet"/>
      <w:lvlText w:val="•"/>
      <w:lvlJc w:val="left"/>
      <w:pPr>
        <w:ind w:left="4216" w:hanging="284"/>
      </w:pPr>
      <w:rPr>
        <w:rFonts w:hint="default"/>
        <w:lang w:val="cs-CZ" w:eastAsia="cs-CZ" w:bidi="cs-CZ"/>
      </w:rPr>
    </w:lvl>
    <w:lvl w:ilvl="5" w:tplc="82962D80">
      <w:numFmt w:val="bullet"/>
      <w:lvlText w:val="•"/>
      <w:lvlJc w:val="left"/>
      <w:pPr>
        <w:ind w:left="5140" w:hanging="284"/>
      </w:pPr>
      <w:rPr>
        <w:rFonts w:hint="default"/>
        <w:lang w:val="cs-CZ" w:eastAsia="cs-CZ" w:bidi="cs-CZ"/>
      </w:rPr>
    </w:lvl>
    <w:lvl w:ilvl="6" w:tplc="E6281AFA">
      <w:numFmt w:val="bullet"/>
      <w:lvlText w:val="•"/>
      <w:lvlJc w:val="left"/>
      <w:pPr>
        <w:ind w:left="6064" w:hanging="284"/>
      </w:pPr>
      <w:rPr>
        <w:rFonts w:hint="default"/>
        <w:lang w:val="cs-CZ" w:eastAsia="cs-CZ" w:bidi="cs-CZ"/>
      </w:rPr>
    </w:lvl>
    <w:lvl w:ilvl="7" w:tplc="6A64000C">
      <w:numFmt w:val="bullet"/>
      <w:lvlText w:val="•"/>
      <w:lvlJc w:val="left"/>
      <w:pPr>
        <w:ind w:left="6988" w:hanging="284"/>
      </w:pPr>
      <w:rPr>
        <w:rFonts w:hint="default"/>
        <w:lang w:val="cs-CZ" w:eastAsia="cs-CZ" w:bidi="cs-CZ"/>
      </w:rPr>
    </w:lvl>
    <w:lvl w:ilvl="8" w:tplc="1940FAA0">
      <w:numFmt w:val="bullet"/>
      <w:lvlText w:val="•"/>
      <w:lvlJc w:val="left"/>
      <w:pPr>
        <w:ind w:left="7912" w:hanging="284"/>
      </w:pPr>
      <w:rPr>
        <w:rFonts w:hint="default"/>
        <w:lang w:val="cs-CZ" w:eastAsia="cs-CZ" w:bidi="cs-CZ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F1C16"/>
    <w:rsid w:val="00AE26AB"/>
    <w:rsid w:val="00B10482"/>
    <w:rsid w:val="00D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33862E"/>
  <w15:docId w15:val="{DB34278F-9D43-4960-A782-7444EEF1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Segoe UI" w:eastAsia="Segoe UI" w:hAnsi="Segoe UI" w:cs="Segoe UI"/>
      <w:lang w:val="cs-CZ" w:eastAsia="cs-CZ" w:bidi="cs-CZ"/>
    </w:rPr>
  </w:style>
  <w:style w:type="paragraph" w:styleId="Nadpis1">
    <w:name w:val="heading 1"/>
    <w:basedOn w:val="Normln"/>
    <w:uiPriority w:val="1"/>
    <w:qFormat/>
    <w:pPr>
      <w:ind w:left="242" w:right="3148"/>
      <w:jc w:val="center"/>
      <w:outlineLvl w:val="0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525"/>
      <w:jc w:val="both"/>
    </w:pPr>
    <w:rPr>
      <w:sz w:val="20"/>
      <w:szCs w:val="20"/>
    </w:rPr>
  </w:style>
  <w:style w:type="paragraph" w:styleId="Nzev">
    <w:name w:val="Title"/>
    <w:basedOn w:val="Normln"/>
    <w:uiPriority w:val="1"/>
    <w:qFormat/>
    <w:pPr>
      <w:spacing w:before="1"/>
      <w:ind w:left="1142" w:right="1018"/>
      <w:jc w:val="center"/>
    </w:pPr>
    <w:rPr>
      <w:sz w:val="32"/>
      <w:szCs w:val="32"/>
    </w:rPr>
  </w:style>
  <w:style w:type="paragraph" w:styleId="Odstavecseseznamem">
    <w:name w:val="List Paragraph"/>
    <w:basedOn w:val="Normln"/>
    <w:uiPriority w:val="1"/>
    <w:qFormat/>
    <w:pPr>
      <w:spacing w:before="121"/>
      <w:ind w:left="525" w:hanging="284"/>
      <w:jc w:val="both"/>
    </w:pPr>
  </w:style>
  <w:style w:type="paragraph" w:customStyle="1" w:styleId="TableParagraph">
    <w:name w:val="Table Paragraph"/>
    <w:basedOn w:val="Normln"/>
    <w:uiPriority w:val="1"/>
    <w:qFormat/>
    <w:pPr>
      <w:spacing w:before="105"/>
      <w:ind w:left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zp.cz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4185</Words>
  <Characters>24695</Characters>
  <Application>Microsoft Office Word</Application>
  <DocSecurity>0</DocSecurity>
  <Lines>205</Lines>
  <Paragraphs>57</Paragraphs>
  <ScaleCrop>false</ScaleCrop>
  <Company>SFZP</Company>
  <LinksUpToDate>false</LinksUpToDate>
  <CharactersWithSpaces>28823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č</dc:title>
  <dc:creator>experimentalni</dc:creator>
  <cp:lastModifiedBy>Borkova Ruth</cp:lastModifiedBy>
  <cp:revision>2</cp:revision>
  <dcterms:created xsi:type="dcterms:W3CDTF">2021-02-19T09:59:00Z</dcterms:created>
  <dcterms:modified xsi:type="dcterms:W3CDTF">2021-02-19T09:59:00Z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