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02" w:rsidRDefault="00533263">
      <w:pPr>
        <w:pStyle w:val="Nzev"/>
        <w:spacing w:before="73"/>
        <w:ind w:left="3303" w:right="3168"/>
      </w:pPr>
      <w:r>
        <w:rPr>
          <w:color w:val="808080"/>
        </w:rPr>
        <w:t>Smlouva č. 1190300007 o poskytnutí podpory</w:t>
      </w:r>
    </w:p>
    <w:p w:rsidR="00303502" w:rsidRDefault="00533263">
      <w:pPr>
        <w:pStyle w:val="Nzev"/>
      </w:pPr>
      <w:r>
        <w:rPr>
          <w:color w:val="808080"/>
        </w:rPr>
        <w:t>ze Státního fondu životního prostředí České republiky</w:t>
      </w:r>
    </w:p>
    <w:p w:rsidR="00303502" w:rsidRDefault="00303502">
      <w:pPr>
        <w:pStyle w:val="Zkladntext"/>
        <w:spacing w:before="11"/>
        <w:ind w:left="0"/>
        <w:jc w:val="left"/>
        <w:rPr>
          <w:sz w:val="59"/>
        </w:rPr>
      </w:pPr>
    </w:p>
    <w:p w:rsidR="00303502" w:rsidRDefault="00533263">
      <w:pPr>
        <w:pStyle w:val="Zkladntext"/>
        <w:ind w:left="262"/>
        <w:jc w:val="left"/>
      </w:pPr>
      <w:r>
        <w:t>Smluvní strany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533263">
      <w:pPr>
        <w:pStyle w:val="Nadpis1"/>
        <w:spacing w:before="185"/>
        <w:ind w:right="0"/>
        <w:jc w:val="left"/>
      </w:pPr>
      <w:r>
        <w:t>Státní fond životního prostředí České republiky</w:t>
      </w:r>
    </w:p>
    <w:p w:rsidR="00303502" w:rsidRDefault="00533263">
      <w:pPr>
        <w:pStyle w:val="Zkladntext"/>
        <w:tabs>
          <w:tab w:val="left" w:pos="3142"/>
        </w:tabs>
        <w:spacing w:before="1"/>
        <w:ind w:left="262"/>
        <w:jc w:val="left"/>
      </w:pPr>
      <w:r>
        <w:t>se</w:t>
      </w:r>
      <w:r>
        <w:rPr>
          <w:spacing w:val="-9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303502" w:rsidRDefault="00533263">
      <w:pPr>
        <w:pStyle w:val="Zkladntext"/>
        <w:tabs>
          <w:tab w:val="left" w:pos="3142"/>
        </w:tabs>
        <w:ind w:left="262"/>
        <w:jc w:val="left"/>
      </w:pPr>
      <w:r>
        <w:t>korespondenční</w:t>
      </w:r>
      <w:r>
        <w:rPr>
          <w:spacing w:val="-7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1"/>
        </w:rPr>
        <w:t xml:space="preserve"> </w:t>
      </w:r>
      <w:r>
        <w:t>4</w:t>
      </w:r>
    </w:p>
    <w:p w:rsidR="00303502" w:rsidRDefault="00533263">
      <w:pPr>
        <w:pStyle w:val="Zkladntext"/>
        <w:tabs>
          <w:tab w:val="right" w:pos="4008"/>
        </w:tabs>
        <w:spacing w:before="1"/>
        <w:ind w:left="262"/>
        <w:jc w:val="left"/>
      </w:pPr>
      <w:r>
        <w:t>IČO:</w:t>
      </w:r>
      <w:r>
        <w:tab/>
        <w:t>00020729</w:t>
      </w:r>
    </w:p>
    <w:p w:rsidR="00303502" w:rsidRDefault="00533263">
      <w:pPr>
        <w:pStyle w:val="Zkladntext"/>
        <w:tabs>
          <w:tab w:val="left" w:pos="3142"/>
        </w:tabs>
        <w:spacing w:line="265" w:lineRule="exact"/>
        <w:ind w:left="26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303502" w:rsidRDefault="00533263">
      <w:pPr>
        <w:pStyle w:val="Zkladntext"/>
        <w:tabs>
          <w:tab w:val="left" w:pos="3142"/>
        </w:tabs>
        <w:spacing w:line="265" w:lineRule="exact"/>
        <w:ind w:left="262"/>
        <w:jc w:val="left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303502" w:rsidRDefault="00533263">
      <w:pPr>
        <w:pStyle w:val="Zkladntext"/>
        <w:tabs>
          <w:tab w:val="left" w:pos="3142"/>
        </w:tabs>
        <w:spacing w:before="3"/>
        <w:ind w:left="262" w:right="4872"/>
        <w:jc w:val="left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</w:r>
      <w:r>
        <w:rPr>
          <w:w w:val="90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303502" w:rsidRDefault="00303502">
      <w:pPr>
        <w:pStyle w:val="Zkladntext"/>
        <w:spacing w:before="12"/>
        <w:ind w:left="0"/>
        <w:jc w:val="left"/>
        <w:rPr>
          <w:sz w:val="19"/>
        </w:rPr>
      </w:pPr>
    </w:p>
    <w:p w:rsidR="00303502" w:rsidRDefault="00533263">
      <w:pPr>
        <w:pStyle w:val="Zkladntext"/>
        <w:ind w:left="262"/>
        <w:jc w:val="left"/>
      </w:pPr>
      <w:r>
        <w:rPr>
          <w:w w:val="97"/>
        </w:rPr>
        <w:t>a</w:t>
      </w:r>
    </w:p>
    <w:p w:rsidR="00303502" w:rsidRDefault="00303502">
      <w:pPr>
        <w:pStyle w:val="Zkladntext"/>
        <w:spacing w:before="11"/>
        <w:ind w:left="0"/>
        <w:jc w:val="left"/>
        <w:rPr>
          <w:sz w:val="19"/>
        </w:rPr>
      </w:pPr>
    </w:p>
    <w:p w:rsidR="00303502" w:rsidRDefault="00533263">
      <w:pPr>
        <w:pStyle w:val="Nadpis1"/>
        <w:ind w:right="0"/>
        <w:jc w:val="left"/>
      </w:pPr>
      <w:r>
        <w:t>Kokoza, o.p.s.</w:t>
      </w:r>
    </w:p>
    <w:p w:rsidR="00303502" w:rsidRDefault="00533263">
      <w:pPr>
        <w:pStyle w:val="Zkladntext"/>
        <w:tabs>
          <w:tab w:val="left" w:pos="3137"/>
        </w:tabs>
        <w:spacing w:before="3"/>
        <w:ind w:left="262"/>
        <w:jc w:val="left"/>
      </w:pPr>
      <w:r>
        <w:t>se</w:t>
      </w:r>
      <w:r>
        <w:rPr>
          <w:spacing w:val="-8"/>
        </w:rPr>
        <w:t xml:space="preserve"> </w:t>
      </w:r>
      <w:r>
        <w:t>sídlem:</w:t>
      </w:r>
      <w:r>
        <w:tab/>
      </w:r>
      <w:r>
        <w:t>Chodská 1281/30, 120 00 Praha 2 - Vinohrady</w:t>
      </w:r>
    </w:p>
    <w:p w:rsidR="00303502" w:rsidRDefault="00533263">
      <w:pPr>
        <w:pStyle w:val="Zkladntext"/>
        <w:tabs>
          <w:tab w:val="left" w:pos="3142"/>
        </w:tabs>
        <w:spacing w:before="1"/>
        <w:ind w:left="262"/>
        <w:jc w:val="left"/>
      </w:pPr>
      <w:r>
        <w:t>IČO:</w:t>
      </w:r>
      <w:r>
        <w:tab/>
        <w:t>24228630</w:t>
      </w:r>
    </w:p>
    <w:p w:rsidR="00303502" w:rsidRDefault="00533263">
      <w:pPr>
        <w:pStyle w:val="Zkladntext"/>
        <w:tabs>
          <w:tab w:val="left" w:pos="3142"/>
        </w:tabs>
        <w:ind w:left="262"/>
        <w:jc w:val="left"/>
      </w:pPr>
      <w:r>
        <w:t>zastoupená:</w:t>
      </w:r>
      <w:r>
        <w:tab/>
        <w:t>Mgr. Lucií M a t o u š k o v o u L a n k a š o v o u,</w:t>
      </w:r>
      <w:r>
        <w:rPr>
          <w:spacing w:val="-7"/>
        </w:rPr>
        <w:t xml:space="preserve"> </w:t>
      </w:r>
      <w:r>
        <w:t>ředitelkou</w:t>
      </w:r>
    </w:p>
    <w:p w:rsidR="00303502" w:rsidRDefault="00533263">
      <w:pPr>
        <w:pStyle w:val="Zkladntext"/>
        <w:tabs>
          <w:tab w:val="left" w:pos="3142"/>
        </w:tabs>
        <w:ind w:left="262"/>
        <w:jc w:val="left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</w:r>
      <w:r w:rsidR="008249A4" w:rsidRPr="008249A4">
        <w:rPr>
          <w:highlight w:val="yellow"/>
        </w:rPr>
        <w:t>xxxx</w:t>
      </w:r>
    </w:p>
    <w:p w:rsidR="008249A4" w:rsidRDefault="00533263">
      <w:pPr>
        <w:pStyle w:val="Zkladntext"/>
        <w:tabs>
          <w:tab w:val="left" w:pos="3142"/>
        </w:tabs>
        <w:spacing w:before="3" w:line="237" w:lineRule="auto"/>
        <w:ind w:left="262" w:right="5154"/>
        <w:jc w:val="left"/>
        <w:rPr>
          <w:w w:val="90"/>
        </w:rPr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</w:r>
      <w:r w:rsidR="008249A4" w:rsidRPr="008249A4">
        <w:rPr>
          <w:w w:val="90"/>
          <w:highlight w:val="yellow"/>
        </w:rPr>
        <w:t>xxxx</w:t>
      </w:r>
      <w:bookmarkStart w:id="0" w:name="_GoBack"/>
      <w:bookmarkEnd w:id="0"/>
    </w:p>
    <w:p w:rsidR="00303502" w:rsidRDefault="00533263">
      <w:pPr>
        <w:pStyle w:val="Zkladntext"/>
        <w:tabs>
          <w:tab w:val="left" w:pos="3142"/>
        </w:tabs>
        <w:spacing w:before="3" w:line="237" w:lineRule="auto"/>
        <w:ind w:left="262" w:right="5154"/>
        <w:jc w:val="left"/>
      </w:pPr>
      <w:r>
        <w:t>(dále jen „příjemce</w:t>
      </w:r>
      <w:r>
        <w:rPr>
          <w:spacing w:val="-5"/>
        </w:rPr>
        <w:t xml:space="preserve"> </w:t>
      </w:r>
      <w:r>
        <w:t>podpory“)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533263">
      <w:pPr>
        <w:pStyle w:val="Zkladntext"/>
        <w:spacing w:before="189"/>
        <w:ind w:left="262"/>
        <w:jc w:val="left"/>
      </w:pPr>
      <w:r>
        <w:t>se dohodly takto:</w:t>
      </w:r>
    </w:p>
    <w:p w:rsidR="00303502" w:rsidRDefault="00303502">
      <w:pPr>
        <w:pStyle w:val="Zkladntext"/>
        <w:spacing w:before="1"/>
        <w:ind w:left="0"/>
        <w:jc w:val="left"/>
        <w:rPr>
          <w:sz w:val="36"/>
        </w:rPr>
      </w:pPr>
    </w:p>
    <w:p w:rsidR="00303502" w:rsidRDefault="00533263">
      <w:pPr>
        <w:pStyle w:val="Nadpis1"/>
        <w:ind w:left="3292"/>
      </w:pPr>
      <w:r>
        <w:t>I.</w:t>
      </w:r>
    </w:p>
    <w:p w:rsidR="00303502" w:rsidRDefault="00533263">
      <w:pPr>
        <w:spacing w:before="1"/>
        <w:ind w:left="3288" w:right="316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303502" w:rsidRDefault="00303502">
      <w:pPr>
        <w:pStyle w:val="Zkladntext"/>
        <w:spacing w:before="9"/>
        <w:ind w:left="0"/>
        <w:jc w:val="left"/>
        <w:rPr>
          <w:b/>
          <w:sz w:val="17"/>
        </w:rPr>
      </w:pPr>
    </w:p>
    <w:p w:rsidR="00303502" w:rsidRDefault="00533263">
      <w:pPr>
        <w:pStyle w:val="Odstavecseseznamem"/>
        <w:numPr>
          <w:ilvl w:val="0"/>
          <w:numId w:val="7"/>
        </w:numPr>
        <w:tabs>
          <w:tab w:val="left" w:pos="546"/>
        </w:tabs>
        <w:spacing w:before="0"/>
        <w:ind w:hanging="287"/>
        <w:jc w:val="both"/>
        <w:rPr>
          <w:sz w:val="20"/>
        </w:rPr>
      </w:pPr>
      <w:r>
        <w:rPr>
          <w:sz w:val="20"/>
        </w:rPr>
        <w:t>Tato</w:t>
      </w:r>
      <w:r>
        <w:rPr>
          <w:spacing w:val="24"/>
          <w:sz w:val="20"/>
        </w:rPr>
        <w:t xml:space="preserve"> </w:t>
      </w:r>
      <w:r>
        <w:rPr>
          <w:sz w:val="20"/>
        </w:rPr>
        <w:t>Smlouva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ze</w:t>
      </w:r>
      <w:r>
        <w:rPr>
          <w:spacing w:val="21"/>
          <w:sz w:val="20"/>
        </w:rPr>
        <w:t xml:space="preserve"> </w:t>
      </w:r>
      <w:r>
        <w:rPr>
          <w:sz w:val="20"/>
        </w:rPr>
        <w:t>Státního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4"/>
          <w:sz w:val="20"/>
        </w:rPr>
        <w:t xml:space="preserve"> </w:t>
      </w:r>
      <w:r>
        <w:rPr>
          <w:sz w:val="20"/>
        </w:rPr>
        <w:t>České</w:t>
      </w:r>
      <w:r>
        <w:rPr>
          <w:spacing w:val="22"/>
          <w:sz w:val="20"/>
        </w:rPr>
        <w:t xml:space="preserve"> </w:t>
      </w:r>
      <w:r>
        <w:rPr>
          <w:sz w:val="20"/>
        </w:rPr>
        <w:t>republiky</w:t>
      </w:r>
      <w:r>
        <w:rPr>
          <w:spacing w:val="21"/>
          <w:sz w:val="20"/>
        </w:rPr>
        <w:t xml:space="preserve"> </w:t>
      </w:r>
      <w:r>
        <w:rPr>
          <w:sz w:val="20"/>
        </w:rPr>
        <w:t>(dále</w:t>
      </w:r>
      <w:r>
        <w:rPr>
          <w:spacing w:val="22"/>
          <w:sz w:val="20"/>
        </w:rPr>
        <w:t xml:space="preserve"> </w:t>
      </w:r>
      <w:r>
        <w:rPr>
          <w:sz w:val="20"/>
        </w:rPr>
        <w:t>jen</w:t>
      </w:r>
    </w:p>
    <w:p w:rsidR="00303502" w:rsidRDefault="00533263">
      <w:pPr>
        <w:pStyle w:val="Zkladntext"/>
        <w:spacing w:before="3"/>
        <w:ind w:right="126"/>
      </w:pPr>
      <w:r>
        <w:t>„Smlouva“) se uzavírá na základě Rozhodnutí ministra životního prostředí č. 1190300007 o poskytnutí finančních prostředků ze Státního fondu životního prostředí ČR ze dne 17. 7. 2020 a Směrnice Ministerstva životního prostředí č. 4/2015 o poskytování finanč</w:t>
      </w:r>
      <w:r>
        <w:t>ních prostředků ze Státního fondu životního prostředí České republiky prostřednictvím  Národního  programu  Životní  prostředí  (dále  jen „Směrnice MŽP“), platné ke dni podání</w:t>
      </w:r>
      <w:r>
        <w:rPr>
          <w:spacing w:val="-1"/>
        </w:rPr>
        <w:t xml:space="preserve"> </w:t>
      </w:r>
      <w:r>
        <w:t>žádosti.</w:t>
      </w:r>
    </w:p>
    <w:p w:rsidR="00303502" w:rsidRDefault="00533263">
      <w:pPr>
        <w:pStyle w:val="Odstavecseseznamem"/>
        <w:numPr>
          <w:ilvl w:val="0"/>
          <w:numId w:val="7"/>
        </w:numPr>
        <w:tabs>
          <w:tab w:val="left" w:pos="546"/>
        </w:tabs>
        <w:spacing w:before="123"/>
        <w:ind w:right="129"/>
        <w:jc w:val="both"/>
        <w:rPr>
          <w:sz w:val="20"/>
        </w:rPr>
      </w:pPr>
      <w:r>
        <w:rPr>
          <w:sz w:val="20"/>
        </w:rPr>
        <w:t>Příjemce podpory potvrzuje, že se seznámil se Směrnicí MŽP (včetně jej</w:t>
      </w:r>
      <w:r>
        <w:rPr>
          <w:sz w:val="20"/>
        </w:rPr>
        <w:t>ích příloh) a Výzvou č. 3/2019 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5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6"/>
          <w:sz w:val="20"/>
        </w:rPr>
        <w:t xml:space="preserve"> </w:t>
      </w:r>
      <w:r>
        <w:rPr>
          <w:sz w:val="20"/>
        </w:rPr>
        <w:t>Výzvou.</w:t>
      </w:r>
    </w:p>
    <w:p w:rsidR="00303502" w:rsidRDefault="00303502">
      <w:pPr>
        <w:jc w:val="both"/>
        <w:rPr>
          <w:sz w:val="20"/>
        </w:rPr>
        <w:sectPr w:rsidR="00303502">
          <w:footerReference w:type="default" r:id="rId7"/>
          <w:type w:val="continuous"/>
          <w:pgSz w:w="12240" w:h="15840"/>
          <w:pgMar w:top="1060" w:right="1000" w:bottom="1580" w:left="1440" w:header="708" w:footer="1380" w:gutter="0"/>
          <w:pgNumType w:start="1"/>
          <w:cols w:space="708"/>
        </w:sectPr>
      </w:pPr>
    </w:p>
    <w:p w:rsidR="00303502" w:rsidRDefault="00303502">
      <w:pPr>
        <w:pStyle w:val="Zkladntext"/>
        <w:spacing w:before="6"/>
        <w:ind w:left="0"/>
        <w:jc w:val="left"/>
        <w:rPr>
          <w:sz w:val="19"/>
        </w:rPr>
      </w:pPr>
    </w:p>
    <w:p w:rsidR="00303502" w:rsidRDefault="00533263">
      <w:pPr>
        <w:pStyle w:val="Odstavecseseznamem"/>
        <w:numPr>
          <w:ilvl w:val="0"/>
          <w:numId w:val="7"/>
        </w:numPr>
        <w:tabs>
          <w:tab w:val="left" w:pos="546"/>
        </w:tabs>
        <w:spacing w:before="99"/>
        <w:ind w:hanging="287"/>
        <w:rPr>
          <w:sz w:val="20"/>
        </w:rPr>
      </w:pPr>
      <w:r>
        <w:rPr>
          <w:sz w:val="20"/>
        </w:rPr>
        <w:t>Podpora je určena výhradně na</w:t>
      </w:r>
      <w:r>
        <w:rPr>
          <w:spacing w:val="-7"/>
          <w:sz w:val="20"/>
        </w:rPr>
        <w:t xml:space="preserve"> </w:t>
      </w:r>
      <w:r>
        <w:rPr>
          <w:sz w:val="20"/>
        </w:rPr>
        <w:t>akci:</w:t>
      </w:r>
    </w:p>
    <w:p w:rsidR="00303502" w:rsidRDefault="00533263">
      <w:pPr>
        <w:pStyle w:val="Nadpis1"/>
        <w:spacing w:before="121"/>
        <w:ind w:left="2912" w:right="0"/>
        <w:jc w:val="left"/>
      </w:pPr>
      <w:r>
        <w:t>„Uzavřený cyklus jídla v kavárně i restauraci“</w:t>
      </w:r>
    </w:p>
    <w:p w:rsidR="00303502" w:rsidRDefault="00533263">
      <w:pPr>
        <w:pStyle w:val="Zkladntext"/>
        <w:spacing w:before="120"/>
        <w:jc w:val="left"/>
      </w:pPr>
      <w:r>
        <w:t>(dále jen „projekt“ nebo „akce“) realizovanou v letech 2020 až 2022. Akce je neinvestiční.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spacing w:before="2"/>
        <w:ind w:left="0"/>
        <w:jc w:val="left"/>
      </w:pPr>
    </w:p>
    <w:p w:rsidR="00303502" w:rsidRDefault="00533263">
      <w:pPr>
        <w:pStyle w:val="Nadpis1"/>
        <w:spacing w:before="1"/>
        <w:ind w:left="3292"/>
      </w:pPr>
      <w:r>
        <w:t>II.</w:t>
      </w:r>
    </w:p>
    <w:p w:rsidR="00303502" w:rsidRDefault="00533263">
      <w:pPr>
        <w:ind w:left="3288" w:right="316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303502" w:rsidRDefault="00303502">
      <w:pPr>
        <w:pStyle w:val="Zkladntext"/>
        <w:spacing w:before="1"/>
        <w:ind w:left="0"/>
        <w:jc w:val="left"/>
        <w:rPr>
          <w:b/>
          <w:sz w:val="18"/>
        </w:rPr>
      </w:pP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spacing w:before="0" w:line="237" w:lineRule="auto"/>
        <w:ind w:right="124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2 995 655,00 Kč </w:t>
      </w:r>
      <w:r>
        <w:rPr>
          <w:sz w:val="20"/>
        </w:rPr>
        <w:t>(slovy: dva miliony devět set devadesát pět tisíc šest</w:t>
      </w:r>
      <w:r>
        <w:rPr>
          <w:sz w:val="20"/>
        </w:rPr>
        <w:t xml:space="preserve"> set padesát pět korun</w:t>
      </w:r>
      <w:r>
        <w:rPr>
          <w:spacing w:val="-9"/>
          <w:sz w:val="20"/>
        </w:rPr>
        <w:t xml:space="preserve"> </w:t>
      </w:r>
      <w:r>
        <w:rPr>
          <w:sz w:val="20"/>
        </w:rPr>
        <w:t>českých).</w:t>
      </w: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spacing w:before="122"/>
        <w:ind w:right="129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3 524 300,00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ind w:hanging="287"/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podpory.</w:t>
      </w: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Skutečná výše podpory  je  limitována  částkou  uvedenou  v  bodu  1.  Pokud  skutečné  výdaje  akce  (a to i průběžně, v průběhu realizace akce) překročí základ pro stanovení podpory (popřípadě jeho část odpovídající postupu realizace akce), uhradí příjem</w:t>
      </w:r>
      <w:r>
        <w:rPr>
          <w:sz w:val="20"/>
        </w:rPr>
        <w:t>ce podpory částku tohoto překročení z vlastních zdrojů.</w:t>
      </w: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</w:t>
      </w:r>
      <w:r>
        <w:rPr>
          <w:sz w:val="20"/>
        </w:rPr>
        <w:t>alizace projektu (tj. po zahájení projektu a před dokončením projektu), nejdříve však po dni vyhlášení Výzvy.</w:t>
      </w: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spacing w:before="116" w:line="242" w:lineRule="auto"/>
        <w:ind w:right="129"/>
        <w:jc w:val="both"/>
        <w:rPr>
          <w:sz w:val="20"/>
        </w:rPr>
      </w:pPr>
      <w:r>
        <w:rPr>
          <w:sz w:val="20"/>
        </w:rPr>
        <w:t>Platby dodavatelům  lze  z  podpory  poskytované  Fondem  hradit  pouze  za  stavební  práce,  služby  a dodávky na realizaci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303502" w:rsidRDefault="00533263">
      <w:pPr>
        <w:pStyle w:val="Odstavecseseznamem"/>
        <w:numPr>
          <w:ilvl w:val="0"/>
          <w:numId w:val="6"/>
        </w:numPr>
        <w:tabs>
          <w:tab w:val="left" w:pos="5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působilých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 Výzvy.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spacing w:before="5"/>
        <w:ind w:left="0"/>
        <w:jc w:val="left"/>
      </w:pPr>
    </w:p>
    <w:p w:rsidR="00303502" w:rsidRDefault="00533263">
      <w:pPr>
        <w:pStyle w:val="Nadpis1"/>
        <w:ind w:left="3294"/>
      </w:pPr>
      <w:r>
        <w:t>III.</w:t>
      </w:r>
    </w:p>
    <w:p w:rsidR="00303502" w:rsidRDefault="00533263">
      <w:pPr>
        <w:ind w:left="3287" w:right="316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303502" w:rsidRDefault="00303502">
      <w:pPr>
        <w:pStyle w:val="Zkladntext"/>
        <w:spacing w:before="12"/>
        <w:ind w:left="0"/>
        <w:jc w:val="left"/>
        <w:rPr>
          <w:b/>
          <w:sz w:val="17"/>
        </w:rPr>
      </w:pP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 bude poskytována bankovním  převodem peněžních prostředků z bankovního  účtu Fondu   na bankovní účet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7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303502" w:rsidRDefault="00303502">
      <w:pPr>
        <w:jc w:val="both"/>
        <w:rPr>
          <w:sz w:val="20"/>
        </w:rPr>
        <w:sectPr w:rsidR="00303502">
          <w:pgSz w:w="12240" w:h="15840"/>
          <w:pgMar w:top="1500" w:right="1000" w:bottom="1660" w:left="1440" w:header="0" w:footer="1380" w:gutter="0"/>
          <w:cols w:space="708"/>
        </w:sectPr>
      </w:pP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81"/>
        <w:ind w:hanging="287"/>
        <w:jc w:val="left"/>
        <w:rPr>
          <w:sz w:val="20"/>
        </w:rPr>
      </w:pPr>
      <w:r>
        <w:rPr>
          <w:sz w:val="20"/>
        </w:rPr>
        <w:lastRenderedPageBreak/>
        <w:t>Při splnění příslušných podmínek této Smlouvy poskytne Fond podporu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z w:val="20"/>
        </w:rPr>
        <w:t>to:</w:t>
      </w:r>
    </w:p>
    <w:p w:rsidR="00303502" w:rsidRDefault="00303502">
      <w:pPr>
        <w:pStyle w:val="Zkladntext"/>
        <w:spacing w:after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8"/>
      </w:tblGrid>
      <w:tr w:rsidR="00303502">
        <w:trPr>
          <w:trHeight w:val="506"/>
        </w:trPr>
        <w:tc>
          <w:tcPr>
            <w:tcW w:w="4532" w:type="dxa"/>
          </w:tcPr>
          <w:p w:rsidR="00303502" w:rsidRDefault="00533263">
            <w:pPr>
              <w:pStyle w:val="TableParagraph"/>
              <w:spacing w:before="120"/>
              <w:ind w:left="0" w:right="1982"/>
              <w:jc w:val="right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8" w:type="dxa"/>
          </w:tcPr>
          <w:p w:rsidR="00303502" w:rsidRDefault="00533263">
            <w:pPr>
              <w:pStyle w:val="TableParagraph"/>
              <w:spacing w:before="120"/>
              <w:ind w:left="1848" w:right="1837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303502">
        <w:trPr>
          <w:trHeight w:val="505"/>
        </w:trPr>
        <w:tc>
          <w:tcPr>
            <w:tcW w:w="4532" w:type="dxa"/>
          </w:tcPr>
          <w:p w:rsidR="00303502" w:rsidRDefault="00533263">
            <w:pPr>
              <w:pStyle w:val="TableParagraph"/>
              <w:spacing w:before="120"/>
              <w:ind w:left="0" w:right="2031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8" w:type="dxa"/>
          </w:tcPr>
          <w:p w:rsidR="00303502" w:rsidRDefault="00533263">
            <w:pPr>
              <w:pStyle w:val="TableParagraph"/>
              <w:spacing w:before="120"/>
              <w:ind w:left="1856" w:right="1837"/>
              <w:jc w:val="center"/>
              <w:rPr>
                <w:sz w:val="20"/>
              </w:rPr>
            </w:pPr>
            <w:r>
              <w:rPr>
                <w:sz w:val="20"/>
              </w:rPr>
              <w:t>2 145 655,00</w:t>
            </w:r>
          </w:p>
        </w:tc>
      </w:tr>
      <w:tr w:rsidR="00303502">
        <w:trPr>
          <w:trHeight w:val="506"/>
        </w:trPr>
        <w:tc>
          <w:tcPr>
            <w:tcW w:w="4532" w:type="dxa"/>
          </w:tcPr>
          <w:p w:rsidR="00303502" w:rsidRDefault="00533263">
            <w:pPr>
              <w:pStyle w:val="TableParagraph"/>
              <w:spacing w:before="120"/>
              <w:ind w:left="0" w:right="2031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8" w:type="dxa"/>
          </w:tcPr>
          <w:p w:rsidR="00303502" w:rsidRDefault="00533263">
            <w:pPr>
              <w:pStyle w:val="TableParagraph"/>
              <w:spacing w:before="120"/>
              <w:ind w:left="1856" w:right="1837"/>
              <w:jc w:val="center"/>
              <w:rPr>
                <w:sz w:val="20"/>
              </w:rPr>
            </w:pPr>
            <w:r>
              <w:rPr>
                <w:sz w:val="20"/>
              </w:rPr>
              <w:t>850 000,00</w:t>
            </w:r>
          </w:p>
        </w:tc>
      </w:tr>
    </w:tbl>
    <w:p w:rsidR="00303502" w:rsidRDefault="00303502">
      <w:pPr>
        <w:pStyle w:val="Zkladntext"/>
        <w:ind w:left="0"/>
        <w:jc w:val="left"/>
        <w:rPr>
          <w:sz w:val="29"/>
        </w:rPr>
      </w:pP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11), příslušné doklady prokazující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</w:t>
      </w:r>
      <w:r>
        <w:rPr>
          <w:sz w:val="20"/>
        </w:rPr>
        <w:t>edků.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9" w:line="242" w:lineRule="auto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2"/>
          <w:sz w:val="20"/>
        </w:rPr>
        <w:t xml:space="preserve"> </w:t>
      </w:r>
      <w:r>
        <w:rPr>
          <w:sz w:val="20"/>
        </w:rPr>
        <w:t>akceptuje.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pozastavit</w:t>
      </w:r>
      <w:r>
        <w:rPr>
          <w:spacing w:val="-7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6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 některou z povinností stanovených touto Smlouvou,  či je plnění některé povinnosti  vážně ohroženo. To</w:t>
      </w:r>
      <w:r>
        <w:rPr>
          <w:spacing w:val="-2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nehradí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vlastních</w:t>
      </w:r>
      <w:r>
        <w:rPr>
          <w:spacing w:val="-9"/>
          <w:sz w:val="20"/>
        </w:rPr>
        <w:t xml:space="preserve"> </w:t>
      </w:r>
      <w:r>
        <w:rPr>
          <w:sz w:val="20"/>
        </w:rPr>
        <w:t>zdrojů</w:t>
      </w:r>
      <w:r>
        <w:rPr>
          <w:spacing w:val="-9"/>
          <w:sz w:val="20"/>
        </w:rPr>
        <w:t xml:space="preserve"> </w:t>
      </w:r>
      <w:r>
        <w:rPr>
          <w:sz w:val="20"/>
        </w:rPr>
        <w:t>plně</w:t>
      </w:r>
      <w:r>
        <w:rPr>
          <w:spacing w:val="-11"/>
          <w:sz w:val="20"/>
        </w:rPr>
        <w:t xml:space="preserve"> </w:t>
      </w:r>
      <w:r>
        <w:rPr>
          <w:sz w:val="20"/>
        </w:rPr>
        <w:t>výdaje akce přesahující základ pro stanovení podp</w:t>
      </w:r>
      <w:r>
        <w:rPr>
          <w:sz w:val="20"/>
        </w:rPr>
        <w:t>ory. Ustanovení článku V bodu 1 tím není</w:t>
      </w:r>
      <w:r>
        <w:rPr>
          <w:spacing w:val="-28"/>
          <w:sz w:val="20"/>
        </w:rPr>
        <w:t xml:space="preserve"> </w:t>
      </w:r>
      <w:r>
        <w:rPr>
          <w:sz w:val="20"/>
        </w:rPr>
        <w:t>dotčeno.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7" w:line="242" w:lineRule="auto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změnu</w:t>
      </w:r>
      <w:r>
        <w:rPr>
          <w:spacing w:val="-1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13"/>
          <w:sz w:val="20"/>
        </w:rPr>
        <w:t xml:space="preserve"> </w:t>
      </w:r>
      <w:r>
        <w:rPr>
          <w:sz w:val="20"/>
        </w:rPr>
        <w:t>projektu.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22"/>
        <w:ind w:right="127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2"/>
          <w:sz w:val="20"/>
        </w:rPr>
        <w:t xml:space="preserve"> </w:t>
      </w:r>
      <w:r>
        <w:rPr>
          <w:sz w:val="20"/>
        </w:rPr>
        <w:t>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příj</w:t>
      </w:r>
      <w:r>
        <w:rPr>
          <w:sz w:val="20"/>
        </w:rPr>
        <w:t>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31"/>
          <w:sz w:val="20"/>
        </w:rPr>
        <w:t xml:space="preserve"> </w:t>
      </w:r>
      <w:r>
        <w:rPr>
          <w:sz w:val="20"/>
        </w:rPr>
        <w:t>ČR.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9"/>
        <w:ind w:hanging="428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303502" w:rsidRDefault="00533263">
      <w:pPr>
        <w:pStyle w:val="Odstavecseseznamem"/>
        <w:numPr>
          <w:ilvl w:val="1"/>
          <w:numId w:val="5"/>
        </w:numPr>
        <w:tabs>
          <w:tab w:val="left" w:pos="829"/>
        </w:tabs>
        <w:spacing w:before="120"/>
        <w:ind w:hanging="287"/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4"/>
          <w:sz w:val="20"/>
        </w:rPr>
        <w:t xml:space="preserve"> </w:t>
      </w:r>
      <w:r>
        <w:rPr>
          <w:sz w:val="20"/>
        </w:rPr>
        <w:t>dokladů,</w:t>
      </w:r>
    </w:p>
    <w:p w:rsidR="00303502" w:rsidRDefault="00533263">
      <w:pPr>
        <w:pStyle w:val="Odstavecseseznamem"/>
        <w:numPr>
          <w:ilvl w:val="1"/>
          <w:numId w:val="5"/>
        </w:numPr>
        <w:tabs>
          <w:tab w:val="left" w:pos="829"/>
        </w:tabs>
        <w:ind w:left="902" w:right="136" w:hanging="360"/>
        <w:jc w:val="both"/>
        <w:rPr>
          <w:sz w:val="20"/>
        </w:rPr>
      </w:pPr>
      <w:r>
        <w:rPr>
          <w:sz w:val="20"/>
        </w:rPr>
        <w:t>kopie  bankovních  výpisů  dokladující  uhrazení  faktur  zhotoviteli,  případně  doklady,  že  došlo  ke skutečnému uhrazení výdajů, včetně 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odvodů.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26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</w:t>
      </w:r>
      <w:r>
        <w:rPr>
          <w:sz w:val="20"/>
        </w:rPr>
        <w:t>rzuje, že předložené faktury odpovídají skutečným, účelně vynaloženým a způsobilým výdajům</w:t>
      </w:r>
      <w:r>
        <w:rPr>
          <w:spacing w:val="-20"/>
          <w:sz w:val="20"/>
        </w:rPr>
        <w:t xml:space="preserve"> </w:t>
      </w:r>
      <w:r>
        <w:rPr>
          <w:sz w:val="20"/>
        </w:rPr>
        <w:t>akce.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ind w:right="130" w:hanging="425"/>
        <w:jc w:val="both"/>
        <w:rPr>
          <w:sz w:val="20"/>
        </w:rPr>
      </w:pPr>
      <w:r>
        <w:rPr>
          <w:sz w:val="20"/>
        </w:rPr>
        <w:t>Fondu mohou být předloženy faktury již uhrazené, včetně podílu vlastních zdrojů. Fond akceptuje předložení faktur i z roku předcházejícího uvolnění podpory, po</w:t>
      </w:r>
      <w:r>
        <w:rPr>
          <w:sz w:val="20"/>
        </w:rPr>
        <w:t>kud fakturace odpovídá termínům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ind w:right="13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 Tyto pokyny mohou být uvedeny na formuláři fina</w:t>
      </w:r>
      <w:r>
        <w:rPr>
          <w:sz w:val="20"/>
        </w:rPr>
        <w:t>nčně platebního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kalendáře.</w:t>
      </w:r>
    </w:p>
    <w:p w:rsidR="00303502" w:rsidRDefault="00303502">
      <w:pPr>
        <w:jc w:val="both"/>
        <w:rPr>
          <w:sz w:val="20"/>
        </w:rPr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spacing w:before="81"/>
        <w:ind w:right="136" w:hanging="425"/>
        <w:jc w:val="both"/>
        <w:rPr>
          <w:sz w:val="20"/>
        </w:rPr>
      </w:pPr>
      <w:r>
        <w:rPr>
          <w:sz w:val="20"/>
        </w:rPr>
        <w:lastRenderedPageBreak/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8"/>
          <w:sz w:val="20"/>
        </w:rPr>
        <w:t xml:space="preserve"> </w:t>
      </w:r>
      <w:r>
        <w:rPr>
          <w:sz w:val="20"/>
        </w:rPr>
        <w:t>c).</w:t>
      </w:r>
    </w:p>
    <w:p w:rsidR="00303502" w:rsidRDefault="00533263">
      <w:pPr>
        <w:pStyle w:val="Odstavecseseznamem"/>
        <w:numPr>
          <w:ilvl w:val="0"/>
          <w:numId w:val="5"/>
        </w:numPr>
        <w:tabs>
          <w:tab w:val="left" w:pos="546"/>
        </w:tabs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3"/>
          <w:sz w:val="20"/>
        </w:rPr>
        <w:t xml:space="preserve"> </w:t>
      </w:r>
      <w:r>
        <w:rPr>
          <w:sz w:val="20"/>
        </w:rPr>
        <w:t>práce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5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přitom povinen respektovat případné pokyny Fondu na</w:t>
      </w:r>
      <w:r>
        <w:rPr>
          <w:sz w:val="20"/>
        </w:rPr>
        <w:t xml:space="preserve"> prokázání uvedených nákladů odpovídajícími účetními doklady.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spacing w:before="7"/>
        <w:ind w:left="0"/>
        <w:jc w:val="left"/>
        <w:rPr>
          <w:sz w:val="31"/>
        </w:rPr>
      </w:pPr>
    </w:p>
    <w:p w:rsidR="00303502" w:rsidRDefault="00533263">
      <w:pPr>
        <w:pStyle w:val="Nadpis1"/>
        <w:ind w:left="3263"/>
      </w:pPr>
      <w:r>
        <w:t>IV.</w:t>
      </w:r>
    </w:p>
    <w:p w:rsidR="00303502" w:rsidRDefault="00533263">
      <w:pPr>
        <w:ind w:left="1133" w:right="103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303502" w:rsidRDefault="00303502">
      <w:pPr>
        <w:pStyle w:val="Zkladntext"/>
        <w:spacing w:before="1"/>
        <w:ind w:left="0"/>
        <w:jc w:val="left"/>
        <w:rPr>
          <w:b/>
        </w:rPr>
      </w:pPr>
    </w:p>
    <w:p w:rsidR="00303502" w:rsidRDefault="00533263">
      <w:pPr>
        <w:pStyle w:val="Odstavecseseznamem"/>
        <w:numPr>
          <w:ilvl w:val="0"/>
          <w:numId w:val="4"/>
        </w:numPr>
        <w:tabs>
          <w:tab w:val="left" w:pos="546"/>
        </w:tabs>
        <w:spacing w:before="0"/>
        <w:ind w:hanging="28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9"/>
          <w:sz w:val="20"/>
        </w:rPr>
        <w:t xml:space="preserve"> </w:t>
      </w:r>
      <w:r>
        <w:rPr>
          <w:sz w:val="20"/>
        </w:rPr>
        <w:t>podpory: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hanging="287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ind w:right="125"/>
        <w:rPr>
          <w:sz w:val="20"/>
        </w:rPr>
      </w:pPr>
      <w:r>
        <w:rPr>
          <w:sz w:val="20"/>
        </w:rPr>
        <w:t xml:space="preserve">akce bude provedena v souladu s Fondem odsouhlaseným podrobným popisem projektového námětu „Uzavřený cyklus jídla v kavárně i restauraci" ze dne 30. 9. 2019, podle odsouhlaseného popisu projektu ze dne 30. 9. 2019 podle žádosti o poskytnutí podpory ze dne </w:t>
      </w:r>
      <w:r>
        <w:rPr>
          <w:sz w:val="20"/>
        </w:rPr>
        <w:t>5. 2. 2020 a podle aktualizovaného položkového rozpočtu ze dne 22. 6. 2020, včetně případných změn a doplňků těchto dokumentů odsouhlasených</w:t>
      </w:r>
      <w:r>
        <w:rPr>
          <w:spacing w:val="2"/>
          <w:sz w:val="20"/>
        </w:rPr>
        <w:t xml:space="preserve"> </w:t>
      </w:r>
      <w:r>
        <w:rPr>
          <w:sz w:val="20"/>
        </w:rPr>
        <w:t>Fondem,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17" w:line="242" w:lineRule="auto"/>
        <w:ind w:right="128"/>
        <w:rPr>
          <w:sz w:val="20"/>
        </w:rPr>
      </w:pPr>
      <w:r>
        <w:rPr>
          <w:sz w:val="20"/>
        </w:rPr>
        <w:t xml:space="preserve">zrealizuje celostátní kampaň k osvětě v oblasti </w:t>
      </w:r>
      <w:r>
        <w:rPr>
          <w:spacing w:val="-7"/>
          <w:sz w:val="20"/>
        </w:rPr>
        <w:t xml:space="preserve">nakládání </w:t>
      </w:r>
      <w:r>
        <w:rPr>
          <w:sz w:val="20"/>
        </w:rPr>
        <w:t xml:space="preserve">s </w:t>
      </w:r>
      <w:r>
        <w:rPr>
          <w:spacing w:val="-7"/>
          <w:sz w:val="20"/>
        </w:rPr>
        <w:t xml:space="preserve">odpady, </w:t>
      </w:r>
      <w:r>
        <w:rPr>
          <w:sz w:val="20"/>
        </w:rPr>
        <w:t>přičemž bude osloveno 500 000 osob a ak</w:t>
      </w:r>
      <w:r>
        <w:rPr>
          <w:sz w:val="20"/>
        </w:rPr>
        <w:t>tivně zapojeno 150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18"/>
        <w:ind w:right="12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kampaně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dokládat</w:t>
      </w:r>
      <w:r>
        <w:rPr>
          <w:spacing w:val="-9"/>
          <w:sz w:val="20"/>
        </w:rPr>
        <w:t xml:space="preserve"> </w:t>
      </w:r>
      <w:r>
        <w:rPr>
          <w:sz w:val="20"/>
        </w:rPr>
        <w:t>níže</w:t>
      </w:r>
      <w:r>
        <w:rPr>
          <w:spacing w:val="-10"/>
          <w:sz w:val="20"/>
        </w:rPr>
        <w:t xml:space="preserve"> </w:t>
      </w:r>
      <w:r>
        <w:rPr>
          <w:sz w:val="20"/>
        </w:rPr>
        <w:t>uvedené</w:t>
      </w:r>
      <w:r>
        <w:rPr>
          <w:spacing w:val="-7"/>
          <w:sz w:val="20"/>
        </w:rPr>
        <w:t xml:space="preserve"> </w:t>
      </w:r>
      <w:r>
        <w:rPr>
          <w:sz w:val="20"/>
        </w:rPr>
        <w:t>výstupy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(vždy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 žádosti o uvolnění finančních prostředků, v odůvodněných případech k závěrečnému vyhodnocení akce /ZVA/)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303502" w:rsidRDefault="00533263">
      <w:pPr>
        <w:pStyle w:val="Zkladntext"/>
        <w:spacing w:before="119"/>
        <w:ind w:left="970"/>
      </w:pPr>
      <w:r>
        <w:t>Aktivita 1: Osvětová mediální kampaň: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6"/>
        </w:tabs>
        <w:ind w:hanging="289"/>
        <w:rPr>
          <w:sz w:val="20"/>
        </w:rPr>
      </w:pPr>
      <w:r>
        <w:rPr>
          <w:sz w:val="20"/>
        </w:rPr>
        <w:t>natočení 1 videospotu se zapojením</w:t>
      </w:r>
      <w:r>
        <w:rPr>
          <w:spacing w:val="-1"/>
          <w:sz w:val="20"/>
        </w:rPr>
        <w:t xml:space="preserve"> </w:t>
      </w:r>
      <w:r>
        <w:rPr>
          <w:sz w:val="20"/>
        </w:rPr>
        <w:t>influencerů,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6"/>
        </w:tabs>
        <w:spacing w:before="120"/>
        <w:ind w:right="138"/>
        <w:rPr>
          <w:sz w:val="20"/>
        </w:rPr>
      </w:pPr>
      <w:r>
        <w:rPr>
          <w:sz w:val="20"/>
        </w:rPr>
        <w:t>realizace strategické PR kampaně na sociálních sítích a komunikačních kanálech (výsledky výzkumu na ověření potřeb cílové skupiny, 100 výstupů PR kampaně v mediích - vyda</w:t>
      </w:r>
      <w:r>
        <w:rPr>
          <w:sz w:val="20"/>
        </w:rPr>
        <w:t>né</w:t>
      </w:r>
      <w:r>
        <w:rPr>
          <w:spacing w:val="-37"/>
          <w:sz w:val="20"/>
        </w:rPr>
        <w:t xml:space="preserve"> </w:t>
      </w:r>
      <w:r>
        <w:rPr>
          <w:sz w:val="20"/>
        </w:rPr>
        <w:t>tiskové zprávy, printscreeny Facebookových stránek a Instagramu, uveřejnění v mediích</w:t>
      </w:r>
      <w:r>
        <w:rPr>
          <w:spacing w:val="-3"/>
          <w:sz w:val="20"/>
        </w:rPr>
        <w:t xml:space="preserve"> </w:t>
      </w:r>
      <w:r>
        <w:rPr>
          <w:sz w:val="20"/>
        </w:rPr>
        <w:t>aj.),</w:t>
      </w:r>
    </w:p>
    <w:p w:rsidR="00303502" w:rsidRDefault="00533263">
      <w:pPr>
        <w:pStyle w:val="Zkladntext"/>
        <w:spacing w:before="119"/>
        <w:ind w:left="970"/>
      </w:pPr>
      <w:r>
        <w:t>Aktivita 2: Informační webové stánky o uzavřeném cyklu jídla: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6"/>
        </w:tabs>
        <w:spacing w:before="120" w:line="348" w:lineRule="auto"/>
        <w:ind w:left="970" w:right="1880" w:hanging="3"/>
        <w:rPr>
          <w:sz w:val="20"/>
        </w:rPr>
      </w:pPr>
      <w:r>
        <w:rPr>
          <w:sz w:val="20"/>
        </w:rPr>
        <w:t>funkční webové stránky zaměřené na dané téma s umístěným videospotem, Aktivita 3: Vytvoření ukázkových restaurací, které aplikují uzavřený cyklus</w:t>
      </w:r>
      <w:r>
        <w:rPr>
          <w:spacing w:val="-22"/>
          <w:sz w:val="20"/>
        </w:rPr>
        <w:t xml:space="preserve"> </w:t>
      </w:r>
      <w:r>
        <w:rPr>
          <w:sz w:val="20"/>
        </w:rPr>
        <w:t>jídla: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6"/>
        </w:tabs>
        <w:spacing w:before="7"/>
        <w:ind w:hanging="243"/>
        <w:rPr>
          <w:sz w:val="20"/>
        </w:rPr>
      </w:pPr>
      <w:r>
        <w:rPr>
          <w:sz w:val="20"/>
        </w:rPr>
        <w:t>výsledky soutěže k výběru vhodných ukázkových</w:t>
      </w:r>
      <w:r>
        <w:rPr>
          <w:spacing w:val="3"/>
          <w:sz w:val="20"/>
        </w:rPr>
        <w:t xml:space="preserve"> </w:t>
      </w:r>
      <w:r>
        <w:rPr>
          <w:sz w:val="20"/>
        </w:rPr>
        <w:t>podniků,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6"/>
        </w:tabs>
        <w:spacing w:before="115" w:line="343" w:lineRule="auto"/>
        <w:ind w:left="1296" w:right="137" w:hanging="284"/>
        <w:jc w:val="left"/>
        <w:rPr>
          <w:sz w:val="20"/>
        </w:rPr>
      </w:pPr>
      <w:r>
        <w:rPr>
          <w:sz w:val="20"/>
        </w:rPr>
        <w:t>seznam finálně zapojených podniků, vždy minimáln</w:t>
      </w:r>
      <w:r>
        <w:rPr>
          <w:sz w:val="20"/>
        </w:rPr>
        <w:t>ě po jednom v každém ze 14 krajů České republiky,</w:t>
      </w:r>
    </w:p>
    <w:p w:rsidR="00303502" w:rsidRDefault="00533263">
      <w:pPr>
        <w:pStyle w:val="Zkladntext"/>
        <w:spacing w:before="6"/>
        <w:ind w:left="970"/>
        <w:jc w:val="left"/>
      </w:pPr>
      <w:r>
        <w:t>Aktivita 4: Aktivní prezentace konceptu uzavřeného cyklu jídla: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5"/>
          <w:tab w:val="left" w:pos="1256"/>
        </w:tabs>
        <w:spacing w:before="120"/>
        <w:ind w:hanging="289"/>
        <w:jc w:val="left"/>
        <w:rPr>
          <w:sz w:val="20"/>
        </w:rPr>
      </w:pPr>
      <w:r>
        <w:rPr>
          <w:sz w:val="20"/>
        </w:rPr>
        <w:t>účast na 3 akcích k aktivní prezentaci konceptu v</w:t>
      </w:r>
      <w:r>
        <w:rPr>
          <w:spacing w:val="2"/>
          <w:sz w:val="20"/>
        </w:rPr>
        <w:t xml:space="preserve"> </w:t>
      </w:r>
      <w:r>
        <w:rPr>
          <w:sz w:val="20"/>
        </w:rPr>
        <w:t>gastroprovozech,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55"/>
          <w:tab w:val="left" w:pos="1256"/>
        </w:tabs>
        <w:spacing w:before="120"/>
        <w:ind w:hanging="289"/>
        <w:jc w:val="left"/>
        <w:rPr>
          <w:sz w:val="20"/>
        </w:rPr>
      </w:pPr>
      <w:r>
        <w:rPr>
          <w:sz w:val="20"/>
        </w:rPr>
        <w:t>zápis s fotodokumentací z účasti na jednotlivých akcích,</w:t>
      </w:r>
    </w:p>
    <w:p w:rsidR="00303502" w:rsidRDefault="00303502">
      <w:pPr>
        <w:rPr>
          <w:sz w:val="20"/>
        </w:rPr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p w:rsidR="00303502" w:rsidRDefault="00533263">
      <w:pPr>
        <w:pStyle w:val="Zkladntext"/>
        <w:spacing w:before="81"/>
        <w:ind w:left="967"/>
        <w:jc w:val="left"/>
      </w:pPr>
      <w:r>
        <w:lastRenderedPageBreak/>
        <w:t>Akti</w:t>
      </w:r>
      <w:r>
        <w:t>vita 5: Poradenství a propagační materiály na dané téma:</w:t>
      </w:r>
    </w:p>
    <w:p w:rsidR="00303502" w:rsidRDefault="00533263">
      <w:pPr>
        <w:pStyle w:val="Odstavecseseznamem"/>
        <w:numPr>
          <w:ilvl w:val="3"/>
          <w:numId w:val="4"/>
        </w:numPr>
        <w:tabs>
          <w:tab w:val="left" w:pos="1296"/>
          <w:tab w:val="left" w:pos="1297"/>
        </w:tabs>
        <w:spacing w:before="118"/>
        <w:ind w:left="1296" w:hanging="287"/>
        <w:jc w:val="left"/>
        <w:rPr>
          <w:sz w:val="20"/>
        </w:rPr>
      </w:pPr>
      <w:r>
        <w:rPr>
          <w:sz w:val="20"/>
        </w:rPr>
        <w:t>elektronické varianty informačních materiálů (brožura/plakát a</w:t>
      </w:r>
      <w:r>
        <w:rPr>
          <w:spacing w:val="-3"/>
          <w:sz w:val="20"/>
        </w:rPr>
        <w:t xml:space="preserve"> </w:t>
      </w:r>
      <w:r>
        <w:rPr>
          <w:sz w:val="20"/>
        </w:rPr>
        <w:t>nálepka),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67"/>
          <w:tab w:val="left" w:pos="968"/>
        </w:tabs>
        <w:spacing w:before="120"/>
        <w:ind w:left="970" w:right="138" w:hanging="281"/>
        <w:jc w:val="left"/>
        <w:rPr>
          <w:sz w:val="20"/>
        </w:rPr>
      </w:pPr>
      <w:r>
        <w:rPr>
          <w:sz w:val="20"/>
        </w:rPr>
        <w:t>bude informovat Fond o termínech a místech akcí, a to nejpozději 10 pracovních dní před jejich zahájením 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FŽP,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67"/>
          <w:tab w:val="left" w:pos="968"/>
        </w:tabs>
        <w:ind w:left="967" w:hanging="279"/>
        <w:jc w:val="left"/>
        <w:rPr>
          <w:sz w:val="20"/>
        </w:rPr>
      </w:pPr>
      <w:r>
        <w:rPr>
          <w:sz w:val="20"/>
        </w:rPr>
        <w:t>jednotlivé aktivity musí být naplněny dle odsouhlaseného popisu projektu ze dne 30. 9.</w:t>
      </w:r>
      <w:r>
        <w:rPr>
          <w:spacing w:val="-30"/>
          <w:sz w:val="20"/>
        </w:rPr>
        <w:t xml:space="preserve"> </w:t>
      </w:r>
      <w:r>
        <w:rPr>
          <w:sz w:val="20"/>
        </w:rPr>
        <w:t>2019,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67"/>
          <w:tab w:val="left" w:pos="968"/>
        </w:tabs>
        <w:ind w:left="970" w:right="136" w:hanging="284"/>
        <w:jc w:val="left"/>
        <w:rPr>
          <w:sz w:val="20"/>
        </w:rPr>
      </w:pPr>
      <w:r>
        <w:rPr>
          <w:sz w:val="20"/>
        </w:rPr>
        <w:t>každoročně,  počínaje  rokem  2020,  doloží  Fondu  do   konce   listopadu   komunikační   plán pro následující</w:t>
      </w:r>
      <w:r>
        <w:rPr>
          <w:spacing w:val="-2"/>
          <w:sz w:val="20"/>
        </w:rPr>
        <w:t xml:space="preserve"> </w:t>
      </w:r>
      <w:r>
        <w:rPr>
          <w:sz w:val="20"/>
        </w:rPr>
        <w:t>rok,</w:t>
      </w:r>
    </w:p>
    <w:p w:rsidR="00303502" w:rsidRDefault="00303502">
      <w:pPr>
        <w:pStyle w:val="Zkladntext"/>
        <w:spacing w:before="12"/>
        <w:ind w:left="0"/>
        <w:jc w:val="left"/>
        <w:rPr>
          <w:sz w:val="37"/>
        </w:rPr>
      </w:pP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0"/>
        <w:ind w:hanging="287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8"/>
          <w:sz w:val="20"/>
        </w:rPr>
        <w:t xml:space="preserve"> </w:t>
      </w:r>
      <w:r>
        <w:rPr>
          <w:sz w:val="20"/>
        </w:rPr>
        <w:t>že: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ind w:hanging="289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20"/>
        <w:ind w:right="166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poskytnuta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4"/>
          <w:sz w:val="20"/>
        </w:rPr>
        <w:t xml:space="preserve"> </w:t>
      </w:r>
      <w:r>
        <w:rPr>
          <w:sz w:val="20"/>
        </w:rPr>
        <w:t>aktivit a jejich výstupů řádně plněn po dobu 3 let od ukončení 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68"/>
        </w:tabs>
        <w:spacing w:before="119"/>
        <w:ind w:left="970" w:right="135" w:hanging="284"/>
        <w:rPr>
          <w:sz w:val="20"/>
        </w:rPr>
      </w:pP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účetn</w:t>
      </w:r>
      <w:r>
        <w:rPr>
          <w:sz w:val="20"/>
        </w:rPr>
        <w:t>ictví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1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3"/>
          <w:sz w:val="20"/>
        </w:rPr>
        <w:t xml:space="preserve"> </w:t>
      </w:r>
      <w:r>
        <w:rPr>
          <w:sz w:val="20"/>
        </w:rPr>
        <w:t>563/1991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 v platném znění, zákon č. 586/1992 Sb., o daních z příjmů, v platném znění). Příjemce podpory se zavazuje</w:t>
      </w:r>
      <w:r>
        <w:rPr>
          <w:spacing w:val="-7"/>
          <w:sz w:val="20"/>
        </w:rPr>
        <w:t xml:space="preserve"> </w:t>
      </w: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transakce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akcí</w:t>
      </w:r>
      <w:r>
        <w:rPr>
          <w:spacing w:val="-7"/>
          <w:sz w:val="20"/>
        </w:rPr>
        <w:t xml:space="preserve"> </w:t>
      </w:r>
      <w:r>
        <w:rPr>
          <w:sz w:val="20"/>
        </w:rPr>
        <w:t>odděleně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ostatních</w:t>
      </w:r>
      <w:r>
        <w:rPr>
          <w:spacing w:val="-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6"/>
          <w:sz w:val="20"/>
        </w:rPr>
        <w:t xml:space="preserve"> </w:t>
      </w:r>
      <w:r>
        <w:rPr>
          <w:sz w:val="20"/>
        </w:rPr>
        <w:t>transakcí, které s akcí nesouvisejí, a zavazuje se vést analytickou evidenci s vazbou k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68"/>
        </w:tabs>
        <w:spacing w:before="117"/>
        <w:ind w:left="970" w:right="134" w:hanging="284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 osobám  pověřeným  Fondem  případně  jiným  oprávněným  ko</w:t>
      </w:r>
      <w:r>
        <w:rPr>
          <w:sz w:val="20"/>
        </w:rPr>
        <w:t>ntrolním  orgánům,  a to po dobu od podání žádosti o poskytnutí dotace do konce udržitelnosti</w:t>
      </w:r>
      <w:r>
        <w:rPr>
          <w:spacing w:val="-25"/>
          <w:sz w:val="20"/>
        </w:rPr>
        <w:t xml:space="preserve"> </w:t>
      </w:r>
      <w:r>
        <w:rPr>
          <w:sz w:val="20"/>
        </w:rPr>
        <w:t>projektu,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ind w:hanging="289"/>
        <w:rPr>
          <w:sz w:val="20"/>
        </w:rPr>
      </w:pPr>
      <w:r>
        <w:rPr>
          <w:sz w:val="20"/>
        </w:rPr>
        <w:t>bude dodržovat pravidla publicity dle pokynů v článku 10 písm. i)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18"/>
        <w:ind w:hanging="287"/>
        <w:jc w:val="both"/>
        <w:rPr>
          <w:sz w:val="20"/>
        </w:rPr>
      </w:pPr>
      <w:r>
        <w:rPr>
          <w:sz w:val="20"/>
        </w:rPr>
        <w:t>se zavazuje dodržet lhůty 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takto: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20"/>
        <w:ind w:right="131"/>
        <w:rPr>
          <w:sz w:val="20"/>
        </w:rPr>
      </w:pP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konce</w:t>
      </w:r>
      <w:r>
        <w:rPr>
          <w:spacing w:val="-10"/>
          <w:sz w:val="20"/>
        </w:rPr>
        <w:t xml:space="preserve"> </w:t>
      </w:r>
      <w:r>
        <w:rPr>
          <w:sz w:val="20"/>
        </w:rPr>
        <w:t>8/2022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9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 informovat (za termín ukončení projektu se považuje datum protokolu o předání a převzetí díla u relevantních aktivit). Přitom se konstatuje, že akce byla zahájena v</w:t>
      </w:r>
      <w:r>
        <w:rPr>
          <w:spacing w:val="-5"/>
          <w:sz w:val="20"/>
        </w:rPr>
        <w:t xml:space="preserve"> </w:t>
      </w:r>
      <w:r>
        <w:rPr>
          <w:sz w:val="20"/>
        </w:rPr>
        <w:t>9/2020,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22"/>
        <w:ind w:right="123"/>
        <w:jc w:val="both"/>
        <w:rPr>
          <w:sz w:val="20"/>
        </w:rPr>
      </w:pPr>
      <w:r>
        <w:rPr>
          <w:sz w:val="20"/>
        </w:rPr>
        <w:t>se zavazuje nejpozději do konce 11/2022  předložit prostřednictvím AIS SFŽP  ČR  Fondu  podklady k závěrečnému vyhodnocení akce (dále jen „ZVA") podle článku 12 písm. e) Výzvy a</w:t>
      </w:r>
      <w:r>
        <w:rPr>
          <w:spacing w:val="-19"/>
          <w:sz w:val="20"/>
        </w:rPr>
        <w:t xml:space="preserve"> </w:t>
      </w:r>
      <w:r>
        <w:rPr>
          <w:sz w:val="20"/>
        </w:rPr>
        <w:t>dále: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18"/>
        <w:ind w:hanging="289"/>
        <w:rPr>
          <w:sz w:val="20"/>
        </w:rPr>
      </w:pPr>
      <w:r>
        <w:rPr>
          <w:sz w:val="20"/>
        </w:rPr>
        <w:t>fotodokumentaci provedení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25" w:line="237" w:lineRule="auto"/>
        <w:ind w:right="134"/>
        <w:rPr>
          <w:sz w:val="20"/>
        </w:rPr>
      </w:pPr>
      <w:r>
        <w:rPr>
          <w:sz w:val="20"/>
        </w:rPr>
        <w:t>doklady prokazující realizaci aktivit po</w:t>
      </w:r>
      <w:r>
        <w:rPr>
          <w:sz w:val="20"/>
        </w:rPr>
        <w:t>dle písm. a) odrážky druhé a třetí, pokud nebyly Fondu doloženy</w:t>
      </w:r>
      <w:r>
        <w:rPr>
          <w:spacing w:val="-3"/>
          <w:sz w:val="20"/>
        </w:rPr>
        <w:t xml:space="preserve"> </w:t>
      </w:r>
      <w:r>
        <w:rPr>
          <w:sz w:val="20"/>
        </w:rPr>
        <w:t>dříve.</w:t>
      </w:r>
    </w:p>
    <w:p w:rsidR="00303502" w:rsidRDefault="00533263">
      <w:pPr>
        <w:pStyle w:val="Odstavecseseznamem"/>
        <w:numPr>
          <w:ilvl w:val="2"/>
          <w:numId w:val="4"/>
        </w:numPr>
        <w:tabs>
          <w:tab w:val="left" w:pos="944"/>
        </w:tabs>
        <w:spacing w:before="122"/>
        <w:ind w:right="130"/>
        <w:rPr>
          <w:sz w:val="20"/>
        </w:rPr>
      </w:pPr>
      <w:r>
        <w:rPr>
          <w:sz w:val="20"/>
        </w:rPr>
        <w:t xml:space="preserve">K ZVA může Fond vydat závazné pokyny (či požádat o informace), které mohou jeho obsah blíže specifikovat  či  rozšířit.  Příjemce  podpory  je   povinen   tyto   pokyny   (žádost   o   </w:t>
      </w:r>
      <w:r>
        <w:rPr>
          <w:sz w:val="20"/>
        </w:rPr>
        <w:t>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</w:t>
      </w:r>
      <w:r>
        <w:rPr>
          <w:sz w:val="20"/>
        </w:rPr>
        <w:t>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podmínek.</w:t>
      </w:r>
    </w:p>
    <w:p w:rsidR="00303502" w:rsidRDefault="00533263">
      <w:pPr>
        <w:pStyle w:val="Odstavecseseznamem"/>
        <w:numPr>
          <w:ilvl w:val="0"/>
          <w:numId w:val="4"/>
        </w:numPr>
        <w:tabs>
          <w:tab w:val="left" w:pos="546"/>
        </w:tabs>
        <w:ind w:hanging="287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8"/>
          <w:sz w:val="20"/>
        </w:rPr>
        <w:t xml:space="preserve"> </w:t>
      </w:r>
      <w:r>
        <w:rPr>
          <w:sz w:val="20"/>
        </w:rPr>
        <w:t>povinen: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18" w:line="242" w:lineRule="auto"/>
        <w:ind w:right="128"/>
        <w:jc w:val="both"/>
        <w:rPr>
          <w:sz w:val="20"/>
        </w:rPr>
      </w:pPr>
      <w:r>
        <w:rPr>
          <w:sz w:val="20"/>
        </w:rPr>
        <w:t xml:space="preserve">poskytnuté finanční </w:t>
      </w:r>
      <w:r>
        <w:rPr>
          <w:sz w:val="20"/>
        </w:rPr>
        <w:t>prostředky (podporu) použít výhradně k účelu podle této Smlouvy, nebo je nejpozději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ode</w:t>
      </w:r>
      <w:r>
        <w:rPr>
          <w:spacing w:val="-17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bankovní</w:t>
      </w:r>
      <w:r>
        <w:rPr>
          <w:spacing w:val="-13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31"/>
          <w:sz w:val="20"/>
        </w:rPr>
        <w:t xml:space="preserve"> </w:t>
      </w:r>
      <w:r>
        <w:rPr>
          <w:sz w:val="20"/>
        </w:rPr>
        <w:t>platba,</w:t>
      </w:r>
    </w:p>
    <w:p w:rsidR="00303502" w:rsidRDefault="00303502">
      <w:pPr>
        <w:spacing w:line="242" w:lineRule="auto"/>
        <w:jc w:val="both"/>
        <w:rPr>
          <w:sz w:val="20"/>
        </w:rPr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78"/>
        <w:ind w:right="131"/>
        <w:jc w:val="both"/>
        <w:rPr>
          <w:sz w:val="20"/>
        </w:rPr>
      </w:pPr>
      <w:r>
        <w:rPr>
          <w:sz w:val="20"/>
        </w:rPr>
        <w:lastRenderedPageBreak/>
        <w:t>vést o použití poskytnutých prostředků samostatnou průkaznou evidenci v souladu s právními předpisy,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ind w:right="13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 pro který je podpora poskytována; stejně je povinen postupovat i v případě, že oprávněná potřeba použít poskytnuté peněžní prostředky odpadne pouze na přecho</w:t>
      </w:r>
      <w:r>
        <w:rPr>
          <w:sz w:val="20"/>
        </w:rPr>
        <w:t>dnou</w:t>
      </w:r>
      <w:r>
        <w:rPr>
          <w:spacing w:val="-9"/>
          <w:sz w:val="20"/>
        </w:rPr>
        <w:t xml:space="preserve"> </w:t>
      </w:r>
      <w:r>
        <w:rPr>
          <w:sz w:val="20"/>
        </w:rPr>
        <w:t>dobu,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vrátit odpovídající  část podpory  v  případě, že  DPH  bude zahrnuta do  způsobilých  výdajů  akce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9"/>
          <w:sz w:val="20"/>
        </w:rPr>
        <w:t xml:space="preserve"> </w:t>
      </w:r>
      <w:r>
        <w:rPr>
          <w:sz w:val="20"/>
        </w:rPr>
        <w:t>vznikne,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24"/>
        <w:ind w:right="131"/>
        <w:jc w:val="both"/>
        <w:rPr>
          <w:sz w:val="20"/>
        </w:rPr>
      </w:pPr>
      <w:r>
        <w:rPr>
          <w:sz w:val="20"/>
        </w:rPr>
        <w:t>při případném překročení podílu dle článku  II  bodů  3  a 4  (jak procentního  podílu  ze základu  pro stanovení podpory, tak podílu z celkových výdajů a</w:t>
      </w:r>
      <w:r>
        <w:rPr>
          <w:sz w:val="20"/>
        </w:rPr>
        <w:t>kce) do 30 dnů vrátit tu část poskytnutých finančních prostředků, která odpovídá případnému překročení podílu dle článku II bodů 3 a</w:t>
      </w:r>
      <w:r>
        <w:rPr>
          <w:spacing w:val="-31"/>
          <w:sz w:val="20"/>
        </w:rPr>
        <w:t xml:space="preserve"> </w:t>
      </w:r>
      <w:r>
        <w:rPr>
          <w:sz w:val="20"/>
        </w:rPr>
        <w:t>4,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7"/>
          <w:sz w:val="20"/>
        </w:rPr>
        <w:t xml:space="preserve"> </w:t>
      </w:r>
      <w:r>
        <w:rPr>
          <w:sz w:val="20"/>
        </w:rPr>
        <w:t>vztahů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</w:t>
      </w:r>
      <w:r>
        <w:rPr>
          <w:sz w:val="20"/>
        </w:rPr>
        <w:t>dy nejpozději do 31. ledna následujícího kalendářního roku; k obsahu ročního finančního vypořádání může Fond vydat příjemci podpory závazné</w:t>
      </w:r>
      <w:r>
        <w:rPr>
          <w:spacing w:val="-7"/>
          <w:sz w:val="20"/>
        </w:rPr>
        <w:t xml:space="preserve"> </w:t>
      </w:r>
      <w:r>
        <w:rPr>
          <w:sz w:val="20"/>
        </w:rPr>
        <w:t>pokyny,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71"/>
        <w:ind w:right="1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1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6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ind w:right="134"/>
        <w:jc w:val="both"/>
        <w:rPr>
          <w:sz w:val="20"/>
        </w:rPr>
      </w:pPr>
      <w:r>
        <w:rPr>
          <w:sz w:val="20"/>
        </w:rPr>
        <w:t>bez zbytečného odkladu a před uplynutím smluvního  termínu požádat Fond o změnu Smlouvy       v pří</w:t>
      </w:r>
      <w:r>
        <w:rPr>
          <w:sz w:val="20"/>
        </w:rPr>
        <w:t>padě takových změn skutečností či podmínek předpokládaných ve Smlouvě, které by příjemci 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 touto</w:t>
      </w:r>
      <w:r>
        <w:rPr>
          <w:spacing w:val="-37"/>
          <w:sz w:val="20"/>
        </w:rPr>
        <w:t xml:space="preserve"> </w:t>
      </w:r>
      <w:r>
        <w:rPr>
          <w:sz w:val="20"/>
        </w:rPr>
        <w:t>Smlouvou),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right="12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mají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3"/>
          <w:sz w:val="20"/>
        </w:rPr>
        <w:t xml:space="preserve"> </w:t>
      </w:r>
      <w:r>
        <w:rPr>
          <w:sz w:val="20"/>
        </w:rPr>
        <w:t>mít</w:t>
      </w:r>
      <w:r>
        <w:rPr>
          <w:spacing w:val="-8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ind w:right="1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9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1"/>
          <w:sz w:val="20"/>
        </w:rPr>
        <w:t xml:space="preserve"> </w:t>
      </w:r>
      <w:r>
        <w:rPr>
          <w:sz w:val="20"/>
        </w:rPr>
        <w:t>kterými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5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</w:t>
      </w:r>
      <w:r>
        <w:rPr>
          <w:sz w:val="20"/>
        </w:rPr>
        <w:t xml:space="preserve"> informace) uvedené v této Smlouvě není pravdivé, bude považováno za porušení jeho povinnosti stanovené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303502" w:rsidRDefault="00533263">
      <w:pPr>
        <w:pStyle w:val="Odstavecseseznamem"/>
        <w:numPr>
          <w:ilvl w:val="1"/>
          <w:numId w:val="4"/>
        </w:numPr>
        <w:tabs>
          <w:tab w:val="left" w:pos="829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</w:t>
      </w:r>
      <w:r>
        <w:rPr>
          <w:sz w:val="20"/>
        </w:rPr>
        <w:t xml:space="preserve"> veřejných zakázek v OPŽP 2014-2020, které jsou zveřejněny na</w:t>
      </w:r>
      <w:r>
        <w:rPr>
          <w:spacing w:val="-4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12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303502" w:rsidRDefault="00533263">
      <w:pPr>
        <w:pStyle w:val="Zkladntext"/>
        <w:ind w:left="828" w:right="129"/>
      </w:pPr>
      <w:r>
        <w:t>–</w:t>
      </w:r>
      <w:r>
        <w:rPr>
          <w:spacing w:val="-11"/>
        </w:rPr>
        <w:t xml:space="preserve"> </w:t>
      </w:r>
      <w:r>
        <w:t>odkaz</w:t>
      </w:r>
      <w:r>
        <w:rPr>
          <w:spacing w:val="-15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Zadávání</w:t>
      </w:r>
      <w:r>
        <w:rPr>
          <w:spacing w:val="-16"/>
        </w:rPr>
        <w:t xml:space="preserve"> </w:t>
      </w:r>
      <w:r>
        <w:t>veřejných</w:t>
      </w:r>
      <w:r>
        <w:rPr>
          <w:spacing w:val="-18"/>
        </w:rPr>
        <w:t xml:space="preserve"> </w:t>
      </w:r>
      <w:r>
        <w:t>zakázek</w:t>
      </w:r>
      <w:r>
        <w:rPr>
          <w:spacing w:val="-20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OPŽP</w:t>
      </w:r>
      <w:r>
        <w:rPr>
          <w:spacing w:val="-20"/>
        </w:rPr>
        <w:t xml:space="preserve"> </w:t>
      </w:r>
      <w:r>
        <w:t>2014-2020,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průběhu</w:t>
      </w:r>
      <w:r>
        <w:rPr>
          <w:spacing w:val="-17"/>
        </w:rPr>
        <w:t xml:space="preserve"> </w:t>
      </w:r>
      <w:r>
        <w:t>realizace</w:t>
      </w:r>
      <w:r>
        <w:rPr>
          <w:spacing w:val="-14"/>
        </w:rPr>
        <w:t xml:space="preserve"> </w:t>
      </w:r>
      <w:r>
        <w:t>akce.</w:t>
      </w:r>
      <w:r>
        <w:rPr>
          <w:spacing w:val="-16"/>
        </w:rPr>
        <w:t xml:space="preserve"> </w:t>
      </w:r>
      <w:r>
        <w:t>Specifické povinnosti relevantní pouze pro OPŽP 2014-2020 se na příjemce podpory nevztahují. V této souvislosti příjemce podpory prohlašuje, že uvedená pravidla byla</w:t>
      </w:r>
      <w:r>
        <w:rPr>
          <w:spacing w:val="-13"/>
        </w:rPr>
        <w:t xml:space="preserve"> </w:t>
      </w:r>
      <w:r>
        <w:t>dodržena.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spacing w:before="2"/>
        <w:ind w:left="0"/>
        <w:jc w:val="left"/>
      </w:pPr>
    </w:p>
    <w:p w:rsidR="00303502" w:rsidRDefault="00533263">
      <w:pPr>
        <w:pStyle w:val="Nadpis1"/>
        <w:ind w:left="3289"/>
      </w:pPr>
      <w:r>
        <w:t>V.</w:t>
      </w:r>
    </w:p>
    <w:p w:rsidR="00303502" w:rsidRDefault="00533263">
      <w:pPr>
        <w:spacing w:before="1"/>
        <w:ind w:left="1161" w:right="1038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303502" w:rsidRDefault="00303502">
      <w:pPr>
        <w:pStyle w:val="Zkladntext"/>
        <w:spacing w:before="1"/>
        <w:ind w:left="0"/>
        <w:jc w:val="left"/>
        <w:rPr>
          <w:b/>
          <w:sz w:val="18"/>
        </w:rPr>
      </w:pPr>
    </w:p>
    <w:p w:rsidR="00303502" w:rsidRDefault="00533263">
      <w:pPr>
        <w:pStyle w:val="Odstavecseseznamem"/>
        <w:numPr>
          <w:ilvl w:val="0"/>
          <w:numId w:val="3"/>
        </w:numPr>
        <w:tabs>
          <w:tab w:val="left" w:pos="54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03502" w:rsidRDefault="00303502">
      <w:pPr>
        <w:jc w:val="both"/>
        <w:rPr>
          <w:sz w:val="20"/>
        </w:rPr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p w:rsidR="00303502" w:rsidRDefault="00533263">
      <w:pPr>
        <w:pStyle w:val="Odstavecseseznamem"/>
        <w:numPr>
          <w:ilvl w:val="0"/>
          <w:numId w:val="3"/>
        </w:numPr>
        <w:tabs>
          <w:tab w:val="left" w:pos="546"/>
        </w:tabs>
        <w:spacing w:before="78"/>
        <w:ind w:right="12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 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 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první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druhou</w:t>
      </w:r>
      <w:r>
        <w:rPr>
          <w:spacing w:val="-1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5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303502" w:rsidRDefault="00533263">
      <w:pPr>
        <w:pStyle w:val="Odstavecseseznamem"/>
        <w:numPr>
          <w:ilvl w:val="0"/>
          <w:numId w:val="3"/>
        </w:numPr>
        <w:tabs>
          <w:tab w:val="left" w:pos="546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  <w:r>
        <w:rPr>
          <w:spacing w:val="-4"/>
          <w:sz w:val="20"/>
        </w:rPr>
        <w:t xml:space="preserve"> </w:t>
      </w:r>
      <w:r>
        <w:rPr>
          <w:sz w:val="20"/>
        </w:rPr>
        <w:t>Byl-li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 IV bodu 1 písm. a) za druhou nebo třetí odrážkou na méně než 50 % stanovených indikátorů, bude toto 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 50-90  %  stanovených  indikátorů,  bude  toto  porušení  postiženo  odvodem  v  rozmezí  10-100  %   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akce v rozmezí 90-100 % stanovených indikátorů </w:t>
      </w:r>
      <w:r>
        <w:rPr>
          <w:sz w:val="20"/>
        </w:rPr>
        <w:t>nebude 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odvodem.</w:t>
      </w:r>
    </w:p>
    <w:p w:rsidR="00303502" w:rsidRDefault="00533263">
      <w:pPr>
        <w:pStyle w:val="Odstavecseseznamem"/>
        <w:numPr>
          <w:ilvl w:val="0"/>
          <w:numId w:val="3"/>
        </w:numPr>
        <w:tabs>
          <w:tab w:val="left" w:pos="5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 xml:space="preserve">Porušení povinností podle  článku IV bodu 1 písm. c)  nebo  d) bude postiženo odvodem ve výši 0,5 %  z poskytnuté podpory za každý započatý měsíc prodlení. Porušení těchto povinností nepřesahující lhůtu 10 kalendářních dnů nebude </w:t>
      </w:r>
      <w:r>
        <w:rPr>
          <w:sz w:val="20"/>
        </w:rPr>
        <w:t>postiženo a nebude tak považováno za porušení podmínek poskytnutí podpory.</w:t>
      </w:r>
    </w:p>
    <w:p w:rsidR="00303502" w:rsidRDefault="00533263">
      <w:pPr>
        <w:pStyle w:val="Odstavecseseznamem"/>
        <w:numPr>
          <w:ilvl w:val="0"/>
          <w:numId w:val="3"/>
        </w:numPr>
        <w:tabs>
          <w:tab w:val="left" w:pos="546"/>
        </w:tabs>
        <w:spacing w:before="120" w:line="242" w:lineRule="auto"/>
        <w:ind w:right="131"/>
        <w:jc w:val="both"/>
        <w:rPr>
          <w:sz w:val="20"/>
        </w:rPr>
      </w:pP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dojde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1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5"/>
          <w:sz w:val="20"/>
        </w:rPr>
        <w:t xml:space="preserve"> </w:t>
      </w:r>
      <w:r>
        <w:rPr>
          <w:sz w:val="20"/>
        </w:rPr>
        <w:t>IV</w:t>
      </w:r>
      <w:r>
        <w:rPr>
          <w:spacing w:val="-15"/>
          <w:sz w:val="20"/>
        </w:rPr>
        <w:t xml:space="preserve"> </w:t>
      </w:r>
      <w:r>
        <w:rPr>
          <w:sz w:val="20"/>
        </w:rPr>
        <w:t>bodu</w:t>
      </w:r>
      <w:r>
        <w:rPr>
          <w:spacing w:val="-15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k),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303502" w:rsidRDefault="00533263">
      <w:pPr>
        <w:pStyle w:val="Odstavecseseznamem"/>
        <w:numPr>
          <w:ilvl w:val="0"/>
          <w:numId w:val="3"/>
        </w:numPr>
        <w:tabs>
          <w:tab w:val="left" w:pos="546"/>
        </w:tabs>
        <w:spacing w:before="70"/>
        <w:ind w:right="1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303502" w:rsidRDefault="00303502">
      <w:pPr>
        <w:pStyle w:val="Zkladntext"/>
        <w:spacing w:before="1"/>
        <w:ind w:left="0"/>
        <w:jc w:val="left"/>
        <w:rPr>
          <w:sz w:val="36"/>
        </w:rPr>
      </w:pPr>
    </w:p>
    <w:p w:rsidR="00303502" w:rsidRDefault="00533263">
      <w:pPr>
        <w:pStyle w:val="Nadpis1"/>
        <w:spacing w:before="1"/>
        <w:ind w:left="3292"/>
      </w:pPr>
      <w:r>
        <w:t>VI.</w:t>
      </w:r>
    </w:p>
    <w:p w:rsidR="00303502" w:rsidRDefault="00533263">
      <w:pPr>
        <w:ind w:left="3290" w:right="316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303502" w:rsidRDefault="00303502">
      <w:pPr>
        <w:pStyle w:val="Zkladntext"/>
        <w:spacing w:before="1"/>
        <w:ind w:left="0"/>
        <w:jc w:val="left"/>
        <w:rPr>
          <w:b/>
          <w:sz w:val="18"/>
        </w:rPr>
      </w:pP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spacing w:before="0"/>
        <w:ind w:right="128"/>
        <w:jc w:val="both"/>
        <w:rPr>
          <w:sz w:val="20"/>
        </w:rPr>
      </w:pPr>
      <w:r>
        <w:rPr>
          <w:sz w:val="20"/>
        </w:rPr>
        <w:t xml:space="preserve">Pokud dojde ke změně obecně závazných právních předpisů týkajících se vztahů vyplývajících z této Smlouvy, uzavřou smluvní </w:t>
      </w:r>
      <w:r>
        <w:rPr>
          <w:sz w:val="20"/>
        </w:rPr>
        <w:t>strany k této Smlouvě dodatek, kterým bude zajištěn její soulad s obecně závaznými předpisy a Směrnicí MŽP. V případě neuzavření takového dodatku má Fond právo uplatnit postup podle článku V bodu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 akce, uvádět vždy číslo této Smlouvy, a to již v označení věci, které se daná korespondence</w:t>
      </w:r>
      <w:r>
        <w:rPr>
          <w:spacing w:val="-22"/>
          <w:sz w:val="20"/>
        </w:rPr>
        <w:t xml:space="preserve"> </w:t>
      </w:r>
      <w:r>
        <w:rPr>
          <w:spacing w:val="2"/>
          <w:sz w:val="20"/>
        </w:rPr>
        <w:t>budetýkat.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</w:t>
      </w:r>
      <w:r>
        <w:rPr>
          <w:sz w:val="20"/>
        </w:rPr>
        <w:t>vy může Fond podmínit krácením nebo nepřiznáním nároku na zbývající část podpory podle článku III bodů 2 až 8, a to zejména tehdy, kdy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spacing w:before="119"/>
        <w:ind w:right="134"/>
        <w:rPr>
          <w:sz w:val="20"/>
        </w:rPr>
      </w:pPr>
      <w:r>
        <w:rPr>
          <w:sz w:val="20"/>
        </w:rPr>
        <w:t>Jednostranně je</w:t>
      </w:r>
      <w:r>
        <w:rPr>
          <w:sz w:val="20"/>
        </w:rPr>
        <w:t xml:space="preserve"> možno tuto Smlouvu vypovědět pouze za podmínek stanovených zákonem či touto Smlouvou.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ind w:right="132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6"/>
          <w:sz w:val="20"/>
        </w:rPr>
        <w:t xml:space="preserve"> </w:t>
      </w:r>
      <w:r>
        <w:rPr>
          <w:sz w:val="20"/>
        </w:rPr>
        <w:t>čtvrté.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ind w:hanging="287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stejný</w:t>
      </w:r>
      <w:r>
        <w:rPr>
          <w:spacing w:val="-2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1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7"/>
          <w:sz w:val="20"/>
        </w:rPr>
        <w:t xml:space="preserve"> </w:t>
      </w:r>
      <w:r>
        <w:rPr>
          <w:sz w:val="20"/>
        </w:rPr>
        <w:t>podpory.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spacing w:before="118"/>
        <w:ind w:right="12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v AIS SFŽP ČR,    v</w:t>
      </w:r>
      <w:r>
        <w:rPr>
          <w:spacing w:val="-8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</w:t>
      </w:r>
      <w:r>
        <w:rPr>
          <w:spacing w:val="-1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4"/>
          <w:sz w:val="20"/>
        </w:rPr>
        <w:t xml:space="preserve"> </w:t>
      </w:r>
      <w:r>
        <w:rPr>
          <w:sz w:val="20"/>
        </w:rPr>
        <w:t>e-mailem</w:t>
      </w:r>
      <w:r>
        <w:rPr>
          <w:spacing w:val="-16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2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datovou</w:t>
      </w:r>
      <w:r>
        <w:rPr>
          <w:spacing w:val="-12"/>
          <w:sz w:val="20"/>
        </w:rPr>
        <w:t xml:space="preserve"> </w:t>
      </w:r>
      <w:r>
        <w:rPr>
          <w:sz w:val="20"/>
        </w:rPr>
        <w:t>schránkou.</w:t>
      </w: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ind w:right="126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</w:t>
      </w:r>
      <w:r>
        <w:rPr>
          <w:sz w:val="20"/>
        </w:rPr>
        <w:t>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 ukládá.</w:t>
      </w:r>
    </w:p>
    <w:p w:rsidR="00303502" w:rsidRDefault="00303502">
      <w:pPr>
        <w:jc w:val="both"/>
        <w:rPr>
          <w:sz w:val="20"/>
        </w:rPr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p w:rsidR="00303502" w:rsidRDefault="00533263">
      <w:pPr>
        <w:pStyle w:val="Odstavecseseznamem"/>
        <w:numPr>
          <w:ilvl w:val="0"/>
          <w:numId w:val="2"/>
        </w:numPr>
        <w:tabs>
          <w:tab w:val="left" w:pos="546"/>
        </w:tabs>
        <w:spacing w:before="81"/>
        <w:ind w:right="130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03502" w:rsidRDefault="00303502">
      <w:pPr>
        <w:pStyle w:val="Zkladntext"/>
        <w:ind w:left="0"/>
        <w:jc w:val="left"/>
        <w:rPr>
          <w:sz w:val="36"/>
        </w:rPr>
      </w:pPr>
    </w:p>
    <w:p w:rsidR="00303502" w:rsidRDefault="00533263">
      <w:pPr>
        <w:pStyle w:val="Zkladntext"/>
        <w:tabs>
          <w:tab w:val="left" w:pos="6711"/>
        </w:tabs>
        <w:ind w:left="262"/>
        <w:jc w:val="left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303502" w:rsidRDefault="00303502">
      <w:pPr>
        <w:pStyle w:val="Zkladntext"/>
        <w:spacing w:before="1"/>
        <w:ind w:left="0"/>
        <w:jc w:val="left"/>
        <w:rPr>
          <w:sz w:val="18"/>
        </w:rPr>
      </w:pPr>
    </w:p>
    <w:p w:rsidR="00303502" w:rsidRDefault="00533263">
      <w:pPr>
        <w:pStyle w:val="Zkladntext"/>
        <w:ind w:left="262"/>
        <w:jc w:val="left"/>
      </w:pPr>
      <w:r>
        <w:t>dne:</w:t>
      </w:r>
    </w:p>
    <w:p w:rsidR="00303502" w:rsidRDefault="00303502">
      <w:pPr>
        <w:pStyle w:val="Zkladntext"/>
        <w:spacing w:before="4"/>
        <w:ind w:left="0"/>
        <w:jc w:val="left"/>
        <w:rPr>
          <w:sz w:val="29"/>
        </w:rPr>
      </w:pPr>
    </w:p>
    <w:p w:rsidR="00303502" w:rsidRDefault="00533263">
      <w:pPr>
        <w:pStyle w:val="Zkladntext"/>
        <w:tabs>
          <w:tab w:val="left" w:pos="6742"/>
        </w:tabs>
        <w:spacing w:line="265" w:lineRule="exact"/>
        <w:ind w:left="26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303502" w:rsidRDefault="00533263">
      <w:pPr>
        <w:pStyle w:val="Zkladntext"/>
        <w:tabs>
          <w:tab w:val="left" w:pos="6742"/>
        </w:tabs>
        <w:spacing w:line="265" w:lineRule="exact"/>
        <w:ind w:left="262"/>
        <w:jc w:val="left"/>
      </w:pPr>
      <w:r>
        <w:t>zástupce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spacing w:before="7"/>
        <w:ind w:left="0"/>
        <w:jc w:val="left"/>
        <w:rPr>
          <w:sz w:val="19"/>
        </w:rPr>
      </w:pPr>
    </w:p>
    <w:p w:rsidR="00303502" w:rsidRDefault="00533263">
      <w:pPr>
        <w:pStyle w:val="Zkladntext"/>
        <w:spacing w:line="266" w:lineRule="auto"/>
        <w:ind w:left="262"/>
        <w:jc w:val="left"/>
      </w:pPr>
      <w:r>
        <w:t>Příloha</w:t>
      </w:r>
      <w:r>
        <w:rPr>
          <w:spacing w:val="-13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Stanovení</w:t>
      </w:r>
      <w:r>
        <w:rPr>
          <w:spacing w:val="-15"/>
        </w:rPr>
        <w:t xml:space="preserve"> </w:t>
      </w:r>
      <w:r>
        <w:t>finančních</w:t>
      </w:r>
      <w:r>
        <w:rPr>
          <w:spacing w:val="-15"/>
        </w:rPr>
        <w:t xml:space="preserve"> </w:t>
      </w:r>
      <w:r>
        <w:t>oprav,</w:t>
      </w:r>
      <w:r>
        <w:rPr>
          <w:spacing w:val="-15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použijí</w:t>
      </w:r>
      <w:r>
        <w:rPr>
          <w:spacing w:val="-17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7"/>
        </w:rPr>
        <w:t xml:space="preserve"> </w:t>
      </w:r>
      <w:r>
        <w:t>porušení</w:t>
      </w:r>
      <w:r>
        <w:rPr>
          <w:spacing w:val="-18"/>
        </w:rPr>
        <w:t xml:space="preserve"> </w:t>
      </w:r>
      <w:r>
        <w:t>povinností</w:t>
      </w:r>
      <w:r>
        <w:rPr>
          <w:spacing w:val="-16"/>
        </w:rPr>
        <w:t xml:space="preserve"> </w:t>
      </w:r>
      <w:r>
        <w:t>při</w:t>
      </w:r>
      <w:r>
        <w:rPr>
          <w:spacing w:val="-17"/>
        </w:rPr>
        <w:t xml:space="preserve"> </w:t>
      </w:r>
      <w:r>
        <w:t>zadávání</w:t>
      </w:r>
      <w:r>
        <w:rPr>
          <w:spacing w:val="-17"/>
        </w:rPr>
        <w:t xml:space="preserve"> </w:t>
      </w:r>
      <w:r>
        <w:t>zakázek/ veřejných</w:t>
      </w:r>
      <w:r>
        <w:rPr>
          <w:spacing w:val="-1"/>
        </w:rPr>
        <w:t xml:space="preserve"> </w:t>
      </w:r>
      <w:r>
        <w:t>zakázek</w:t>
      </w:r>
    </w:p>
    <w:p w:rsidR="00303502" w:rsidRDefault="00303502">
      <w:pPr>
        <w:spacing w:line="266" w:lineRule="auto"/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p w:rsidR="00303502" w:rsidRDefault="00533263">
      <w:pPr>
        <w:pStyle w:val="Zkladntext"/>
        <w:spacing w:before="81"/>
        <w:ind w:left="262"/>
        <w:jc w:val="left"/>
      </w:pPr>
      <w:r>
        <w:lastRenderedPageBreak/>
        <w:t>Příloha č. 1 Smlouva o poskytnutí podpory ze Státního fondu životního prostředí České republiky</w:t>
      </w:r>
    </w:p>
    <w:p w:rsidR="00303502" w:rsidRDefault="00303502">
      <w:pPr>
        <w:pStyle w:val="Zkladntext"/>
        <w:ind w:left="0"/>
        <w:jc w:val="left"/>
        <w:rPr>
          <w:sz w:val="26"/>
        </w:rPr>
      </w:pPr>
    </w:p>
    <w:p w:rsidR="00303502" w:rsidRDefault="00303502">
      <w:pPr>
        <w:pStyle w:val="Zkladntext"/>
        <w:spacing w:before="2"/>
        <w:ind w:left="0"/>
        <w:jc w:val="left"/>
        <w:rPr>
          <w:sz w:val="32"/>
        </w:rPr>
      </w:pPr>
    </w:p>
    <w:p w:rsidR="00303502" w:rsidRDefault="00533263">
      <w:pPr>
        <w:pStyle w:val="Nadpis1"/>
        <w:spacing w:line="264" w:lineRule="auto"/>
        <w:ind w:right="467"/>
        <w:jc w:val="left"/>
      </w:pPr>
      <w:r>
        <w:t>Stanovení finančních oprav, které se použijí v případě porušení povinností při zadávání zakázek/ veřejných zakázek</w:t>
      </w:r>
    </w:p>
    <w:p w:rsidR="00303502" w:rsidRDefault="00303502">
      <w:pPr>
        <w:pStyle w:val="Zkladntext"/>
        <w:spacing w:before="1"/>
        <w:ind w:left="0"/>
        <w:jc w:val="left"/>
        <w:rPr>
          <w:b/>
          <w:sz w:val="27"/>
        </w:rPr>
      </w:pP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before="0" w:line="264" w:lineRule="auto"/>
        <w:ind w:right="126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zákonem</w:t>
      </w:r>
      <w:r>
        <w:rPr>
          <w:spacing w:val="-17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16"/>
          <w:sz w:val="20"/>
        </w:rPr>
        <w:t xml:space="preserve"> </w:t>
      </w:r>
      <w:r>
        <w:rPr>
          <w:sz w:val="20"/>
        </w:rPr>
        <w:t>kázně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</w:p>
    <w:p w:rsidR="00303502" w:rsidRDefault="00533263">
      <w:pPr>
        <w:pStyle w:val="Zkladntext"/>
        <w:spacing w:line="264" w:lineRule="auto"/>
        <w:ind w:right="124"/>
      </w:pPr>
      <w:r>
        <w:t>2) písm. k) Smlouvy při zadávání zakázek/veřejných zakázek (dále souhrnně jen „veřejné zakázky“), zejména v nedodržení postupu podle zákona č. 134/2016 Sb., o zadávání veřejných zakázek, ve znění účinném v d</w:t>
      </w:r>
      <w:r>
        <w:t>obě zahájení zadávacího řízení, případně zákona č. 137/2006 Sb., o veřejných zakázkách, ve znění</w:t>
      </w:r>
      <w:r>
        <w:rPr>
          <w:spacing w:val="-15"/>
        </w:rPr>
        <w:t xml:space="preserve"> </w:t>
      </w:r>
      <w:r>
        <w:t>účinném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době</w:t>
      </w:r>
      <w:r>
        <w:rPr>
          <w:spacing w:val="-15"/>
        </w:rPr>
        <w:t xml:space="preserve"> </w:t>
      </w:r>
      <w:r>
        <w:t>zahájení</w:t>
      </w:r>
      <w:r>
        <w:rPr>
          <w:spacing w:val="-14"/>
        </w:rPr>
        <w:t xml:space="preserve"> </w:t>
      </w:r>
      <w:r>
        <w:t>zadávacího</w:t>
      </w:r>
      <w:r>
        <w:rPr>
          <w:spacing w:val="-14"/>
        </w:rPr>
        <w:t xml:space="preserve"> </w:t>
      </w:r>
      <w:r>
        <w:t>řízení</w:t>
      </w:r>
      <w:r>
        <w:rPr>
          <w:spacing w:val="-15"/>
        </w:rPr>
        <w:t xml:space="preserve"> </w:t>
      </w:r>
      <w:r>
        <w:t>(dále</w:t>
      </w:r>
      <w:r>
        <w:rPr>
          <w:spacing w:val="-16"/>
        </w:rPr>
        <w:t xml:space="preserve"> </w:t>
      </w:r>
      <w:r>
        <w:t>souhrnně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„zákon“)</w:t>
      </w:r>
      <w:r>
        <w:rPr>
          <w:spacing w:val="-14"/>
        </w:rPr>
        <w:t xml:space="preserve"> </w:t>
      </w:r>
      <w:r>
        <w:t>a/nebo</w:t>
      </w:r>
      <w:r>
        <w:rPr>
          <w:spacing w:val="-13"/>
        </w:rPr>
        <w:t xml:space="preserve"> </w:t>
      </w:r>
      <w:r>
        <w:t>nedodržení</w:t>
      </w:r>
      <w:r>
        <w:rPr>
          <w:spacing w:val="-15"/>
        </w:rPr>
        <w:t xml:space="preserve"> </w:t>
      </w:r>
      <w:r>
        <w:t>postupu stanoveného v Pokynech pro zadávání veřejných zakázek v OPŽP 20</w:t>
      </w:r>
      <w:r>
        <w:t>14 – 2020, ve znění účinném v době zahájení výběrového/zadávacího řízení (dále jen „Pokyny OPŽP“), případně v dokumentu Zadávání veřejných</w:t>
      </w:r>
      <w:r>
        <w:rPr>
          <w:spacing w:val="-5"/>
        </w:rPr>
        <w:t xml:space="preserve"> </w:t>
      </w:r>
      <w:r>
        <w:t>zakázek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OPŽP</w:t>
      </w:r>
      <w:r>
        <w:rPr>
          <w:spacing w:val="-4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2020,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účinném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zahájení</w:t>
      </w:r>
      <w:r>
        <w:rPr>
          <w:spacing w:val="-4"/>
        </w:rPr>
        <w:t xml:space="preserve"> </w:t>
      </w:r>
      <w:r>
        <w:t>výběrového/zadávacího</w:t>
      </w:r>
      <w:r>
        <w:rPr>
          <w:spacing w:val="-3"/>
        </w:rPr>
        <w:t xml:space="preserve"> </w:t>
      </w:r>
      <w:r>
        <w:t>řízení (dále jen „Zadávání VZ v</w:t>
      </w:r>
      <w:r>
        <w:rPr>
          <w:spacing w:val="-1"/>
        </w:rPr>
        <w:t xml:space="preserve"> </w:t>
      </w:r>
      <w:r>
        <w:t>OP</w:t>
      </w:r>
      <w:r>
        <w:t>ŽP“).</w:t>
      </w: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before="120" w:line="264" w:lineRule="auto"/>
        <w:ind w:right="13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oprava.</w:t>
      </w: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line="264" w:lineRule="auto"/>
        <w:ind w:right="131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typu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10"/>
          <w:sz w:val="20"/>
        </w:rPr>
        <w:t xml:space="preserve"> </w:t>
      </w:r>
      <w:r>
        <w:rPr>
          <w:sz w:val="20"/>
        </w:rPr>
        <w:t>viz</w:t>
      </w:r>
      <w:r>
        <w:rPr>
          <w:spacing w:val="-3"/>
          <w:sz w:val="20"/>
        </w:rPr>
        <w:t xml:space="preserve"> </w:t>
      </w:r>
      <w:r>
        <w:rPr>
          <w:sz w:val="20"/>
        </w:rPr>
        <w:t>tabulka</w:t>
      </w:r>
      <w:r>
        <w:rPr>
          <w:spacing w:val="-8"/>
          <w:sz w:val="20"/>
        </w:rPr>
        <w:t xml:space="preserve"> </w:t>
      </w:r>
      <w:r>
        <w:rPr>
          <w:sz w:val="20"/>
        </w:rPr>
        <w:t>níže.</w:t>
      </w: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before="120" w:line="264" w:lineRule="auto"/>
        <w:ind w:right="129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vyskytlo.</w:t>
      </w: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line="264" w:lineRule="auto"/>
        <w:ind w:right="129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</w:t>
      </w:r>
      <w:r>
        <w:rPr>
          <w:sz w:val="20"/>
        </w:rPr>
        <w:t>ntifikováno</w:t>
      </w:r>
      <w:r>
        <w:rPr>
          <w:spacing w:val="-3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6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before="118" w:line="264" w:lineRule="auto"/>
        <w:ind w:right="125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7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možného</w:t>
      </w:r>
      <w:r>
        <w:rPr>
          <w:spacing w:val="-3"/>
          <w:sz w:val="20"/>
        </w:rPr>
        <w:t xml:space="preserve"> </w:t>
      </w:r>
      <w:r>
        <w:rPr>
          <w:sz w:val="20"/>
        </w:rPr>
        <w:t>vlivu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3"/>
          <w:sz w:val="20"/>
        </w:rPr>
        <w:t xml:space="preserve"> </w:t>
      </w:r>
      <w:r>
        <w:rPr>
          <w:sz w:val="20"/>
        </w:rPr>
        <w:t>řízení,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5"/>
          <w:sz w:val="20"/>
        </w:rPr>
        <w:t xml:space="preserve"> </w:t>
      </w:r>
      <w:r>
        <w:rPr>
          <w:sz w:val="20"/>
        </w:rPr>
        <w:t>zásad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nutno</w:t>
      </w:r>
      <w:r>
        <w:rPr>
          <w:spacing w:val="-4"/>
          <w:sz w:val="20"/>
        </w:rPr>
        <w:t xml:space="preserve"> </w:t>
      </w:r>
      <w:r>
        <w:rPr>
          <w:sz w:val="20"/>
        </w:rPr>
        <w:t>považovat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závažné</w:t>
      </w:r>
      <w:r>
        <w:rPr>
          <w:spacing w:val="-5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důsledku</w:t>
      </w:r>
      <w:r>
        <w:rPr>
          <w:spacing w:val="-6"/>
          <w:sz w:val="20"/>
        </w:rPr>
        <w:t xml:space="preserve"> </w:t>
      </w:r>
      <w:r>
        <w:rPr>
          <w:sz w:val="20"/>
        </w:rPr>
        <w:t>došlo</w:t>
      </w:r>
      <w:r>
        <w:rPr>
          <w:spacing w:val="-5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 zakázky jinému dodavateli, než kterému měla být</w:t>
      </w:r>
      <w:r>
        <w:rPr>
          <w:spacing w:val="4"/>
          <w:sz w:val="20"/>
        </w:rPr>
        <w:t xml:space="preserve"> </w:t>
      </w:r>
      <w:r>
        <w:rPr>
          <w:sz w:val="20"/>
        </w:rPr>
        <w:t>zadána.</w:t>
      </w:r>
    </w:p>
    <w:p w:rsidR="00303502" w:rsidRDefault="00533263">
      <w:pPr>
        <w:pStyle w:val="Odstavecseseznamem"/>
        <w:numPr>
          <w:ilvl w:val="0"/>
          <w:numId w:val="1"/>
        </w:numPr>
        <w:tabs>
          <w:tab w:val="left" w:pos="546"/>
        </w:tabs>
        <w:spacing w:before="124" w:line="261" w:lineRule="auto"/>
        <w:ind w:right="128" w:hanging="425"/>
        <w:jc w:val="both"/>
        <w:rPr>
          <w:sz w:val="20"/>
        </w:rPr>
      </w:pPr>
      <w:r>
        <w:rPr>
          <w:sz w:val="20"/>
        </w:rPr>
        <w:t>V případě, že bude identifikováno porušen</w:t>
      </w:r>
      <w:r>
        <w:rPr>
          <w:sz w:val="20"/>
        </w:rPr>
        <w:t>í, které nelze podřadit pod konkrétní typ porušení uvedený   v tabulce níže, bude stanovena finanční oprava dle zásady</w:t>
      </w:r>
      <w:r>
        <w:rPr>
          <w:spacing w:val="-18"/>
          <w:sz w:val="20"/>
        </w:rPr>
        <w:t xml:space="preserve"> </w:t>
      </w:r>
      <w:r>
        <w:rPr>
          <w:sz w:val="20"/>
        </w:rPr>
        <w:t>přiměřenosti.</w:t>
      </w:r>
    </w:p>
    <w:p w:rsidR="00303502" w:rsidRDefault="00303502">
      <w:pPr>
        <w:spacing w:line="261" w:lineRule="auto"/>
        <w:jc w:val="both"/>
        <w:rPr>
          <w:sz w:val="20"/>
        </w:rPr>
        <w:sectPr w:rsidR="00303502">
          <w:pgSz w:w="12240" w:h="15840"/>
          <w:pgMar w:top="980" w:right="1000" w:bottom="1660" w:left="1440" w:header="0" w:footer="1380" w:gutter="0"/>
          <w:cols w:space="708"/>
        </w:sectPr>
      </w:pP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3"/>
        <w:gridCol w:w="3485"/>
        <w:gridCol w:w="3188"/>
      </w:tblGrid>
      <w:tr w:rsidR="003035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03502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6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03502" w:rsidRDefault="00533263">
            <w:pPr>
              <w:pStyle w:val="TableParagraph"/>
              <w:spacing w:before="26" w:line="264" w:lineRule="auto"/>
              <w:ind w:left="136" w:right="490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right="116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303502" w:rsidRDefault="0053326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303502" w:rsidRDefault="00533263">
            <w:pPr>
              <w:pStyle w:val="TableParagraph"/>
              <w:spacing w:before="24" w:line="264" w:lineRule="auto"/>
              <w:ind w:right="116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3502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8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303502" w:rsidRDefault="00533263">
            <w:pPr>
              <w:pStyle w:val="TableParagraph"/>
              <w:spacing w:before="1" w:line="264" w:lineRule="auto"/>
              <w:ind w:left="132" w:right="677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3035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36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303502" w:rsidRDefault="00533263">
            <w:pPr>
              <w:pStyle w:val="TableParagraph"/>
              <w:spacing w:before="27" w:line="266" w:lineRule="auto"/>
              <w:ind w:left="136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248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303502" w:rsidRDefault="00533263">
            <w:pPr>
              <w:pStyle w:val="TableParagraph"/>
              <w:spacing w:before="0" w:line="264" w:lineRule="auto"/>
              <w:ind w:right="323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03502" w:rsidRDefault="0053326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3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3502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1" w:lineRule="auto"/>
              <w:ind w:left="132" w:right="7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303502" w:rsidRDefault="00533263">
            <w:pPr>
              <w:pStyle w:val="TableParagraph"/>
              <w:spacing w:before="4" w:line="266" w:lineRule="auto"/>
              <w:ind w:left="132" w:right="677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30350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61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122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</w:t>
            </w:r>
          </w:p>
          <w:p w:rsidR="00303502" w:rsidRDefault="00533263">
            <w:pPr>
              <w:pStyle w:val="TableParagraph"/>
              <w:spacing w:before="0" w:line="264" w:lineRule="auto"/>
              <w:ind w:right="886"/>
              <w:rPr>
                <w:sz w:val="20"/>
              </w:rPr>
            </w:pPr>
            <w:r>
              <w:rPr>
                <w:sz w:val="20"/>
              </w:rPr>
              <w:t>stanovených v zákoně nebo v Pokynech OPŽP, příp.</w:t>
            </w:r>
          </w:p>
          <w:p w:rsidR="00303502" w:rsidRDefault="0053326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66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</w:t>
            </w:r>
          </w:p>
        </w:tc>
      </w:tr>
      <w:tr w:rsidR="00303502">
        <w:trPr>
          <w:trHeight w:val="110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3" w:line="264" w:lineRule="auto"/>
              <w:ind w:left="132" w:right="66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</w:t>
            </w:r>
          </w:p>
        </w:tc>
      </w:tr>
      <w:tr w:rsidR="00303502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787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 jiného zkrácení</w:t>
            </w:r>
          </w:p>
        </w:tc>
      </w:tr>
      <w:tr w:rsidR="00303502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23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207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303502" w:rsidRDefault="00533263">
            <w:pPr>
              <w:pStyle w:val="TableParagraph"/>
              <w:spacing w:before="1" w:line="264" w:lineRule="auto"/>
              <w:ind w:right="294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303502" w:rsidRDefault="00533263">
            <w:pPr>
              <w:pStyle w:val="TableParagraph"/>
              <w:spacing w:before="0" w:line="264" w:lineRule="auto"/>
              <w:ind w:right="658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303502" w:rsidRDefault="00533263">
            <w:pPr>
              <w:pStyle w:val="TableParagraph"/>
              <w:spacing w:before="27" w:line="264" w:lineRule="auto"/>
              <w:ind w:left="132" w:right="105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 pro doručení nabídek</w:t>
            </w:r>
          </w:p>
        </w:tc>
      </w:tr>
      <w:tr w:rsidR="003035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303502" w:rsidRDefault="00533263">
            <w:pPr>
              <w:pStyle w:val="TableParagraph"/>
              <w:spacing w:before="27" w:line="264" w:lineRule="auto"/>
              <w:ind w:left="132" w:right="105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303502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6" w:line="264" w:lineRule="auto"/>
              <w:ind w:left="132" w:right="80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303502" w:rsidRDefault="00533263">
            <w:pPr>
              <w:pStyle w:val="TableParagraph"/>
              <w:spacing w:before="0" w:line="259" w:lineRule="auto"/>
              <w:ind w:left="132" w:right="39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303502" w:rsidRDefault="00303502">
      <w:pPr>
        <w:spacing w:line="259" w:lineRule="auto"/>
        <w:rPr>
          <w:sz w:val="20"/>
        </w:rPr>
        <w:sectPr w:rsidR="00303502">
          <w:pgSz w:w="12240" w:h="15840"/>
          <w:pgMar w:top="1140" w:right="1000" w:bottom="1580" w:left="1440" w:header="0" w:footer="1380" w:gutter="0"/>
          <w:cols w:space="708"/>
        </w:sectPr>
      </w:pP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3"/>
        <w:gridCol w:w="3485"/>
        <w:gridCol w:w="3188"/>
      </w:tblGrid>
      <w:tr w:rsidR="003035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0350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8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36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303502" w:rsidRDefault="00533263">
            <w:pPr>
              <w:pStyle w:val="TableParagraph"/>
              <w:spacing w:before="27" w:line="264" w:lineRule="auto"/>
              <w:ind w:left="136" w:right="141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303502" w:rsidRDefault="00533263">
            <w:pPr>
              <w:pStyle w:val="TableParagraph"/>
              <w:spacing w:before="0" w:line="264" w:lineRule="auto"/>
              <w:ind w:left="136" w:right="156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303502" w:rsidRDefault="0053326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303502" w:rsidRDefault="00533263">
            <w:pPr>
              <w:pStyle w:val="TableParagraph"/>
              <w:spacing w:before="27" w:line="264" w:lineRule="auto"/>
              <w:ind w:right="115"/>
              <w:rPr>
                <w:sz w:val="20"/>
              </w:rPr>
            </w:pPr>
            <w:r>
              <w:rPr>
                <w:sz w:val="20"/>
              </w:rPr>
              <w:t>prodloužil lhůtu pro podání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nabídek, předběžných nabídek nebo žádostí o účast, aniž by 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</w:p>
          <w:p w:rsidR="00303502" w:rsidRDefault="00533263">
            <w:pPr>
              <w:pStyle w:val="TableParagraph"/>
              <w:spacing w:before="0" w:line="264" w:lineRule="auto"/>
              <w:ind w:right="412"/>
              <w:rPr>
                <w:sz w:val="20"/>
              </w:rPr>
            </w:pPr>
            <w:r>
              <w:rPr>
                <w:sz w:val="20"/>
              </w:rPr>
              <w:t>uveřejnil způsobem stanoveným v zákoně nebo v Pokynech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OPŽP, příp. 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303502" w:rsidRDefault="00533263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3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0350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265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303502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303502" w:rsidRDefault="00533263">
            <w:pPr>
              <w:pStyle w:val="TableParagraph"/>
              <w:spacing w:before="28"/>
              <w:ind w:left="136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303502" w:rsidRDefault="00533263">
            <w:pPr>
              <w:pStyle w:val="TableParagraph"/>
              <w:spacing w:before="27"/>
              <w:ind w:left="136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303502" w:rsidRDefault="00533263">
            <w:pPr>
              <w:pStyle w:val="TableParagraph"/>
              <w:spacing w:before="30" w:line="264" w:lineRule="auto"/>
              <w:ind w:right="113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303502" w:rsidRDefault="00533263">
            <w:pPr>
              <w:pStyle w:val="TableParagraph"/>
              <w:spacing w:before="0" w:line="260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1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035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8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59" w:lineRule="auto"/>
              <w:ind w:left="136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303502" w:rsidRDefault="00533263">
            <w:pPr>
              <w:pStyle w:val="TableParagraph"/>
              <w:spacing w:before="6" w:line="264" w:lineRule="auto"/>
              <w:ind w:left="136" w:right="216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303502" w:rsidRDefault="00533263">
            <w:pPr>
              <w:pStyle w:val="TableParagraph"/>
              <w:spacing w:before="24" w:line="264" w:lineRule="auto"/>
              <w:ind w:right="309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03502" w:rsidRDefault="00533263">
            <w:pPr>
              <w:pStyle w:val="TableParagraph"/>
              <w:spacing w:before="0" w:line="266" w:lineRule="auto"/>
              <w:ind w:right="208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303502" w:rsidRDefault="00533263">
            <w:pPr>
              <w:pStyle w:val="TableParagraph"/>
              <w:spacing w:before="1" w:line="261" w:lineRule="auto"/>
              <w:ind w:left="132" w:right="109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303502" w:rsidRDefault="00533263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30350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8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1" w:lineRule="auto"/>
              <w:ind w:left="136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303502" w:rsidRDefault="00533263">
            <w:pPr>
              <w:pStyle w:val="TableParagraph"/>
              <w:spacing w:before="3" w:line="264" w:lineRule="auto"/>
              <w:ind w:left="136" w:right="108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303502" w:rsidRDefault="00533263">
            <w:pPr>
              <w:pStyle w:val="TableParagraph"/>
              <w:spacing w:before="24" w:line="264" w:lineRule="auto"/>
              <w:ind w:right="185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303502" w:rsidRDefault="005332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303502" w:rsidRDefault="0053326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303502" w:rsidRDefault="00533263">
            <w:pPr>
              <w:pStyle w:val="TableParagraph"/>
              <w:spacing w:before="27" w:line="264" w:lineRule="auto"/>
              <w:ind w:left="132" w:right="71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303502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303502" w:rsidRDefault="00533263">
            <w:pPr>
              <w:pStyle w:val="TableParagraph"/>
              <w:spacing w:before="1" w:line="264" w:lineRule="auto"/>
              <w:ind w:left="136" w:right="108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219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303502" w:rsidRDefault="00303502">
      <w:pPr>
        <w:spacing w:line="264" w:lineRule="auto"/>
        <w:rPr>
          <w:sz w:val="20"/>
        </w:rPr>
        <w:sectPr w:rsidR="00303502">
          <w:pgSz w:w="12240" w:h="15840"/>
          <w:pgMar w:top="1140" w:right="1000" w:bottom="1580" w:left="1440" w:header="0" w:footer="1380" w:gutter="0"/>
          <w:cols w:space="708"/>
        </w:sectPr>
      </w:pP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3"/>
        <w:gridCol w:w="3485"/>
        <w:gridCol w:w="3188"/>
      </w:tblGrid>
      <w:tr w:rsidR="003035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0350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2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 w:line="264" w:lineRule="auto"/>
              <w:ind w:left="136" w:right="66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303502" w:rsidRDefault="00533263">
            <w:pPr>
              <w:pStyle w:val="TableParagraph"/>
              <w:spacing w:before="1" w:line="264" w:lineRule="auto"/>
              <w:ind w:left="136" w:right="108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303502" w:rsidRDefault="00533263">
            <w:pPr>
              <w:pStyle w:val="TableParagraph"/>
              <w:spacing w:before="1" w:line="264" w:lineRule="auto"/>
              <w:ind w:right="170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303502" w:rsidRDefault="005332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035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106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303502" w:rsidRDefault="00533263">
            <w:pPr>
              <w:pStyle w:val="TableParagraph"/>
              <w:spacing w:before="2" w:line="264" w:lineRule="auto"/>
              <w:ind w:left="136" w:right="2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15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3502" w:rsidRDefault="00533263">
            <w:pPr>
              <w:pStyle w:val="TableParagraph"/>
              <w:spacing w:before="0" w:line="261" w:lineRule="auto"/>
              <w:ind w:left="136" w:right="257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303502" w:rsidRDefault="00533263">
            <w:pPr>
              <w:pStyle w:val="TableParagraph"/>
              <w:spacing w:before="1"/>
              <w:ind w:left="136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196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303502" w:rsidRDefault="00533263">
            <w:pPr>
              <w:pStyle w:val="TableParagraph"/>
              <w:spacing w:before="1" w:line="264" w:lineRule="auto"/>
              <w:ind w:right="259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3502" w:rsidRDefault="00533263">
            <w:pPr>
              <w:pStyle w:val="TableParagraph"/>
              <w:spacing w:before="1" w:line="261" w:lineRule="auto"/>
              <w:ind w:right="538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03502" w:rsidRDefault="00533263">
            <w:pPr>
              <w:pStyle w:val="TableParagraph"/>
              <w:spacing w:before="1" w:line="264" w:lineRule="auto"/>
              <w:ind w:right="116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035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143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303502" w:rsidRDefault="00533263">
            <w:pPr>
              <w:pStyle w:val="TableParagraph"/>
              <w:spacing w:before="0" w:line="264" w:lineRule="exact"/>
              <w:ind w:left="13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03502">
        <w:trPr>
          <w:trHeight w:val="139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526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3035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left="132" w:right="510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3035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61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395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303502" w:rsidRDefault="005332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03502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3035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03502" w:rsidRDefault="00533263">
            <w:pPr>
              <w:pStyle w:val="TableParagraph"/>
              <w:spacing w:before="27" w:line="264" w:lineRule="auto"/>
              <w:ind w:left="136" w:right="151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660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303502" w:rsidRDefault="00533263">
            <w:pPr>
              <w:pStyle w:val="TableParagraph"/>
              <w:spacing w:before="1" w:line="264" w:lineRule="auto"/>
              <w:ind w:right="26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 na kvalifikaci, pravidla pro hodnocení, obchodní podmínky nebo jiné</w:t>
            </w:r>
          </w:p>
          <w:p w:rsidR="00303502" w:rsidRDefault="0053326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3502" w:rsidRDefault="00533263">
            <w:pPr>
              <w:pStyle w:val="TableParagraph"/>
              <w:spacing w:before="27" w:line="264" w:lineRule="auto"/>
              <w:ind w:right="33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03502" w:rsidRDefault="0053326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303502" w:rsidRDefault="00303502">
      <w:pPr>
        <w:spacing w:line="264" w:lineRule="auto"/>
        <w:rPr>
          <w:sz w:val="20"/>
        </w:rPr>
        <w:sectPr w:rsidR="00303502">
          <w:pgSz w:w="12240" w:h="15840"/>
          <w:pgMar w:top="1140" w:right="1000" w:bottom="1580" w:left="1440" w:header="0" w:footer="1380" w:gutter="0"/>
          <w:cols w:space="708"/>
        </w:sectPr>
      </w:pP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3"/>
        <w:gridCol w:w="3485"/>
        <w:gridCol w:w="3188"/>
      </w:tblGrid>
      <w:tr w:rsidR="003035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0350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2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36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03502" w:rsidRDefault="00533263">
            <w:pPr>
              <w:pStyle w:val="TableParagraph"/>
              <w:spacing w:before="27" w:line="264" w:lineRule="auto"/>
              <w:ind w:left="136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303502" w:rsidRDefault="00533263">
            <w:pPr>
              <w:pStyle w:val="TableParagraph"/>
              <w:spacing w:before="0" w:line="264" w:lineRule="auto"/>
              <w:ind w:left="136" w:right="112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303502" w:rsidRDefault="00533263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 w:line="264" w:lineRule="auto"/>
              <w:ind w:right="394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303502" w:rsidRDefault="00533263">
            <w:pPr>
              <w:pStyle w:val="TableParagraph"/>
              <w:spacing w:before="1" w:line="264" w:lineRule="auto"/>
              <w:ind w:right="139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03502" w:rsidRDefault="0053326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03502" w:rsidRDefault="00533263">
            <w:pPr>
              <w:pStyle w:val="TableParagraph"/>
              <w:spacing w:before="27"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 nezbytnou auditní stopu posouzení nebo hodnocení 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81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03502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85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303502" w:rsidRDefault="00533263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197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303502" w:rsidRDefault="0053326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303502" w:rsidRDefault="0053326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left="136" w:right="236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303502" w:rsidRDefault="00533263">
            <w:pPr>
              <w:pStyle w:val="TableParagraph"/>
              <w:spacing w:before="27" w:line="261" w:lineRule="auto"/>
              <w:ind w:right="250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303502" w:rsidRDefault="00533263">
            <w:pPr>
              <w:pStyle w:val="TableParagraph"/>
              <w:spacing w:before="0" w:line="264" w:lineRule="auto"/>
              <w:ind w:right="206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303502" w:rsidRDefault="0053326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303502" w:rsidRDefault="00533263">
            <w:pPr>
              <w:pStyle w:val="TableParagraph"/>
              <w:spacing w:before="30" w:line="264" w:lineRule="auto"/>
              <w:ind w:right="173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303502" w:rsidRDefault="00533263">
            <w:pPr>
              <w:pStyle w:val="TableParagraph"/>
              <w:spacing w:before="0" w:line="264" w:lineRule="auto"/>
              <w:ind w:right="116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404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03502">
        <w:trPr>
          <w:trHeight w:val="256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31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36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46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303502" w:rsidRDefault="00533263">
            <w:pPr>
              <w:pStyle w:val="TableParagraph"/>
              <w:spacing w:before="0" w:line="264" w:lineRule="auto"/>
              <w:ind w:right="275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303502" w:rsidRDefault="00533263">
            <w:pPr>
              <w:pStyle w:val="TableParagraph"/>
              <w:spacing w:before="0" w:line="264" w:lineRule="auto"/>
              <w:ind w:right="345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3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3502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1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left="136" w:right="530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right="656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left="132" w:right="50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303502" w:rsidRDefault="00303502">
      <w:pPr>
        <w:spacing w:line="264" w:lineRule="auto"/>
        <w:rPr>
          <w:sz w:val="20"/>
        </w:rPr>
        <w:sectPr w:rsidR="00303502">
          <w:pgSz w:w="12240" w:h="15840"/>
          <w:pgMar w:top="1140" w:right="1000" w:bottom="1580" w:left="1440" w:header="0" w:footer="1380" w:gutter="0"/>
          <w:cols w:space="708"/>
        </w:sectPr>
      </w:pP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3"/>
        <w:gridCol w:w="3485"/>
        <w:gridCol w:w="3188"/>
      </w:tblGrid>
      <w:tr w:rsidR="003035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0F0F0"/>
          </w:tcPr>
          <w:p w:rsidR="00303502" w:rsidRDefault="00533263">
            <w:pPr>
              <w:pStyle w:val="TableParagraph"/>
              <w:spacing w:before="10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03502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81" w:line="264" w:lineRule="auto"/>
              <w:ind w:right="61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303502" w:rsidRDefault="00533263">
            <w:pPr>
              <w:pStyle w:val="TableParagraph"/>
              <w:spacing w:before="1" w:line="264" w:lineRule="auto"/>
              <w:ind w:right="116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201"/>
              <w:ind w:left="13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303502" w:rsidRDefault="00533263">
            <w:pPr>
              <w:pStyle w:val="TableParagraph"/>
              <w:spacing w:before="147"/>
              <w:ind w:left="132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303502" w:rsidRDefault="00533263">
            <w:pPr>
              <w:pStyle w:val="TableParagraph"/>
              <w:spacing w:before="27" w:line="264" w:lineRule="auto"/>
              <w:ind w:left="132" w:right="323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303502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66"/>
              <w:rPr>
                <w:sz w:val="20"/>
              </w:rPr>
            </w:pPr>
            <w:r>
              <w:rPr>
                <w:sz w:val="20"/>
              </w:rPr>
              <w:t>Podstatného zúžení 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152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303502" w:rsidRDefault="00533263">
            <w:pPr>
              <w:pStyle w:val="TableParagraph"/>
              <w:spacing w:before="1" w:line="264" w:lineRule="auto"/>
              <w:ind w:right="275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257"/>
              <w:rPr>
                <w:sz w:val="20"/>
              </w:rPr>
            </w:pPr>
            <w:r>
              <w:rPr>
                <w:sz w:val="20"/>
              </w:rPr>
              <w:t>25 % z c</w:t>
            </w:r>
            <w:r>
              <w:rPr>
                <w:sz w:val="20"/>
              </w:rPr>
              <w:t>eny veřejné zakázky po zúžení rozsahu plnění</w:t>
            </w:r>
          </w:p>
          <w:p w:rsidR="00303502" w:rsidRDefault="00533263">
            <w:pPr>
              <w:pStyle w:val="TableParagraph"/>
              <w:spacing w:before="121"/>
              <w:ind w:left="13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303502" w:rsidRDefault="00533263">
            <w:pPr>
              <w:pStyle w:val="TableParagraph"/>
              <w:spacing w:before="147" w:line="264" w:lineRule="auto"/>
              <w:ind w:left="132" w:right="465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30350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6" w:right="232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303502" w:rsidRDefault="00533263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303502" w:rsidRDefault="00533263">
            <w:pPr>
              <w:pStyle w:val="TableParagraph"/>
              <w:spacing w:before="27"/>
              <w:ind w:left="136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 dodatečné stavební práce, služby nebo</w:t>
            </w:r>
          </w:p>
          <w:p w:rsidR="00303502" w:rsidRDefault="00533263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303502" w:rsidRDefault="00533263">
            <w:pPr>
              <w:pStyle w:val="TableParagraph"/>
              <w:spacing w:before="0" w:line="264" w:lineRule="auto"/>
              <w:ind w:right="99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</w:t>
            </w:r>
            <w:r>
              <w:rPr>
                <w:sz w:val="20"/>
              </w:rPr>
              <w:t>o byly splněny podmínky dle</w:t>
            </w:r>
          </w:p>
          <w:p w:rsidR="00303502" w:rsidRDefault="00533263">
            <w:pPr>
              <w:pStyle w:val="TableParagraph"/>
              <w:spacing w:before="0" w:line="264" w:lineRule="auto"/>
              <w:ind w:right="450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line="264" w:lineRule="auto"/>
              <w:ind w:left="132" w:right="234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303502">
        <w:trPr>
          <w:trHeight w:val="256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3"/>
              <w:ind w:left="132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</w:p>
          <w:p w:rsidR="00303502" w:rsidRDefault="00533263">
            <w:pPr>
              <w:pStyle w:val="TableParagraph"/>
              <w:spacing w:before="27" w:line="264" w:lineRule="auto"/>
              <w:ind w:left="132" w:right="67"/>
              <w:rPr>
                <w:sz w:val="20"/>
              </w:rPr>
            </w:pPr>
            <w:r>
              <w:rPr>
                <w:sz w:val="20"/>
              </w:rPr>
              <w:t>stavebních prací, dodávek nebo služeb, pokud jejich celková hodnota nepřesahuje 50 % hodnoty původní veřejné zakázky a zároveň nedosahuje finančních limitů pro nadlimitní veřejné</w:t>
            </w:r>
          </w:p>
          <w:p w:rsidR="00303502" w:rsidRDefault="00533263">
            <w:pPr>
              <w:pStyle w:val="TableParagraph"/>
              <w:spacing w:before="0" w:line="263" w:lineRule="exact"/>
              <w:ind w:left="13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03502">
        <w:trPr>
          <w:trHeight w:val="49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2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3502" w:rsidRDefault="00533263">
            <w:pPr>
              <w:pStyle w:val="TableParagraph"/>
              <w:spacing w:before="108" w:line="264" w:lineRule="auto"/>
              <w:ind w:right="58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 znemožnilo ověření souladu jeho postupu</w:t>
            </w:r>
          </w:p>
          <w:p w:rsidR="00303502" w:rsidRDefault="00533263">
            <w:pPr>
              <w:pStyle w:val="TableParagraph"/>
              <w:spacing w:before="0" w:line="264" w:lineRule="auto"/>
              <w:ind w:right="364"/>
              <w:rPr>
                <w:sz w:val="20"/>
              </w:rPr>
            </w:pPr>
            <w:r>
              <w:rPr>
                <w:sz w:val="20"/>
              </w:rPr>
              <w:t>s článkem IV bodem 2) písm. k)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3502" w:rsidRDefault="00533263">
            <w:pPr>
              <w:pStyle w:val="TableParagraph"/>
              <w:spacing w:before="108"/>
              <w:ind w:left="13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3502">
        <w:trPr>
          <w:trHeight w:val="262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3502" w:rsidRDefault="003035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03502" w:rsidRDefault="00533263">
            <w:pPr>
              <w:pStyle w:val="TableParagraph"/>
              <w:spacing w:before="107" w:line="261" w:lineRule="auto"/>
              <w:ind w:left="132" w:right="482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533263" w:rsidRDefault="00533263"/>
    <w:sectPr w:rsidR="00533263">
      <w:pgSz w:w="12240" w:h="15840"/>
      <w:pgMar w:top="1140" w:right="1000" w:bottom="1580" w:left="144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63" w:rsidRDefault="00533263">
      <w:r>
        <w:separator/>
      </w:r>
    </w:p>
  </w:endnote>
  <w:endnote w:type="continuationSeparator" w:id="0">
    <w:p w:rsidR="00533263" w:rsidRDefault="005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02" w:rsidRDefault="00533263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303502" w:rsidRDefault="00533263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249A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63" w:rsidRDefault="00533263">
      <w:r>
        <w:separator/>
      </w:r>
    </w:p>
  </w:footnote>
  <w:footnote w:type="continuationSeparator" w:id="0">
    <w:p w:rsidR="00533263" w:rsidRDefault="0053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B3D"/>
    <w:multiLevelType w:val="hybridMultilevel"/>
    <w:tmpl w:val="4432C91E"/>
    <w:lvl w:ilvl="0" w:tplc="2E5E5530">
      <w:start w:val="1"/>
      <w:numFmt w:val="decimal"/>
      <w:lvlText w:val="%1)"/>
      <w:lvlJc w:val="left"/>
      <w:pPr>
        <w:ind w:left="545" w:hanging="286"/>
        <w:jc w:val="lef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8F424EB8">
      <w:start w:val="1"/>
      <w:numFmt w:val="lowerLetter"/>
      <w:lvlText w:val="%2)"/>
      <w:lvlJc w:val="left"/>
      <w:pPr>
        <w:ind w:left="828" w:hanging="286"/>
        <w:jc w:val="left"/>
      </w:pPr>
      <w:rPr>
        <w:rFonts w:ascii="Segoe UI" w:eastAsia="Segoe UI" w:hAnsi="Segoe UI" w:cs="Segoe UI" w:hint="default"/>
        <w:spacing w:val="0"/>
        <w:w w:val="97"/>
        <w:sz w:val="20"/>
        <w:szCs w:val="20"/>
        <w:lang w:val="cs-CZ" w:eastAsia="cs-CZ" w:bidi="cs-CZ"/>
      </w:rPr>
    </w:lvl>
    <w:lvl w:ilvl="2" w:tplc="6F9E6EEA">
      <w:numFmt w:val="bullet"/>
      <w:lvlText w:val="-"/>
      <w:lvlJc w:val="left"/>
      <w:pPr>
        <w:ind w:left="943" w:hanging="288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3" w:tplc="90D0F064">
      <w:numFmt w:val="bullet"/>
      <w:lvlText w:val="-"/>
      <w:lvlJc w:val="left"/>
      <w:pPr>
        <w:ind w:left="1255" w:hanging="288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4" w:tplc="B02292B8">
      <w:numFmt w:val="bullet"/>
      <w:lvlText w:val="•"/>
      <w:lvlJc w:val="left"/>
      <w:pPr>
        <w:ind w:left="2480" w:hanging="288"/>
      </w:pPr>
      <w:rPr>
        <w:rFonts w:hint="default"/>
        <w:lang w:val="cs-CZ" w:eastAsia="cs-CZ" w:bidi="cs-CZ"/>
      </w:rPr>
    </w:lvl>
    <w:lvl w:ilvl="5" w:tplc="139A5CFE">
      <w:numFmt w:val="bullet"/>
      <w:lvlText w:val="•"/>
      <w:lvlJc w:val="left"/>
      <w:pPr>
        <w:ind w:left="3700" w:hanging="288"/>
      </w:pPr>
      <w:rPr>
        <w:rFonts w:hint="default"/>
        <w:lang w:val="cs-CZ" w:eastAsia="cs-CZ" w:bidi="cs-CZ"/>
      </w:rPr>
    </w:lvl>
    <w:lvl w:ilvl="6" w:tplc="F8568312">
      <w:numFmt w:val="bullet"/>
      <w:lvlText w:val="•"/>
      <w:lvlJc w:val="left"/>
      <w:pPr>
        <w:ind w:left="4920" w:hanging="288"/>
      </w:pPr>
      <w:rPr>
        <w:rFonts w:hint="default"/>
        <w:lang w:val="cs-CZ" w:eastAsia="cs-CZ" w:bidi="cs-CZ"/>
      </w:rPr>
    </w:lvl>
    <w:lvl w:ilvl="7" w:tplc="C1B6E526">
      <w:numFmt w:val="bullet"/>
      <w:lvlText w:val="•"/>
      <w:lvlJc w:val="left"/>
      <w:pPr>
        <w:ind w:left="6140" w:hanging="288"/>
      </w:pPr>
      <w:rPr>
        <w:rFonts w:hint="default"/>
        <w:lang w:val="cs-CZ" w:eastAsia="cs-CZ" w:bidi="cs-CZ"/>
      </w:rPr>
    </w:lvl>
    <w:lvl w:ilvl="8" w:tplc="7212B51A">
      <w:numFmt w:val="bullet"/>
      <w:lvlText w:val="•"/>
      <w:lvlJc w:val="left"/>
      <w:pPr>
        <w:ind w:left="7360" w:hanging="288"/>
      </w:pPr>
      <w:rPr>
        <w:rFonts w:hint="default"/>
        <w:lang w:val="cs-CZ" w:eastAsia="cs-CZ" w:bidi="cs-CZ"/>
      </w:rPr>
    </w:lvl>
  </w:abstractNum>
  <w:abstractNum w:abstractNumId="1" w15:restartNumberingAfterBreak="0">
    <w:nsid w:val="1E281783"/>
    <w:multiLevelType w:val="hybridMultilevel"/>
    <w:tmpl w:val="5B3803C0"/>
    <w:lvl w:ilvl="0" w:tplc="22DEE5D4">
      <w:start w:val="1"/>
      <w:numFmt w:val="decimal"/>
      <w:lvlText w:val="%1)"/>
      <w:lvlJc w:val="left"/>
      <w:pPr>
        <w:ind w:left="545" w:hanging="286"/>
        <w:jc w:val="lef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90DCC3E2">
      <w:numFmt w:val="bullet"/>
      <w:lvlText w:val="•"/>
      <w:lvlJc w:val="left"/>
      <w:pPr>
        <w:ind w:left="1466" w:hanging="286"/>
      </w:pPr>
      <w:rPr>
        <w:rFonts w:hint="default"/>
        <w:lang w:val="cs-CZ" w:eastAsia="cs-CZ" w:bidi="cs-CZ"/>
      </w:rPr>
    </w:lvl>
    <w:lvl w:ilvl="2" w:tplc="3E34DEDE">
      <w:numFmt w:val="bullet"/>
      <w:lvlText w:val="•"/>
      <w:lvlJc w:val="left"/>
      <w:pPr>
        <w:ind w:left="2392" w:hanging="286"/>
      </w:pPr>
      <w:rPr>
        <w:rFonts w:hint="default"/>
        <w:lang w:val="cs-CZ" w:eastAsia="cs-CZ" w:bidi="cs-CZ"/>
      </w:rPr>
    </w:lvl>
    <w:lvl w:ilvl="3" w:tplc="96A491BE">
      <w:numFmt w:val="bullet"/>
      <w:lvlText w:val="•"/>
      <w:lvlJc w:val="left"/>
      <w:pPr>
        <w:ind w:left="3318" w:hanging="286"/>
      </w:pPr>
      <w:rPr>
        <w:rFonts w:hint="default"/>
        <w:lang w:val="cs-CZ" w:eastAsia="cs-CZ" w:bidi="cs-CZ"/>
      </w:rPr>
    </w:lvl>
    <w:lvl w:ilvl="4" w:tplc="C01462F8">
      <w:numFmt w:val="bullet"/>
      <w:lvlText w:val="•"/>
      <w:lvlJc w:val="left"/>
      <w:pPr>
        <w:ind w:left="4244" w:hanging="286"/>
      </w:pPr>
      <w:rPr>
        <w:rFonts w:hint="default"/>
        <w:lang w:val="cs-CZ" w:eastAsia="cs-CZ" w:bidi="cs-CZ"/>
      </w:rPr>
    </w:lvl>
    <w:lvl w:ilvl="5" w:tplc="3E56B98E">
      <w:numFmt w:val="bullet"/>
      <w:lvlText w:val="•"/>
      <w:lvlJc w:val="left"/>
      <w:pPr>
        <w:ind w:left="5170" w:hanging="286"/>
      </w:pPr>
      <w:rPr>
        <w:rFonts w:hint="default"/>
        <w:lang w:val="cs-CZ" w:eastAsia="cs-CZ" w:bidi="cs-CZ"/>
      </w:rPr>
    </w:lvl>
    <w:lvl w:ilvl="6" w:tplc="ED86DC9A">
      <w:numFmt w:val="bullet"/>
      <w:lvlText w:val="•"/>
      <w:lvlJc w:val="left"/>
      <w:pPr>
        <w:ind w:left="6096" w:hanging="286"/>
      </w:pPr>
      <w:rPr>
        <w:rFonts w:hint="default"/>
        <w:lang w:val="cs-CZ" w:eastAsia="cs-CZ" w:bidi="cs-CZ"/>
      </w:rPr>
    </w:lvl>
    <w:lvl w:ilvl="7" w:tplc="868894E8">
      <w:numFmt w:val="bullet"/>
      <w:lvlText w:val="•"/>
      <w:lvlJc w:val="left"/>
      <w:pPr>
        <w:ind w:left="7022" w:hanging="286"/>
      </w:pPr>
      <w:rPr>
        <w:rFonts w:hint="default"/>
        <w:lang w:val="cs-CZ" w:eastAsia="cs-CZ" w:bidi="cs-CZ"/>
      </w:rPr>
    </w:lvl>
    <w:lvl w:ilvl="8" w:tplc="0160215A">
      <w:numFmt w:val="bullet"/>
      <w:lvlText w:val="•"/>
      <w:lvlJc w:val="left"/>
      <w:pPr>
        <w:ind w:left="7948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22944124"/>
    <w:multiLevelType w:val="hybridMultilevel"/>
    <w:tmpl w:val="8A84658A"/>
    <w:lvl w:ilvl="0" w:tplc="BD7E307C">
      <w:start w:val="1"/>
      <w:numFmt w:val="decimal"/>
      <w:lvlText w:val="%1)"/>
      <w:lvlJc w:val="left"/>
      <w:pPr>
        <w:ind w:left="545" w:hanging="286"/>
        <w:jc w:val="righ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5B9E30E4">
      <w:start w:val="1"/>
      <w:numFmt w:val="lowerLetter"/>
      <w:lvlText w:val="%2)"/>
      <w:lvlJc w:val="left"/>
      <w:pPr>
        <w:ind w:left="828" w:hanging="286"/>
        <w:jc w:val="left"/>
      </w:pPr>
      <w:rPr>
        <w:rFonts w:ascii="Segoe UI" w:eastAsia="Segoe UI" w:hAnsi="Segoe UI" w:cs="Segoe UI" w:hint="default"/>
        <w:spacing w:val="0"/>
        <w:w w:val="97"/>
        <w:sz w:val="20"/>
        <w:szCs w:val="20"/>
        <w:lang w:val="cs-CZ" w:eastAsia="cs-CZ" w:bidi="cs-CZ"/>
      </w:rPr>
    </w:lvl>
    <w:lvl w:ilvl="2" w:tplc="252665EC">
      <w:numFmt w:val="bullet"/>
      <w:lvlText w:val="•"/>
      <w:lvlJc w:val="left"/>
      <w:pPr>
        <w:ind w:left="1817" w:hanging="286"/>
      </w:pPr>
      <w:rPr>
        <w:rFonts w:hint="default"/>
        <w:lang w:val="cs-CZ" w:eastAsia="cs-CZ" w:bidi="cs-CZ"/>
      </w:rPr>
    </w:lvl>
    <w:lvl w:ilvl="3" w:tplc="8EE6B202">
      <w:numFmt w:val="bullet"/>
      <w:lvlText w:val="•"/>
      <w:lvlJc w:val="left"/>
      <w:pPr>
        <w:ind w:left="2815" w:hanging="286"/>
      </w:pPr>
      <w:rPr>
        <w:rFonts w:hint="default"/>
        <w:lang w:val="cs-CZ" w:eastAsia="cs-CZ" w:bidi="cs-CZ"/>
      </w:rPr>
    </w:lvl>
    <w:lvl w:ilvl="4" w:tplc="92125E28">
      <w:numFmt w:val="bullet"/>
      <w:lvlText w:val="•"/>
      <w:lvlJc w:val="left"/>
      <w:pPr>
        <w:ind w:left="3813" w:hanging="286"/>
      </w:pPr>
      <w:rPr>
        <w:rFonts w:hint="default"/>
        <w:lang w:val="cs-CZ" w:eastAsia="cs-CZ" w:bidi="cs-CZ"/>
      </w:rPr>
    </w:lvl>
    <w:lvl w:ilvl="5" w:tplc="79008D76">
      <w:numFmt w:val="bullet"/>
      <w:lvlText w:val="•"/>
      <w:lvlJc w:val="left"/>
      <w:pPr>
        <w:ind w:left="4811" w:hanging="286"/>
      </w:pPr>
      <w:rPr>
        <w:rFonts w:hint="default"/>
        <w:lang w:val="cs-CZ" w:eastAsia="cs-CZ" w:bidi="cs-CZ"/>
      </w:rPr>
    </w:lvl>
    <w:lvl w:ilvl="6" w:tplc="4A922584">
      <w:numFmt w:val="bullet"/>
      <w:lvlText w:val="•"/>
      <w:lvlJc w:val="left"/>
      <w:pPr>
        <w:ind w:left="5808" w:hanging="286"/>
      </w:pPr>
      <w:rPr>
        <w:rFonts w:hint="default"/>
        <w:lang w:val="cs-CZ" w:eastAsia="cs-CZ" w:bidi="cs-CZ"/>
      </w:rPr>
    </w:lvl>
    <w:lvl w:ilvl="7" w:tplc="AB103662">
      <w:numFmt w:val="bullet"/>
      <w:lvlText w:val="•"/>
      <w:lvlJc w:val="left"/>
      <w:pPr>
        <w:ind w:left="6806" w:hanging="286"/>
      </w:pPr>
      <w:rPr>
        <w:rFonts w:hint="default"/>
        <w:lang w:val="cs-CZ" w:eastAsia="cs-CZ" w:bidi="cs-CZ"/>
      </w:rPr>
    </w:lvl>
    <w:lvl w:ilvl="8" w:tplc="D758C260">
      <w:numFmt w:val="bullet"/>
      <w:lvlText w:val="•"/>
      <w:lvlJc w:val="left"/>
      <w:pPr>
        <w:ind w:left="780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30573234"/>
    <w:multiLevelType w:val="hybridMultilevel"/>
    <w:tmpl w:val="48DA4D64"/>
    <w:lvl w:ilvl="0" w:tplc="6204B518">
      <w:start w:val="1"/>
      <w:numFmt w:val="decimal"/>
      <w:lvlText w:val="%1)"/>
      <w:lvlJc w:val="left"/>
      <w:pPr>
        <w:ind w:left="545" w:hanging="286"/>
        <w:jc w:val="lef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D3A63554">
      <w:numFmt w:val="bullet"/>
      <w:lvlText w:val="•"/>
      <w:lvlJc w:val="left"/>
      <w:pPr>
        <w:ind w:left="1466" w:hanging="286"/>
      </w:pPr>
      <w:rPr>
        <w:rFonts w:hint="default"/>
        <w:lang w:val="cs-CZ" w:eastAsia="cs-CZ" w:bidi="cs-CZ"/>
      </w:rPr>
    </w:lvl>
    <w:lvl w:ilvl="2" w:tplc="5FFEF7E8">
      <w:numFmt w:val="bullet"/>
      <w:lvlText w:val="•"/>
      <w:lvlJc w:val="left"/>
      <w:pPr>
        <w:ind w:left="2392" w:hanging="286"/>
      </w:pPr>
      <w:rPr>
        <w:rFonts w:hint="default"/>
        <w:lang w:val="cs-CZ" w:eastAsia="cs-CZ" w:bidi="cs-CZ"/>
      </w:rPr>
    </w:lvl>
    <w:lvl w:ilvl="3" w:tplc="359CF0B8">
      <w:numFmt w:val="bullet"/>
      <w:lvlText w:val="•"/>
      <w:lvlJc w:val="left"/>
      <w:pPr>
        <w:ind w:left="3318" w:hanging="286"/>
      </w:pPr>
      <w:rPr>
        <w:rFonts w:hint="default"/>
        <w:lang w:val="cs-CZ" w:eastAsia="cs-CZ" w:bidi="cs-CZ"/>
      </w:rPr>
    </w:lvl>
    <w:lvl w:ilvl="4" w:tplc="48CAED68">
      <w:numFmt w:val="bullet"/>
      <w:lvlText w:val="•"/>
      <w:lvlJc w:val="left"/>
      <w:pPr>
        <w:ind w:left="4244" w:hanging="286"/>
      </w:pPr>
      <w:rPr>
        <w:rFonts w:hint="default"/>
        <w:lang w:val="cs-CZ" w:eastAsia="cs-CZ" w:bidi="cs-CZ"/>
      </w:rPr>
    </w:lvl>
    <w:lvl w:ilvl="5" w:tplc="3D52BC80">
      <w:numFmt w:val="bullet"/>
      <w:lvlText w:val="•"/>
      <w:lvlJc w:val="left"/>
      <w:pPr>
        <w:ind w:left="5170" w:hanging="286"/>
      </w:pPr>
      <w:rPr>
        <w:rFonts w:hint="default"/>
        <w:lang w:val="cs-CZ" w:eastAsia="cs-CZ" w:bidi="cs-CZ"/>
      </w:rPr>
    </w:lvl>
    <w:lvl w:ilvl="6" w:tplc="26001542">
      <w:numFmt w:val="bullet"/>
      <w:lvlText w:val="•"/>
      <w:lvlJc w:val="left"/>
      <w:pPr>
        <w:ind w:left="6096" w:hanging="286"/>
      </w:pPr>
      <w:rPr>
        <w:rFonts w:hint="default"/>
        <w:lang w:val="cs-CZ" w:eastAsia="cs-CZ" w:bidi="cs-CZ"/>
      </w:rPr>
    </w:lvl>
    <w:lvl w:ilvl="7" w:tplc="FA006136">
      <w:numFmt w:val="bullet"/>
      <w:lvlText w:val="•"/>
      <w:lvlJc w:val="left"/>
      <w:pPr>
        <w:ind w:left="7022" w:hanging="286"/>
      </w:pPr>
      <w:rPr>
        <w:rFonts w:hint="default"/>
        <w:lang w:val="cs-CZ" w:eastAsia="cs-CZ" w:bidi="cs-CZ"/>
      </w:rPr>
    </w:lvl>
    <w:lvl w:ilvl="8" w:tplc="EFBEFFC6">
      <w:numFmt w:val="bullet"/>
      <w:lvlText w:val="•"/>
      <w:lvlJc w:val="left"/>
      <w:pPr>
        <w:ind w:left="7948" w:hanging="286"/>
      </w:pPr>
      <w:rPr>
        <w:rFonts w:hint="default"/>
        <w:lang w:val="cs-CZ" w:eastAsia="cs-CZ" w:bidi="cs-CZ"/>
      </w:rPr>
    </w:lvl>
  </w:abstractNum>
  <w:abstractNum w:abstractNumId="4" w15:restartNumberingAfterBreak="0">
    <w:nsid w:val="3F2778A9"/>
    <w:multiLevelType w:val="hybridMultilevel"/>
    <w:tmpl w:val="8EC2456E"/>
    <w:lvl w:ilvl="0" w:tplc="E5E2C008">
      <w:start w:val="1"/>
      <w:numFmt w:val="upperRoman"/>
      <w:lvlText w:val="%1."/>
      <w:lvlJc w:val="left"/>
      <w:pPr>
        <w:ind w:left="545" w:hanging="286"/>
        <w:jc w:val="righ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861C49B4">
      <w:numFmt w:val="bullet"/>
      <w:lvlText w:val="•"/>
      <w:lvlJc w:val="left"/>
      <w:pPr>
        <w:ind w:left="1466" w:hanging="286"/>
      </w:pPr>
      <w:rPr>
        <w:rFonts w:hint="default"/>
        <w:lang w:val="cs-CZ" w:eastAsia="cs-CZ" w:bidi="cs-CZ"/>
      </w:rPr>
    </w:lvl>
    <w:lvl w:ilvl="2" w:tplc="DC5C2DCA">
      <w:numFmt w:val="bullet"/>
      <w:lvlText w:val="•"/>
      <w:lvlJc w:val="left"/>
      <w:pPr>
        <w:ind w:left="2392" w:hanging="286"/>
      </w:pPr>
      <w:rPr>
        <w:rFonts w:hint="default"/>
        <w:lang w:val="cs-CZ" w:eastAsia="cs-CZ" w:bidi="cs-CZ"/>
      </w:rPr>
    </w:lvl>
    <w:lvl w:ilvl="3" w:tplc="1714AB10">
      <w:numFmt w:val="bullet"/>
      <w:lvlText w:val="•"/>
      <w:lvlJc w:val="left"/>
      <w:pPr>
        <w:ind w:left="3318" w:hanging="286"/>
      </w:pPr>
      <w:rPr>
        <w:rFonts w:hint="default"/>
        <w:lang w:val="cs-CZ" w:eastAsia="cs-CZ" w:bidi="cs-CZ"/>
      </w:rPr>
    </w:lvl>
    <w:lvl w:ilvl="4" w:tplc="37D2DF3E">
      <w:numFmt w:val="bullet"/>
      <w:lvlText w:val="•"/>
      <w:lvlJc w:val="left"/>
      <w:pPr>
        <w:ind w:left="4244" w:hanging="286"/>
      </w:pPr>
      <w:rPr>
        <w:rFonts w:hint="default"/>
        <w:lang w:val="cs-CZ" w:eastAsia="cs-CZ" w:bidi="cs-CZ"/>
      </w:rPr>
    </w:lvl>
    <w:lvl w:ilvl="5" w:tplc="CB9A5C20">
      <w:numFmt w:val="bullet"/>
      <w:lvlText w:val="•"/>
      <w:lvlJc w:val="left"/>
      <w:pPr>
        <w:ind w:left="5170" w:hanging="286"/>
      </w:pPr>
      <w:rPr>
        <w:rFonts w:hint="default"/>
        <w:lang w:val="cs-CZ" w:eastAsia="cs-CZ" w:bidi="cs-CZ"/>
      </w:rPr>
    </w:lvl>
    <w:lvl w:ilvl="6" w:tplc="9F8A07C0">
      <w:numFmt w:val="bullet"/>
      <w:lvlText w:val="•"/>
      <w:lvlJc w:val="left"/>
      <w:pPr>
        <w:ind w:left="6096" w:hanging="286"/>
      </w:pPr>
      <w:rPr>
        <w:rFonts w:hint="default"/>
        <w:lang w:val="cs-CZ" w:eastAsia="cs-CZ" w:bidi="cs-CZ"/>
      </w:rPr>
    </w:lvl>
    <w:lvl w:ilvl="7" w:tplc="90187B8C">
      <w:numFmt w:val="bullet"/>
      <w:lvlText w:val="•"/>
      <w:lvlJc w:val="left"/>
      <w:pPr>
        <w:ind w:left="7022" w:hanging="286"/>
      </w:pPr>
      <w:rPr>
        <w:rFonts w:hint="default"/>
        <w:lang w:val="cs-CZ" w:eastAsia="cs-CZ" w:bidi="cs-CZ"/>
      </w:rPr>
    </w:lvl>
    <w:lvl w:ilvl="8" w:tplc="3078C53C">
      <w:numFmt w:val="bullet"/>
      <w:lvlText w:val="•"/>
      <w:lvlJc w:val="left"/>
      <w:pPr>
        <w:ind w:left="7948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6EFF7B60"/>
    <w:multiLevelType w:val="hybridMultilevel"/>
    <w:tmpl w:val="D832762E"/>
    <w:lvl w:ilvl="0" w:tplc="64860264">
      <w:start w:val="1"/>
      <w:numFmt w:val="decimal"/>
      <w:lvlText w:val="%1)"/>
      <w:lvlJc w:val="left"/>
      <w:pPr>
        <w:ind w:left="545" w:hanging="286"/>
        <w:jc w:val="lef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05560FBA">
      <w:numFmt w:val="bullet"/>
      <w:lvlText w:val="•"/>
      <w:lvlJc w:val="left"/>
      <w:pPr>
        <w:ind w:left="1466" w:hanging="286"/>
      </w:pPr>
      <w:rPr>
        <w:rFonts w:hint="default"/>
        <w:lang w:val="cs-CZ" w:eastAsia="cs-CZ" w:bidi="cs-CZ"/>
      </w:rPr>
    </w:lvl>
    <w:lvl w:ilvl="2" w:tplc="9F9803CA">
      <w:numFmt w:val="bullet"/>
      <w:lvlText w:val="•"/>
      <w:lvlJc w:val="left"/>
      <w:pPr>
        <w:ind w:left="2392" w:hanging="286"/>
      </w:pPr>
      <w:rPr>
        <w:rFonts w:hint="default"/>
        <w:lang w:val="cs-CZ" w:eastAsia="cs-CZ" w:bidi="cs-CZ"/>
      </w:rPr>
    </w:lvl>
    <w:lvl w:ilvl="3" w:tplc="DF00A208">
      <w:numFmt w:val="bullet"/>
      <w:lvlText w:val="•"/>
      <w:lvlJc w:val="left"/>
      <w:pPr>
        <w:ind w:left="3318" w:hanging="286"/>
      </w:pPr>
      <w:rPr>
        <w:rFonts w:hint="default"/>
        <w:lang w:val="cs-CZ" w:eastAsia="cs-CZ" w:bidi="cs-CZ"/>
      </w:rPr>
    </w:lvl>
    <w:lvl w:ilvl="4" w:tplc="97B8E38E">
      <w:numFmt w:val="bullet"/>
      <w:lvlText w:val="•"/>
      <w:lvlJc w:val="left"/>
      <w:pPr>
        <w:ind w:left="4244" w:hanging="286"/>
      </w:pPr>
      <w:rPr>
        <w:rFonts w:hint="default"/>
        <w:lang w:val="cs-CZ" w:eastAsia="cs-CZ" w:bidi="cs-CZ"/>
      </w:rPr>
    </w:lvl>
    <w:lvl w:ilvl="5" w:tplc="783AB6C8">
      <w:numFmt w:val="bullet"/>
      <w:lvlText w:val="•"/>
      <w:lvlJc w:val="left"/>
      <w:pPr>
        <w:ind w:left="5170" w:hanging="286"/>
      </w:pPr>
      <w:rPr>
        <w:rFonts w:hint="default"/>
        <w:lang w:val="cs-CZ" w:eastAsia="cs-CZ" w:bidi="cs-CZ"/>
      </w:rPr>
    </w:lvl>
    <w:lvl w:ilvl="6" w:tplc="9BB27AD4">
      <w:numFmt w:val="bullet"/>
      <w:lvlText w:val="•"/>
      <w:lvlJc w:val="left"/>
      <w:pPr>
        <w:ind w:left="6096" w:hanging="286"/>
      </w:pPr>
      <w:rPr>
        <w:rFonts w:hint="default"/>
        <w:lang w:val="cs-CZ" w:eastAsia="cs-CZ" w:bidi="cs-CZ"/>
      </w:rPr>
    </w:lvl>
    <w:lvl w:ilvl="7" w:tplc="9134004E">
      <w:numFmt w:val="bullet"/>
      <w:lvlText w:val="•"/>
      <w:lvlJc w:val="left"/>
      <w:pPr>
        <w:ind w:left="7022" w:hanging="286"/>
      </w:pPr>
      <w:rPr>
        <w:rFonts w:hint="default"/>
        <w:lang w:val="cs-CZ" w:eastAsia="cs-CZ" w:bidi="cs-CZ"/>
      </w:rPr>
    </w:lvl>
    <w:lvl w:ilvl="8" w:tplc="26A6FDD8">
      <w:numFmt w:val="bullet"/>
      <w:lvlText w:val="•"/>
      <w:lvlJc w:val="left"/>
      <w:pPr>
        <w:ind w:left="7948" w:hanging="286"/>
      </w:pPr>
      <w:rPr>
        <w:rFonts w:hint="default"/>
        <w:lang w:val="cs-CZ" w:eastAsia="cs-CZ" w:bidi="cs-CZ"/>
      </w:rPr>
    </w:lvl>
  </w:abstractNum>
  <w:abstractNum w:abstractNumId="6" w15:restartNumberingAfterBreak="0">
    <w:nsid w:val="79C831B8"/>
    <w:multiLevelType w:val="hybridMultilevel"/>
    <w:tmpl w:val="60225482"/>
    <w:lvl w:ilvl="0" w:tplc="5C56D4E6">
      <w:start w:val="1"/>
      <w:numFmt w:val="decimal"/>
      <w:lvlText w:val="%1)"/>
      <w:lvlJc w:val="left"/>
      <w:pPr>
        <w:ind w:left="545" w:hanging="286"/>
        <w:jc w:val="left"/>
      </w:pPr>
      <w:rPr>
        <w:rFonts w:ascii="Segoe UI" w:eastAsia="Segoe UI" w:hAnsi="Segoe UI" w:cs="Segoe UI" w:hint="default"/>
        <w:w w:val="97"/>
        <w:sz w:val="20"/>
        <w:szCs w:val="20"/>
        <w:lang w:val="cs-CZ" w:eastAsia="cs-CZ" w:bidi="cs-CZ"/>
      </w:rPr>
    </w:lvl>
    <w:lvl w:ilvl="1" w:tplc="326EF198">
      <w:numFmt w:val="bullet"/>
      <w:lvlText w:val="•"/>
      <w:lvlJc w:val="left"/>
      <w:pPr>
        <w:ind w:left="1466" w:hanging="286"/>
      </w:pPr>
      <w:rPr>
        <w:rFonts w:hint="default"/>
        <w:lang w:val="cs-CZ" w:eastAsia="cs-CZ" w:bidi="cs-CZ"/>
      </w:rPr>
    </w:lvl>
    <w:lvl w:ilvl="2" w:tplc="DAB01B6A">
      <w:numFmt w:val="bullet"/>
      <w:lvlText w:val="•"/>
      <w:lvlJc w:val="left"/>
      <w:pPr>
        <w:ind w:left="2392" w:hanging="286"/>
      </w:pPr>
      <w:rPr>
        <w:rFonts w:hint="default"/>
        <w:lang w:val="cs-CZ" w:eastAsia="cs-CZ" w:bidi="cs-CZ"/>
      </w:rPr>
    </w:lvl>
    <w:lvl w:ilvl="3" w:tplc="1B4C85BC">
      <w:numFmt w:val="bullet"/>
      <w:lvlText w:val="•"/>
      <w:lvlJc w:val="left"/>
      <w:pPr>
        <w:ind w:left="3318" w:hanging="286"/>
      </w:pPr>
      <w:rPr>
        <w:rFonts w:hint="default"/>
        <w:lang w:val="cs-CZ" w:eastAsia="cs-CZ" w:bidi="cs-CZ"/>
      </w:rPr>
    </w:lvl>
    <w:lvl w:ilvl="4" w:tplc="020607E2">
      <w:numFmt w:val="bullet"/>
      <w:lvlText w:val="•"/>
      <w:lvlJc w:val="left"/>
      <w:pPr>
        <w:ind w:left="4244" w:hanging="286"/>
      </w:pPr>
      <w:rPr>
        <w:rFonts w:hint="default"/>
        <w:lang w:val="cs-CZ" w:eastAsia="cs-CZ" w:bidi="cs-CZ"/>
      </w:rPr>
    </w:lvl>
    <w:lvl w:ilvl="5" w:tplc="A55ADDBA">
      <w:numFmt w:val="bullet"/>
      <w:lvlText w:val="•"/>
      <w:lvlJc w:val="left"/>
      <w:pPr>
        <w:ind w:left="5170" w:hanging="286"/>
      </w:pPr>
      <w:rPr>
        <w:rFonts w:hint="default"/>
        <w:lang w:val="cs-CZ" w:eastAsia="cs-CZ" w:bidi="cs-CZ"/>
      </w:rPr>
    </w:lvl>
    <w:lvl w:ilvl="6" w:tplc="E4A0924E">
      <w:numFmt w:val="bullet"/>
      <w:lvlText w:val="•"/>
      <w:lvlJc w:val="left"/>
      <w:pPr>
        <w:ind w:left="6096" w:hanging="286"/>
      </w:pPr>
      <w:rPr>
        <w:rFonts w:hint="default"/>
        <w:lang w:val="cs-CZ" w:eastAsia="cs-CZ" w:bidi="cs-CZ"/>
      </w:rPr>
    </w:lvl>
    <w:lvl w:ilvl="7" w:tplc="506EFBD0">
      <w:numFmt w:val="bullet"/>
      <w:lvlText w:val="•"/>
      <w:lvlJc w:val="left"/>
      <w:pPr>
        <w:ind w:left="7022" w:hanging="286"/>
      </w:pPr>
      <w:rPr>
        <w:rFonts w:hint="default"/>
        <w:lang w:val="cs-CZ" w:eastAsia="cs-CZ" w:bidi="cs-CZ"/>
      </w:rPr>
    </w:lvl>
    <w:lvl w:ilvl="8" w:tplc="17A0A97C">
      <w:numFmt w:val="bullet"/>
      <w:lvlText w:val="•"/>
      <w:lvlJc w:val="left"/>
      <w:pPr>
        <w:ind w:left="7948" w:hanging="286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03502"/>
    <w:rsid w:val="00303502"/>
    <w:rsid w:val="00533263"/>
    <w:rsid w:val="008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4EB3C5"/>
  <w15:docId w15:val="{59DBE906-F04C-475E-9E8D-33CBB826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62" w:right="316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3"/>
      <w:ind w:left="1161" w:right="103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45" w:hanging="28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4446</Words>
  <Characters>26238</Characters>
  <Application>Microsoft Office Word</Application>
  <DocSecurity>0</DocSecurity>
  <Lines>218</Lines>
  <Paragraphs>61</Paragraphs>
  <ScaleCrop>false</ScaleCrop>
  <Company>SFZP</Company>
  <LinksUpToDate>false</LinksUpToDate>
  <CharactersWithSpaces>30623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2021-02-15T12:51:00Z</dcterms:created>
  <dcterms:modified xsi:type="dcterms:W3CDTF">2021-02-15T12:51:00Z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2021-02-15T00:00:00Z</vt:filetime>
  </property>
</Properties>
</file>