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B4" w:rsidRPr="00D969FD" w:rsidRDefault="00E75F3F" w:rsidP="00315799">
      <w:pPr>
        <w:spacing w:before="1680"/>
        <w:jc w:val="right"/>
        <w:rPr>
          <w:i/>
        </w:rPr>
      </w:pPr>
      <w:r w:rsidRPr="00D969FD">
        <w:rPr>
          <w:b/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11430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2B4" w:rsidRPr="00D969FD" w:rsidRDefault="009B22B4" w:rsidP="00FF471C">
      <w:pPr>
        <w:tabs>
          <w:tab w:val="left" w:pos="3686"/>
        </w:tabs>
      </w:pPr>
    </w:p>
    <w:p w:rsidR="009B22B4" w:rsidRPr="00D969FD" w:rsidRDefault="00FF471C" w:rsidP="00FF471C">
      <w:pPr>
        <w:tabs>
          <w:tab w:val="left" w:pos="3686"/>
        </w:tabs>
        <w:rPr>
          <w:i/>
        </w:rPr>
      </w:pPr>
      <w:r w:rsidRPr="00D969FD">
        <w:tab/>
      </w:r>
    </w:p>
    <w:p w:rsidR="00315799" w:rsidRDefault="00315799" w:rsidP="00C576C3">
      <w:pPr>
        <w:tabs>
          <w:tab w:val="left" w:pos="2750"/>
          <w:tab w:val="right" w:leader="dot" w:pos="4536"/>
        </w:tabs>
        <w:spacing w:before="240"/>
        <w:rPr>
          <w:b/>
          <w:sz w:val="32"/>
          <w:szCs w:val="32"/>
        </w:rPr>
      </w:pPr>
      <w:bookmarkStart w:id="0" w:name="Priloha_1"/>
      <w:bookmarkEnd w:id="0"/>
    </w:p>
    <w:p w:rsidR="009B22B4" w:rsidRPr="00D969FD" w:rsidRDefault="009B22B4" w:rsidP="00C576C3">
      <w:pPr>
        <w:tabs>
          <w:tab w:val="left" w:pos="2750"/>
          <w:tab w:val="right" w:leader="dot" w:pos="4536"/>
        </w:tabs>
        <w:spacing w:before="240"/>
        <w:rPr>
          <w:b/>
          <w:sz w:val="32"/>
          <w:szCs w:val="32"/>
        </w:rPr>
      </w:pPr>
      <w:r w:rsidRPr="00D969FD">
        <w:rPr>
          <w:b/>
          <w:sz w:val="32"/>
          <w:szCs w:val="32"/>
        </w:rPr>
        <w:t>Pojistná smlouva č.</w:t>
      </w:r>
      <w:r w:rsidR="00193697" w:rsidRPr="00D969FD">
        <w:rPr>
          <w:b/>
          <w:sz w:val="32"/>
          <w:szCs w:val="32"/>
        </w:rPr>
        <w:tab/>
      </w:r>
      <w:r w:rsidR="00315799">
        <w:rPr>
          <w:b/>
          <w:sz w:val="32"/>
          <w:szCs w:val="32"/>
        </w:rPr>
        <w:t xml:space="preserve"> 7721138433</w:t>
      </w:r>
    </w:p>
    <w:p w:rsidR="009B22B4" w:rsidRPr="00D969FD" w:rsidRDefault="009B22B4" w:rsidP="00280823">
      <w:pPr>
        <w:spacing w:after="240"/>
        <w:rPr>
          <w:b/>
        </w:rPr>
      </w:pPr>
      <w:r w:rsidRPr="00D969FD">
        <w:rPr>
          <w:b/>
        </w:rPr>
        <w:t>Úsek pojištění hospodářských rizik</w:t>
      </w:r>
    </w:p>
    <w:p w:rsidR="009B22B4" w:rsidRPr="00D969FD" w:rsidRDefault="009B22B4" w:rsidP="00486022">
      <w:pPr>
        <w:rPr>
          <w:b/>
          <w:sz w:val="32"/>
          <w:szCs w:val="32"/>
        </w:rPr>
      </w:pPr>
      <w:r w:rsidRPr="00D969FD">
        <w:rPr>
          <w:b/>
          <w:sz w:val="32"/>
          <w:szCs w:val="32"/>
        </w:rPr>
        <w:t xml:space="preserve">Kooperativa pojišťovna, a.s., </w:t>
      </w:r>
      <w:proofErr w:type="spellStart"/>
      <w:r w:rsidRPr="00D969FD">
        <w:rPr>
          <w:b/>
          <w:sz w:val="32"/>
          <w:szCs w:val="32"/>
        </w:rPr>
        <w:t>Vienna</w:t>
      </w:r>
      <w:proofErr w:type="spellEnd"/>
      <w:r w:rsidRPr="00D969FD">
        <w:rPr>
          <w:b/>
          <w:sz w:val="32"/>
          <w:szCs w:val="32"/>
        </w:rPr>
        <w:t xml:space="preserve"> </w:t>
      </w:r>
      <w:proofErr w:type="spellStart"/>
      <w:r w:rsidRPr="00D969FD">
        <w:rPr>
          <w:b/>
          <w:sz w:val="32"/>
          <w:szCs w:val="32"/>
        </w:rPr>
        <w:t>Insurance</w:t>
      </w:r>
      <w:proofErr w:type="spellEnd"/>
      <w:r w:rsidRPr="00D969FD">
        <w:rPr>
          <w:b/>
          <w:sz w:val="32"/>
          <w:szCs w:val="32"/>
        </w:rPr>
        <w:t xml:space="preserve"> </w:t>
      </w:r>
      <w:proofErr w:type="spellStart"/>
      <w:r w:rsidRPr="00D969FD">
        <w:rPr>
          <w:b/>
          <w:sz w:val="32"/>
          <w:szCs w:val="32"/>
        </w:rPr>
        <w:t>Group</w:t>
      </w:r>
      <w:proofErr w:type="spellEnd"/>
    </w:p>
    <w:p w:rsidR="009B22B4" w:rsidRPr="00D969FD" w:rsidRDefault="009B22B4" w:rsidP="00486022">
      <w:pPr>
        <w:rPr>
          <w:b/>
        </w:rPr>
      </w:pPr>
      <w:r w:rsidRPr="00D969FD">
        <w:rPr>
          <w:b/>
        </w:rPr>
        <w:t xml:space="preserve">se sídlem Praha 8, Pobřežní 665/21, PSČ 186 00, Česká republika </w:t>
      </w:r>
    </w:p>
    <w:p w:rsidR="009B22B4" w:rsidRPr="00D969FD" w:rsidRDefault="00280823" w:rsidP="00486022">
      <w:pPr>
        <w:rPr>
          <w:b/>
        </w:rPr>
      </w:pPr>
      <w:r w:rsidRPr="00D969FD">
        <w:rPr>
          <w:b/>
        </w:rPr>
        <w:t>IČO: 47116617</w:t>
      </w:r>
    </w:p>
    <w:p w:rsidR="009B22B4" w:rsidRPr="00D969FD" w:rsidRDefault="009B22B4" w:rsidP="00486022">
      <w:pPr>
        <w:rPr>
          <w:szCs w:val="20"/>
        </w:rPr>
      </w:pPr>
      <w:r w:rsidRPr="00D969FD">
        <w:rPr>
          <w:szCs w:val="20"/>
        </w:rPr>
        <w:t xml:space="preserve">zapsaná v obchodním rejstříku u Městského soudu v Praze, </w:t>
      </w:r>
      <w:proofErr w:type="spellStart"/>
      <w:r w:rsidRPr="00D969FD">
        <w:rPr>
          <w:szCs w:val="20"/>
        </w:rPr>
        <w:t>sp</w:t>
      </w:r>
      <w:proofErr w:type="spellEnd"/>
      <w:r w:rsidRPr="00D969FD">
        <w:rPr>
          <w:szCs w:val="20"/>
        </w:rPr>
        <w:t>. zn. B 1897</w:t>
      </w:r>
    </w:p>
    <w:p w:rsidR="009B22B4" w:rsidRPr="00D969FD" w:rsidRDefault="009B22B4" w:rsidP="00486022">
      <w:pPr>
        <w:spacing w:after="60"/>
        <w:rPr>
          <w:szCs w:val="20"/>
        </w:rPr>
      </w:pPr>
      <w:r w:rsidRPr="00D969FD">
        <w:rPr>
          <w:szCs w:val="20"/>
        </w:rPr>
        <w:t>(dále jen „</w:t>
      </w:r>
      <w:r w:rsidRPr="00D969FD">
        <w:rPr>
          <w:b/>
          <w:szCs w:val="20"/>
        </w:rPr>
        <w:t>pojistitel</w:t>
      </w:r>
      <w:r w:rsidRPr="00D969FD">
        <w:rPr>
          <w:szCs w:val="20"/>
        </w:rPr>
        <w:t>“)</w:t>
      </w:r>
    </w:p>
    <w:p w:rsidR="009B22B4" w:rsidRPr="00D969FD" w:rsidRDefault="009B22B4" w:rsidP="00486022">
      <w:pPr>
        <w:spacing w:after="120"/>
        <w:rPr>
          <w:szCs w:val="20"/>
        </w:rPr>
      </w:pPr>
      <w:r w:rsidRPr="00D969FD">
        <w:rPr>
          <w:szCs w:val="20"/>
        </w:rPr>
        <w:t xml:space="preserve">zastoupený na základě zmocnění níže podepsanými osobami </w:t>
      </w:r>
    </w:p>
    <w:p w:rsidR="00667AED" w:rsidRPr="00D969FD" w:rsidRDefault="00667AED" w:rsidP="00667AED">
      <w:pPr>
        <w:spacing w:after="120"/>
        <w:rPr>
          <w:szCs w:val="20"/>
        </w:rPr>
      </w:pPr>
      <w:r w:rsidRPr="00D969FD">
        <w:rPr>
          <w:szCs w:val="20"/>
        </w:rPr>
        <w:t xml:space="preserve">Pracoviště: Kooperativa pojišťovna, a.s., </w:t>
      </w:r>
      <w:proofErr w:type="spellStart"/>
      <w:r w:rsidRPr="00D969FD">
        <w:rPr>
          <w:szCs w:val="20"/>
        </w:rPr>
        <w:t>Vienna</w:t>
      </w:r>
      <w:proofErr w:type="spellEnd"/>
      <w:r w:rsidRPr="00D969FD">
        <w:rPr>
          <w:szCs w:val="20"/>
        </w:rPr>
        <w:t xml:space="preserve"> </w:t>
      </w:r>
      <w:proofErr w:type="spellStart"/>
      <w:r w:rsidRPr="00D969FD">
        <w:rPr>
          <w:szCs w:val="20"/>
        </w:rPr>
        <w:t>Insurance</w:t>
      </w:r>
      <w:proofErr w:type="spellEnd"/>
      <w:r w:rsidRPr="00D969FD">
        <w:rPr>
          <w:szCs w:val="20"/>
        </w:rPr>
        <w:t xml:space="preserve"> </w:t>
      </w:r>
      <w:proofErr w:type="spellStart"/>
      <w:r w:rsidRPr="00D969FD">
        <w:rPr>
          <w:szCs w:val="20"/>
        </w:rPr>
        <w:t>Group</w:t>
      </w:r>
      <w:proofErr w:type="spellEnd"/>
      <w:r w:rsidRPr="00D969FD">
        <w:rPr>
          <w:szCs w:val="20"/>
        </w:rPr>
        <w:t>, Pobřežn</w:t>
      </w:r>
      <w:r w:rsidR="00C4743B" w:rsidRPr="00D969FD">
        <w:rPr>
          <w:szCs w:val="20"/>
        </w:rPr>
        <w:t>í 665/21, Praha 8, PSČ 186 00,</w:t>
      </w:r>
    </w:p>
    <w:p w:rsidR="00667AED" w:rsidRPr="00D969FD" w:rsidRDefault="00667AED" w:rsidP="00667AED">
      <w:pPr>
        <w:spacing w:after="240"/>
        <w:rPr>
          <w:szCs w:val="20"/>
        </w:rPr>
      </w:pPr>
      <w:r w:rsidRPr="00D969FD">
        <w:rPr>
          <w:szCs w:val="20"/>
        </w:rPr>
        <w:t xml:space="preserve">tel. </w:t>
      </w:r>
      <w:r w:rsidR="00315799">
        <w:rPr>
          <w:szCs w:val="20"/>
        </w:rPr>
        <w:t>956 421 111</w:t>
      </w:r>
      <w:r w:rsidRPr="00D969FD">
        <w:rPr>
          <w:szCs w:val="20"/>
        </w:rPr>
        <w:t xml:space="preserve">, fax </w:t>
      </w:r>
      <w:r w:rsidR="00315799">
        <w:rPr>
          <w:szCs w:val="20"/>
        </w:rPr>
        <w:t>956 449 000</w:t>
      </w:r>
    </w:p>
    <w:p w:rsidR="00315799" w:rsidRDefault="00315799" w:rsidP="00280823">
      <w:pPr>
        <w:spacing w:after="240"/>
        <w:rPr>
          <w:szCs w:val="20"/>
        </w:rPr>
      </w:pPr>
    </w:p>
    <w:p w:rsidR="009B22B4" w:rsidRPr="00D969FD" w:rsidRDefault="009B22B4" w:rsidP="00280823">
      <w:pPr>
        <w:spacing w:after="240"/>
        <w:rPr>
          <w:szCs w:val="20"/>
        </w:rPr>
      </w:pPr>
      <w:r w:rsidRPr="00D969FD">
        <w:rPr>
          <w:szCs w:val="20"/>
        </w:rPr>
        <w:t>a</w:t>
      </w:r>
    </w:p>
    <w:p w:rsidR="00315799" w:rsidRDefault="00315799" w:rsidP="00315799">
      <w:pPr>
        <w:rPr>
          <w:rFonts w:cs="Arial"/>
          <w:b/>
          <w:sz w:val="32"/>
        </w:rPr>
      </w:pPr>
    </w:p>
    <w:p w:rsidR="00315799" w:rsidRPr="009D2982" w:rsidRDefault="00315799" w:rsidP="00315799">
      <w:pPr>
        <w:rPr>
          <w:rFonts w:cs="Arial"/>
          <w:b/>
          <w:sz w:val="32"/>
        </w:rPr>
      </w:pPr>
      <w:r w:rsidRPr="009D2982">
        <w:rPr>
          <w:rFonts w:cs="Arial"/>
          <w:b/>
          <w:sz w:val="32"/>
        </w:rPr>
        <w:t>Psychiatrická nemocnice Kosmonosy</w:t>
      </w:r>
    </w:p>
    <w:p w:rsidR="00315799" w:rsidRPr="00B51880" w:rsidRDefault="00315799" w:rsidP="00315799">
      <w:pPr>
        <w:rPr>
          <w:rFonts w:cs="Arial"/>
          <w:b/>
          <w:sz w:val="22"/>
          <w:szCs w:val="22"/>
        </w:rPr>
      </w:pPr>
      <w:r w:rsidRPr="009D2982">
        <w:rPr>
          <w:rFonts w:cs="Arial"/>
          <w:b/>
          <w:sz w:val="22"/>
          <w:szCs w:val="22"/>
        </w:rPr>
        <w:t xml:space="preserve">se sídlem </w:t>
      </w:r>
      <w:r w:rsidRPr="00B51880">
        <w:rPr>
          <w:rFonts w:cs="Arial"/>
          <w:b/>
          <w:sz w:val="22"/>
          <w:szCs w:val="22"/>
        </w:rPr>
        <w:t>Kosmonosy, Lípy 15, PSČ 293 06</w:t>
      </w:r>
    </w:p>
    <w:p w:rsidR="00315799" w:rsidRPr="003F43E2" w:rsidRDefault="00315799" w:rsidP="00315799">
      <w:pPr>
        <w:rPr>
          <w:rFonts w:cs="Arial"/>
          <w:b/>
          <w:sz w:val="22"/>
          <w:szCs w:val="22"/>
        </w:rPr>
      </w:pPr>
      <w:r w:rsidRPr="003F43E2">
        <w:rPr>
          <w:rFonts w:cs="Arial"/>
          <w:b/>
          <w:sz w:val="22"/>
          <w:szCs w:val="22"/>
        </w:rPr>
        <w:t>IČO: 00068691</w:t>
      </w:r>
    </w:p>
    <w:p w:rsidR="00315799" w:rsidRPr="00AF76EB" w:rsidRDefault="00315799" w:rsidP="00315799">
      <w:pPr>
        <w:rPr>
          <w:rFonts w:cs="Arial"/>
        </w:rPr>
      </w:pPr>
      <w:r w:rsidRPr="00AF76EB">
        <w:rPr>
          <w:rFonts w:cs="Arial"/>
        </w:rPr>
        <w:t>(dále jen „</w:t>
      </w:r>
      <w:r w:rsidRPr="00AF76EB">
        <w:rPr>
          <w:rFonts w:cs="Arial"/>
          <w:b/>
        </w:rPr>
        <w:t>pojistník</w:t>
      </w:r>
      <w:r w:rsidRPr="00AF76EB">
        <w:rPr>
          <w:rFonts w:cs="Arial"/>
        </w:rPr>
        <w:t>“)</w:t>
      </w:r>
    </w:p>
    <w:p w:rsidR="00315799" w:rsidRPr="00AF76EB" w:rsidRDefault="00315799" w:rsidP="00315799">
      <w:pPr>
        <w:rPr>
          <w:rFonts w:cs="Arial"/>
        </w:rPr>
      </w:pPr>
      <w:r w:rsidRPr="00AF76EB">
        <w:rPr>
          <w:rFonts w:cs="Arial"/>
        </w:rPr>
        <w:t>zastoupený: Ing. Danou Kolářovou, ředitelkou</w:t>
      </w:r>
    </w:p>
    <w:p w:rsidR="00315799" w:rsidRPr="00AF76EB" w:rsidRDefault="00315799" w:rsidP="00315799">
      <w:pPr>
        <w:rPr>
          <w:rFonts w:cs="Arial"/>
        </w:rPr>
      </w:pPr>
      <w:r w:rsidRPr="00AF76EB">
        <w:rPr>
          <w:rFonts w:cs="Arial"/>
        </w:rPr>
        <w:t>Korespondenční adresa pojistníka je totožná s výše uvedenou adresou pojistníka</w:t>
      </w:r>
    </w:p>
    <w:p w:rsidR="00315799" w:rsidRPr="00AF76EB" w:rsidRDefault="00315799" w:rsidP="00315799">
      <w:pPr>
        <w:suppressAutoHyphens/>
        <w:spacing w:before="120"/>
        <w:rPr>
          <w:rFonts w:cs="Arial"/>
          <w:snapToGrid w:val="0"/>
        </w:rPr>
      </w:pPr>
      <w:r>
        <w:rPr>
          <w:rFonts w:cs="Arial"/>
          <w:snapToGrid w:val="0"/>
        </w:rPr>
        <w:t>B</w:t>
      </w:r>
      <w:r w:rsidRPr="00AF76EB">
        <w:rPr>
          <w:rFonts w:cs="Arial"/>
          <w:snapToGrid w:val="0"/>
        </w:rPr>
        <w:t>ankovní spojení: ČNB, číslo účtu 7532181/0710</w:t>
      </w:r>
    </w:p>
    <w:p w:rsidR="00315799" w:rsidRDefault="00315799" w:rsidP="00456A83">
      <w:pPr>
        <w:spacing w:before="240" w:after="240"/>
        <w:rPr>
          <w:szCs w:val="20"/>
        </w:rPr>
      </w:pPr>
    </w:p>
    <w:p w:rsidR="009B22B4" w:rsidRPr="00D969FD" w:rsidRDefault="009B22B4" w:rsidP="00456A83">
      <w:pPr>
        <w:spacing w:before="240" w:after="240"/>
        <w:rPr>
          <w:szCs w:val="20"/>
        </w:rPr>
      </w:pPr>
      <w:r w:rsidRPr="00D969FD">
        <w:rPr>
          <w:szCs w:val="20"/>
        </w:rPr>
        <w:t xml:space="preserve">uzavírají </w:t>
      </w:r>
    </w:p>
    <w:p w:rsidR="00315799" w:rsidRDefault="00315799" w:rsidP="00873C2F">
      <w:pPr>
        <w:spacing w:after="480"/>
        <w:rPr>
          <w:szCs w:val="20"/>
        </w:rPr>
      </w:pPr>
    </w:p>
    <w:p w:rsidR="009B22B4" w:rsidRPr="00D969FD" w:rsidRDefault="009B22B4" w:rsidP="00873C2F">
      <w:pPr>
        <w:spacing w:after="480"/>
        <w:rPr>
          <w:szCs w:val="20"/>
        </w:rPr>
      </w:pPr>
      <w:r w:rsidRPr="00D969FD">
        <w:rPr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9B22B4" w:rsidRPr="00D969FD" w:rsidRDefault="009B22B4" w:rsidP="00FF471C">
      <w:r w:rsidRPr="00D969FD">
        <w:br w:type="page"/>
      </w:r>
    </w:p>
    <w:p w:rsidR="009B22B4" w:rsidRPr="00D969FD" w:rsidRDefault="009B22B4" w:rsidP="00F425A6">
      <w:pPr>
        <w:pStyle w:val="Nadpislnk"/>
      </w:pPr>
      <w:r w:rsidRPr="00D969FD">
        <w:lastRenderedPageBreak/>
        <w:t>Článek I.</w:t>
      </w:r>
      <w:r w:rsidR="00F425A6" w:rsidRPr="00D969FD">
        <w:br/>
      </w:r>
      <w:r w:rsidRPr="00D969FD">
        <w:t>Úvodní ustanovení</w:t>
      </w:r>
    </w:p>
    <w:p w:rsidR="00315799" w:rsidRPr="00121F6B" w:rsidRDefault="00315799" w:rsidP="00315799">
      <w:pPr>
        <w:numPr>
          <w:ilvl w:val="0"/>
          <w:numId w:val="43"/>
        </w:numPr>
        <w:tabs>
          <w:tab w:val="num" w:pos="360"/>
        </w:tabs>
        <w:suppressAutoHyphens/>
        <w:ind w:left="357" w:hanging="357"/>
        <w:rPr>
          <w:rFonts w:cs="Arial"/>
          <w:snapToGrid w:val="0"/>
        </w:rPr>
      </w:pPr>
      <w:r w:rsidRPr="00121F6B">
        <w:rPr>
          <w:rFonts w:cs="Arial"/>
        </w:rPr>
        <w:t>Pojištěným je pojistník</w:t>
      </w:r>
      <w:r w:rsidRPr="00121F6B">
        <w:rPr>
          <w:rFonts w:cs="Arial"/>
          <w:snapToGrid w:val="0"/>
        </w:rPr>
        <w:t>.</w:t>
      </w:r>
    </w:p>
    <w:p w:rsidR="00315799" w:rsidRPr="00121F6B" w:rsidRDefault="00315799" w:rsidP="00315799">
      <w:pPr>
        <w:suppressAutoHyphens/>
        <w:ind w:left="357"/>
        <w:rPr>
          <w:rFonts w:cs="Arial"/>
          <w:snapToGrid w:val="0"/>
        </w:rPr>
      </w:pPr>
    </w:p>
    <w:p w:rsidR="00315799" w:rsidRPr="00121F6B" w:rsidRDefault="00315799" w:rsidP="00315799">
      <w:pPr>
        <w:numPr>
          <w:ilvl w:val="0"/>
          <w:numId w:val="43"/>
        </w:numPr>
        <w:tabs>
          <w:tab w:val="num" w:pos="360"/>
        </w:tabs>
        <w:suppressAutoHyphens/>
        <w:ind w:left="357" w:hanging="357"/>
        <w:rPr>
          <w:rFonts w:cs="Arial"/>
        </w:rPr>
      </w:pPr>
      <w:r w:rsidRPr="00121F6B">
        <w:rPr>
          <w:rFonts w:cs="Arial"/>
        </w:rPr>
        <w:t>K pojištění se vztahují: Všeobecné pojistné podmínky (dále jen „VPP“), Zvláštní pojistné podmínky (dále jen „ZPP“) a Dodatkové pojistné podmínky (dále jen „DPP“).</w:t>
      </w:r>
    </w:p>
    <w:p w:rsidR="00315799" w:rsidRPr="00121F6B" w:rsidRDefault="00315799" w:rsidP="00315799">
      <w:pPr>
        <w:keepNext/>
        <w:suppressAutoHyphens/>
        <w:spacing w:before="120"/>
        <w:ind w:left="357"/>
        <w:rPr>
          <w:rFonts w:cs="Arial"/>
          <w:snapToGrid w:val="0"/>
        </w:rPr>
      </w:pPr>
      <w:r w:rsidRPr="00121F6B">
        <w:rPr>
          <w:rFonts w:cs="Arial"/>
          <w:b/>
          <w:bCs/>
          <w:snapToGrid w:val="0"/>
        </w:rPr>
        <w:t>V</w:t>
      </w:r>
      <w:r w:rsidRPr="00121F6B">
        <w:rPr>
          <w:rFonts w:cs="Arial"/>
          <w:b/>
          <w:bCs/>
        </w:rPr>
        <w:t>šeobecné pojistné podmínky</w:t>
      </w:r>
      <w:r w:rsidRPr="00121F6B">
        <w:rPr>
          <w:rFonts w:cs="Arial"/>
        </w:rPr>
        <w:t xml:space="preserve"> </w:t>
      </w:r>
    </w:p>
    <w:p w:rsidR="00315799" w:rsidRPr="00121F6B" w:rsidRDefault="00315799" w:rsidP="00315799">
      <w:pPr>
        <w:suppressAutoHyphens/>
        <w:ind w:left="357"/>
        <w:rPr>
          <w:rFonts w:cs="Arial"/>
        </w:rPr>
      </w:pPr>
      <w:r w:rsidRPr="00121F6B">
        <w:rPr>
          <w:rFonts w:cs="Arial"/>
        </w:rPr>
        <w:t>VPP P-100/14 - pro pojištění majetku a odpovědnosti</w:t>
      </w:r>
    </w:p>
    <w:p w:rsidR="00315799" w:rsidRPr="00121F6B" w:rsidRDefault="00315799" w:rsidP="00315799">
      <w:pPr>
        <w:keepNext/>
        <w:tabs>
          <w:tab w:val="left" w:pos="-720"/>
        </w:tabs>
        <w:suppressAutoHyphens/>
        <w:spacing w:before="120"/>
        <w:ind w:left="357"/>
        <w:rPr>
          <w:rFonts w:cs="Arial"/>
        </w:rPr>
      </w:pPr>
      <w:r w:rsidRPr="00121F6B">
        <w:rPr>
          <w:rFonts w:cs="Arial"/>
          <w:b/>
          <w:bCs/>
        </w:rPr>
        <w:t>Zvláštní pojistné podmínky</w:t>
      </w:r>
      <w:r w:rsidRPr="00121F6B">
        <w:rPr>
          <w:rFonts w:cs="Arial"/>
        </w:rPr>
        <w:t xml:space="preserve"> </w:t>
      </w:r>
    </w:p>
    <w:p w:rsidR="00315799" w:rsidRPr="00121F6B" w:rsidRDefault="00315799" w:rsidP="00315799">
      <w:pPr>
        <w:suppressAutoHyphens/>
        <w:ind w:left="357"/>
        <w:rPr>
          <w:rFonts w:cs="Arial"/>
        </w:rPr>
      </w:pPr>
      <w:r w:rsidRPr="00121F6B">
        <w:rPr>
          <w:rFonts w:cs="Arial"/>
        </w:rPr>
        <w:t>ZPP P-150/14 - pro živelní pojištění</w:t>
      </w:r>
    </w:p>
    <w:p w:rsidR="00315799" w:rsidRPr="00121F6B" w:rsidRDefault="00315799" w:rsidP="00315799">
      <w:pPr>
        <w:suppressAutoHyphens/>
        <w:ind w:left="357"/>
        <w:rPr>
          <w:rFonts w:cs="Arial"/>
        </w:rPr>
      </w:pPr>
      <w:r w:rsidRPr="00121F6B">
        <w:rPr>
          <w:rFonts w:cs="Arial"/>
        </w:rPr>
        <w:t>ZPP P-200/14 - pro pojištění pro případ odcizení</w:t>
      </w:r>
    </w:p>
    <w:p w:rsidR="00315799" w:rsidRPr="00121F6B" w:rsidRDefault="00315799" w:rsidP="00315799">
      <w:pPr>
        <w:suppressAutoHyphens/>
        <w:ind w:left="357"/>
        <w:rPr>
          <w:rFonts w:cs="Arial"/>
        </w:rPr>
      </w:pPr>
      <w:r w:rsidRPr="00121F6B">
        <w:rPr>
          <w:rFonts w:cs="Arial"/>
        </w:rPr>
        <w:t>ZPP P-320/14 - pro pojištění elektronických zařízení</w:t>
      </w:r>
    </w:p>
    <w:p w:rsidR="00315799" w:rsidRPr="00121F6B" w:rsidRDefault="00315799" w:rsidP="00315799">
      <w:pPr>
        <w:suppressAutoHyphens/>
        <w:ind w:left="357"/>
        <w:rPr>
          <w:rFonts w:cs="Arial"/>
        </w:rPr>
      </w:pPr>
      <w:r w:rsidRPr="00121F6B">
        <w:rPr>
          <w:rFonts w:cs="Arial"/>
        </w:rPr>
        <w:t>ZPP P-600/14 - pro pojištění odpovědnosti za újmu</w:t>
      </w:r>
    </w:p>
    <w:p w:rsidR="00315799" w:rsidRPr="00121F6B" w:rsidRDefault="00315799" w:rsidP="00315799">
      <w:pPr>
        <w:keepNext/>
        <w:suppressAutoHyphens/>
        <w:spacing w:before="120"/>
        <w:ind w:left="357"/>
        <w:rPr>
          <w:rFonts w:cs="Arial"/>
        </w:rPr>
      </w:pPr>
      <w:r w:rsidRPr="00121F6B">
        <w:rPr>
          <w:rFonts w:cs="Arial"/>
          <w:b/>
          <w:bCs/>
        </w:rPr>
        <w:t xml:space="preserve">Dodatkové pojistné podmínky </w:t>
      </w:r>
    </w:p>
    <w:p w:rsidR="00315799" w:rsidRPr="00121F6B" w:rsidRDefault="00315799" w:rsidP="00315799">
      <w:pPr>
        <w:suppressAutoHyphens/>
        <w:ind w:left="357"/>
        <w:rPr>
          <w:rFonts w:cs="Arial"/>
        </w:rPr>
      </w:pPr>
      <w:r w:rsidRPr="00121F6B">
        <w:rPr>
          <w:rFonts w:cs="Arial"/>
        </w:rPr>
        <w:t>DPP P-520/14 - pro pojištění hospodářských rizik, sestávající se z následujících doložek:</w:t>
      </w:r>
    </w:p>
    <w:p w:rsidR="00315799" w:rsidRPr="00121F6B" w:rsidRDefault="00315799" w:rsidP="00315799">
      <w:pPr>
        <w:keepNext/>
        <w:suppressAutoHyphens/>
        <w:spacing w:before="120"/>
        <w:ind w:left="357"/>
        <w:rPr>
          <w:rFonts w:cs="Arial"/>
          <w:b/>
        </w:rPr>
      </w:pPr>
      <w:r w:rsidRPr="00121F6B">
        <w:rPr>
          <w:rFonts w:cs="Arial"/>
          <w:b/>
        </w:rPr>
        <w:t>Živel</w:t>
      </w:r>
    </w:p>
    <w:p w:rsidR="00315799" w:rsidRPr="00121F6B" w:rsidRDefault="00315799" w:rsidP="00315799">
      <w:pPr>
        <w:suppressAutoHyphens/>
        <w:ind w:left="357"/>
        <w:rPr>
          <w:rFonts w:cs="Arial"/>
          <w:spacing w:val="-2"/>
        </w:rPr>
      </w:pPr>
      <w:r w:rsidRPr="00121F6B">
        <w:rPr>
          <w:rFonts w:cs="Arial"/>
          <w:spacing w:val="-2"/>
        </w:rPr>
        <w:t>DZ101 - Lehké stavby, dřevostavby - Výluka (1401)</w:t>
      </w:r>
      <w:r w:rsidRPr="00121F6B">
        <w:rPr>
          <w:rFonts w:cs="Arial"/>
          <w:spacing w:val="-2"/>
        </w:rPr>
        <w:cr/>
        <w:t>DZ106 - Zásoby a jejich uložení - Vymezení podmínek (1401)</w:t>
      </w:r>
    </w:p>
    <w:p w:rsidR="00315799" w:rsidRPr="00121F6B" w:rsidRDefault="00315799" w:rsidP="00315799">
      <w:pPr>
        <w:suppressAutoHyphens/>
        <w:ind w:left="1094" w:hanging="737"/>
        <w:rPr>
          <w:rFonts w:cs="Arial"/>
          <w:spacing w:val="-2"/>
        </w:rPr>
      </w:pPr>
      <w:r w:rsidRPr="00121F6B">
        <w:rPr>
          <w:rFonts w:cs="Arial"/>
          <w:spacing w:val="-2"/>
        </w:rPr>
        <w:t>DZ108 - Suterén - Výluka (1401)</w:t>
      </w:r>
    </w:p>
    <w:p w:rsidR="00315799" w:rsidRPr="00121F6B" w:rsidRDefault="00315799" w:rsidP="00315799">
      <w:pPr>
        <w:suppressAutoHyphens/>
        <w:ind w:left="1094" w:hanging="737"/>
        <w:rPr>
          <w:rFonts w:cs="Arial"/>
          <w:spacing w:val="-2"/>
        </w:rPr>
      </w:pPr>
      <w:r w:rsidRPr="00121F6B">
        <w:rPr>
          <w:rFonts w:cs="Arial"/>
          <w:spacing w:val="-2"/>
        </w:rPr>
        <w:t xml:space="preserve">DZ112 - </w:t>
      </w:r>
      <w:proofErr w:type="spellStart"/>
      <w:r w:rsidRPr="00121F6B">
        <w:rPr>
          <w:rFonts w:cs="Arial"/>
          <w:spacing w:val="-2"/>
        </w:rPr>
        <w:t>Fotovoltaická</w:t>
      </w:r>
      <w:proofErr w:type="spellEnd"/>
      <w:r w:rsidRPr="00121F6B">
        <w:rPr>
          <w:rFonts w:cs="Arial"/>
          <w:spacing w:val="-2"/>
        </w:rPr>
        <w:t xml:space="preserve"> elektrárna - Výluka (1401)</w:t>
      </w:r>
    </w:p>
    <w:p w:rsidR="00315799" w:rsidRPr="00121F6B" w:rsidRDefault="00315799" w:rsidP="00315799">
      <w:pPr>
        <w:suppressAutoHyphens/>
        <w:ind w:left="1094" w:hanging="737"/>
        <w:rPr>
          <w:rFonts w:cs="Arial"/>
          <w:spacing w:val="-2"/>
        </w:rPr>
      </w:pPr>
      <w:r w:rsidRPr="00121F6B">
        <w:rPr>
          <w:rFonts w:cs="Arial"/>
          <w:spacing w:val="-2"/>
        </w:rPr>
        <w:t>DZ114 - Nepřímý úder blesku - Rozšíření rozsahu pojištění (1404)</w:t>
      </w:r>
    </w:p>
    <w:p w:rsidR="00315799" w:rsidRPr="00121F6B" w:rsidRDefault="00315799" w:rsidP="00315799">
      <w:pPr>
        <w:keepNext/>
        <w:suppressAutoHyphens/>
        <w:spacing w:before="120"/>
        <w:ind w:left="357"/>
        <w:rPr>
          <w:rFonts w:cs="Arial"/>
          <w:b/>
        </w:rPr>
      </w:pPr>
      <w:r w:rsidRPr="00121F6B">
        <w:rPr>
          <w:rFonts w:cs="Arial"/>
          <w:b/>
        </w:rPr>
        <w:t>Zabezpečení</w:t>
      </w:r>
    </w:p>
    <w:p w:rsidR="00315799" w:rsidRPr="00121F6B" w:rsidRDefault="00315799" w:rsidP="00315799">
      <w:pPr>
        <w:suppressAutoHyphens/>
        <w:ind w:left="1276" w:hanging="919"/>
        <w:rPr>
          <w:rFonts w:cs="Arial"/>
          <w:spacing w:val="-2"/>
        </w:rPr>
      </w:pPr>
      <w:r w:rsidRPr="00121F6B">
        <w:rPr>
          <w:rFonts w:cs="Arial"/>
          <w:spacing w:val="-2"/>
        </w:rPr>
        <w:t xml:space="preserve">DOZ101 - Předepsané způsoby zabezpečení pojištěných věcí (netýká se finančních prostředků a cenných </w:t>
      </w:r>
      <w:proofErr w:type="gramStart"/>
      <w:r w:rsidRPr="00121F6B">
        <w:rPr>
          <w:rFonts w:cs="Arial"/>
          <w:spacing w:val="-2"/>
        </w:rPr>
        <w:t>předmětů) (1612</w:t>
      </w:r>
      <w:proofErr w:type="gramEnd"/>
      <w:r w:rsidRPr="00121F6B">
        <w:rPr>
          <w:rFonts w:cs="Arial"/>
          <w:spacing w:val="-2"/>
        </w:rPr>
        <w:t>)</w:t>
      </w:r>
    </w:p>
    <w:p w:rsidR="00315799" w:rsidRPr="00121F6B" w:rsidRDefault="00315799" w:rsidP="00315799">
      <w:pPr>
        <w:suppressAutoHyphens/>
        <w:ind w:left="1094" w:hanging="737"/>
        <w:rPr>
          <w:rFonts w:cs="Arial"/>
          <w:spacing w:val="-2"/>
        </w:rPr>
      </w:pPr>
      <w:r w:rsidRPr="00121F6B">
        <w:rPr>
          <w:rFonts w:cs="Arial"/>
          <w:spacing w:val="-2"/>
        </w:rPr>
        <w:t>DOZ102 - Předepsané způsoby zabezpečení finančních prostředků a cenných předmětů (1606)</w:t>
      </w:r>
    </w:p>
    <w:p w:rsidR="00315799" w:rsidRPr="00121F6B" w:rsidRDefault="00315799" w:rsidP="00315799">
      <w:pPr>
        <w:suppressAutoHyphens/>
        <w:ind w:left="1094" w:hanging="737"/>
        <w:rPr>
          <w:rFonts w:cs="Arial"/>
          <w:spacing w:val="-2"/>
        </w:rPr>
      </w:pPr>
      <w:r w:rsidRPr="00121F6B">
        <w:rPr>
          <w:rFonts w:cs="Arial"/>
          <w:spacing w:val="-2"/>
        </w:rPr>
        <w:t>DOZ105 - Předepsané způsoby zabezpečení - Výklad pojmů (</w:t>
      </w:r>
      <w:r>
        <w:rPr>
          <w:rFonts w:cs="Arial"/>
          <w:spacing w:val="-2"/>
        </w:rPr>
        <w:t>2001</w:t>
      </w:r>
      <w:r w:rsidRPr="00121F6B">
        <w:rPr>
          <w:rFonts w:cs="Arial"/>
          <w:spacing w:val="-2"/>
        </w:rPr>
        <w:t>)</w:t>
      </w:r>
    </w:p>
    <w:p w:rsidR="00315799" w:rsidRPr="00121F6B" w:rsidRDefault="00315799" w:rsidP="00315799">
      <w:pPr>
        <w:keepNext/>
        <w:suppressAutoHyphens/>
        <w:spacing w:before="120"/>
        <w:ind w:left="357"/>
        <w:rPr>
          <w:rFonts w:cs="Arial"/>
          <w:b/>
        </w:rPr>
      </w:pPr>
      <w:r w:rsidRPr="00121F6B">
        <w:rPr>
          <w:rFonts w:cs="Arial"/>
          <w:b/>
        </w:rPr>
        <w:t>Odpovědnost za újmu</w:t>
      </w:r>
    </w:p>
    <w:p w:rsidR="00315799" w:rsidRPr="00121F6B" w:rsidRDefault="00315799" w:rsidP="00315799">
      <w:pPr>
        <w:suppressAutoHyphens/>
        <w:ind w:left="357"/>
        <w:rPr>
          <w:rFonts w:cs="Arial"/>
          <w:bCs/>
          <w:spacing w:val="-2"/>
        </w:rPr>
      </w:pPr>
      <w:r w:rsidRPr="00121F6B">
        <w:rPr>
          <w:rFonts w:cs="Arial"/>
          <w:bCs/>
          <w:spacing w:val="-2"/>
        </w:rPr>
        <w:t>DODP101 - Pojištění obecné odpovědnosti za újmu - Základní rozsah pojištění (1612)</w:t>
      </w:r>
    </w:p>
    <w:p w:rsidR="00315799" w:rsidRPr="00121F6B" w:rsidRDefault="00315799" w:rsidP="00315799">
      <w:pPr>
        <w:suppressAutoHyphens/>
        <w:ind w:left="357"/>
        <w:rPr>
          <w:rFonts w:cs="Arial"/>
          <w:bCs/>
          <w:spacing w:val="-2"/>
        </w:rPr>
      </w:pPr>
      <w:r w:rsidRPr="00121F6B">
        <w:rPr>
          <w:rFonts w:cs="Arial"/>
          <w:bCs/>
          <w:spacing w:val="-2"/>
        </w:rPr>
        <w:t>DODP103 - Cizí věci převzaté - Rozšíření rozsahu pojištění (1606)</w:t>
      </w:r>
    </w:p>
    <w:p w:rsidR="00315799" w:rsidRPr="00121F6B" w:rsidRDefault="00315799" w:rsidP="00315799">
      <w:pPr>
        <w:suppressAutoHyphens/>
        <w:ind w:left="1418" w:hanging="1061"/>
        <w:rPr>
          <w:rFonts w:cs="Arial"/>
          <w:bCs/>
          <w:spacing w:val="-2"/>
        </w:rPr>
      </w:pPr>
      <w:r w:rsidRPr="00121F6B">
        <w:rPr>
          <w:rFonts w:cs="Arial"/>
          <w:bCs/>
          <w:spacing w:val="-2"/>
        </w:rPr>
        <w:t>DODP105 - Náklady zdravotní pojišťovny a regresy dávek nemocenského pojištění</w:t>
      </w:r>
      <w:r>
        <w:rPr>
          <w:rFonts w:cs="Arial"/>
          <w:bCs/>
          <w:spacing w:val="-2"/>
        </w:rPr>
        <w:t xml:space="preserve"> </w:t>
      </w:r>
      <w:r w:rsidRPr="00121F6B">
        <w:rPr>
          <w:rFonts w:cs="Arial"/>
          <w:bCs/>
          <w:spacing w:val="-2"/>
        </w:rPr>
        <w:t>Rozšíření rozsahu pojištění (1401)</w:t>
      </w:r>
    </w:p>
    <w:p w:rsidR="00315799" w:rsidRPr="00121F6B" w:rsidRDefault="00315799" w:rsidP="00315799">
      <w:pPr>
        <w:suppressAutoHyphens/>
        <w:ind w:left="357"/>
        <w:rPr>
          <w:rFonts w:cs="Arial"/>
          <w:bCs/>
          <w:spacing w:val="-2"/>
        </w:rPr>
      </w:pPr>
      <w:r w:rsidRPr="00121F6B">
        <w:rPr>
          <w:rFonts w:cs="Arial"/>
          <w:bCs/>
          <w:spacing w:val="-2"/>
        </w:rPr>
        <w:t>DODP109 - Provoz pracovních strojů - Rozšíření rozsahu pojištění (1412)</w:t>
      </w:r>
    </w:p>
    <w:p w:rsidR="00315799" w:rsidRPr="00121F6B" w:rsidRDefault="00315799" w:rsidP="00315799">
      <w:pPr>
        <w:suppressAutoHyphens/>
        <w:ind w:left="1418" w:hanging="1061"/>
        <w:rPr>
          <w:rFonts w:cs="Arial"/>
          <w:bCs/>
          <w:spacing w:val="-2"/>
        </w:rPr>
      </w:pPr>
      <w:r w:rsidRPr="00121F6B">
        <w:rPr>
          <w:rFonts w:cs="Arial"/>
          <w:bCs/>
          <w:spacing w:val="-2"/>
        </w:rPr>
        <w:t>DODP120 - Odpovědnost obchodní korporace za újmu členům svých orgánů</w:t>
      </w:r>
      <w:r>
        <w:rPr>
          <w:rFonts w:cs="Arial"/>
          <w:bCs/>
          <w:spacing w:val="-2"/>
        </w:rPr>
        <w:t xml:space="preserve"> </w:t>
      </w:r>
      <w:r w:rsidRPr="00121F6B">
        <w:rPr>
          <w:rFonts w:cs="Arial"/>
          <w:bCs/>
          <w:spacing w:val="-2"/>
        </w:rPr>
        <w:t>v souvislosti s výkonem jejich funkce - Rozšíření rozsahu pojištění (1412)</w:t>
      </w:r>
    </w:p>
    <w:p w:rsidR="00315799" w:rsidRPr="00121F6B" w:rsidRDefault="00315799" w:rsidP="00315799">
      <w:pPr>
        <w:keepNext/>
        <w:suppressAutoHyphens/>
        <w:spacing w:before="120"/>
        <w:ind w:left="357"/>
        <w:rPr>
          <w:rFonts w:cs="Arial"/>
          <w:b/>
        </w:rPr>
      </w:pPr>
      <w:r w:rsidRPr="00121F6B">
        <w:rPr>
          <w:rFonts w:cs="Arial"/>
          <w:b/>
        </w:rPr>
        <w:t>Obecné</w:t>
      </w:r>
    </w:p>
    <w:p w:rsidR="00315799" w:rsidRPr="00121F6B" w:rsidRDefault="00315799" w:rsidP="00315799">
      <w:pPr>
        <w:suppressAutoHyphens/>
        <w:ind w:left="357"/>
        <w:rPr>
          <w:rFonts w:cs="Arial"/>
          <w:spacing w:val="-2"/>
        </w:rPr>
      </w:pPr>
      <w:r w:rsidRPr="00121F6B">
        <w:rPr>
          <w:rFonts w:cs="Arial"/>
          <w:spacing w:val="-2"/>
        </w:rPr>
        <w:t>DOB101 - Elektronická rizika - Výluka (</w:t>
      </w:r>
      <w:r>
        <w:rPr>
          <w:rFonts w:cs="Arial"/>
          <w:spacing w:val="-2"/>
        </w:rPr>
        <w:t>20</w:t>
      </w:r>
      <w:r w:rsidRPr="00121F6B">
        <w:rPr>
          <w:rFonts w:cs="Arial"/>
          <w:spacing w:val="-2"/>
        </w:rPr>
        <w:t>01)</w:t>
      </w:r>
    </w:p>
    <w:p w:rsidR="00315799" w:rsidRPr="00121F6B" w:rsidRDefault="00315799" w:rsidP="00315799">
      <w:pPr>
        <w:suppressAutoHyphens/>
        <w:ind w:left="357"/>
        <w:rPr>
          <w:rFonts w:cs="Arial"/>
          <w:spacing w:val="-2"/>
        </w:rPr>
      </w:pPr>
      <w:r w:rsidRPr="00121F6B">
        <w:rPr>
          <w:rFonts w:cs="Arial"/>
          <w:spacing w:val="-2"/>
        </w:rPr>
        <w:t>DOB103 - Výklad pojmů pro účely pojistné smlouvy (</w:t>
      </w:r>
      <w:r>
        <w:rPr>
          <w:rFonts w:cs="Arial"/>
          <w:spacing w:val="-2"/>
        </w:rPr>
        <w:t>20</w:t>
      </w:r>
      <w:r w:rsidRPr="00121F6B">
        <w:rPr>
          <w:rFonts w:cs="Arial"/>
          <w:spacing w:val="-2"/>
        </w:rPr>
        <w:t>01)</w:t>
      </w:r>
    </w:p>
    <w:p w:rsidR="00315799" w:rsidRPr="00121F6B" w:rsidRDefault="00315799" w:rsidP="00315799">
      <w:pPr>
        <w:suppressAutoHyphens/>
        <w:ind w:left="357"/>
        <w:rPr>
          <w:rFonts w:cs="Arial"/>
          <w:spacing w:val="-2"/>
        </w:rPr>
      </w:pPr>
      <w:r w:rsidRPr="00121F6B">
        <w:rPr>
          <w:rFonts w:cs="Arial"/>
          <w:spacing w:val="-2"/>
        </w:rPr>
        <w:t>DOB105 - Tíha sněhu, námraza - Vymezení podmínek (1401)</w:t>
      </w:r>
    </w:p>
    <w:p w:rsidR="00315799" w:rsidRPr="00121F6B" w:rsidRDefault="00315799" w:rsidP="00315799">
      <w:pPr>
        <w:suppressAutoHyphens/>
        <w:ind w:left="357"/>
        <w:rPr>
          <w:rFonts w:cs="Arial"/>
          <w:spacing w:val="-2"/>
        </w:rPr>
      </w:pPr>
      <w:r w:rsidRPr="00121F6B">
        <w:rPr>
          <w:rFonts w:cs="Arial"/>
          <w:spacing w:val="-2"/>
        </w:rPr>
        <w:t>DOB107 - Definice jedné pojistné události pro pojistná nebezpečí</w:t>
      </w:r>
      <w:r>
        <w:rPr>
          <w:rFonts w:cs="Arial"/>
          <w:spacing w:val="-2"/>
        </w:rPr>
        <w:t xml:space="preserve"> </w:t>
      </w:r>
      <w:r w:rsidRPr="00121F6B">
        <w:rPr>
          <w:rFonts w:cs="Arial"/>
          <w:spacing w:val="-2"/>
        </w:rPr>
        <w:t>povodeň, záplava, vichřice, krupobití (1401)</w:t>
      </w:r>
    </w:p>
    <w:p w:rsidR="00315799" w:rsidRPr="00875391" w:rsidRDefault="00315799" w:rsidP="00315799">
      <w:pPr>
        <w:suppressAutoHyphens/>
        <w:rPr>
          <w:rFonts w:cs="Arial"/>
          <w:snapToGrid w:val="0"/>
          <w:sz w:val="16"/>
          <w:szCs w:val="16"/>
        </w:rPr>
      </w:pPr>
    </w:p>
    <w:p w:rsidR="009B22B4" w:rsidRPr="00D969FD" w:rsidRDefault="009B22B4" w:rsidP="00184E09">
      <w:pPr>
        <w:pStyle w:val="Nadpislnk"/>
      </w:pPr>
      <w:r w:rsidRPr="00D969FD">
        <w:t>Článek II.</w:t>
      </w:r>
      <w:r w:rsidR="00F425A6" w:rsidRPr="00D969FD">
        <w:br/>
      </w:r>
      <w:r w:rsidRPr="00D969FD">
        <w:t>Druhy a způsoby pojištění, předměty a rozsah pojištění</w:t>
      </w:r>
    </w:p>
    <w:p w:rsidR="009B22B4" w:rsidRPr="00D969FD" w:rsidRDefault="009B22B4" w:rsidP="001A3629">
      <w:pPr>
        <w:pStyle w:val="slovn-rove1"/>
        <w:numPr>
          <w:ilvl w:val="0"/>
          <w:numId w:val="7"/>
        </w:numPr>
      </w:pPr>
      <w:r w:rsidRPr="00D969FD">
        <w:t xml:space="preserve">Obecná ujednání pro pojištění majetku </w:t>
      </w:r>
    </w:p>
    <w:p w:rsidR="00315799" w:rsidRPr="00121F6B" w:rsidRDefault="00315799" w:rsidP="00315799">
      <w:pPr>
        <w:tabs>
          <w:tab w:val="left" w:pos="357"/>
        </w:tabs>
        <w:spacing w:before="80"/>
        <w:ind w:left="357" w:hanging="357"/>
        <w:rPr>
          <w:rFonts w:cs="Arial"/>
        </w:rPr>
      </w:pPr>
      <w:bookmarkStart w:id="1" w:name="_Toc367839357"/>
      <w:r w:rsidRPr="00121F6B">
        <w:rPr>
          <w:rFonts w:cs="Arial"/>
        </w:rPr>
        <w:t>1.1.</w:t>
      </w:r>
      <w:r w:rsidRPr="00121F6B">
        <w:rPr>
          <w:rFonts w:cs="Arial"/>
        </w:rPr>
        <w:tab/>
      </w:r>
      <w:r w:rsidRPr="00121F6B">
        <w:rPr>
          <w:rFonts w:cs="Arial"/>
          <w:spacing w:val="-2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</w:t>
      </w:r>
      <w:r w:rsidRPr="00121F6B">
        <w:rPr>
          <w:rFonts w:cs="Arial"/>
        </w:rPr>
        <w:t>.</w:t>
      </w: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80"/>
        <w:ind w:left="357" w:hanging="357"/>
        <w:rPr>
          <w:rFonts w:cs="Arial"/>
        </w:rPr>
      </w:pPr>
      <w:r w:rsidRPr="00121F6B">
        <w:rPr>
          <w:rFonts w:cs="Arial"/>
        </w:rPr>
        <w:t>1.2.</w:t>
      </w:r>
      <w:r w:rsidRPr="00121F6B">
        <w:rPr>
          <w:rFonts w:cs="Arial"/>
        </w:rPr>
        <w:tab/>
        <w:t>Není-li dále uvedeno jinak, pro pojištění majetku jsou místy pojištění:</w:t>
      </w:r>
    </w:p>
    <w:p w:rsidR="00315799" w:rsidRPr="002D421F" w:rsidRDefault="00315799" w:rsidP="00315799">
      <w:pPr>
        <w:tabs>
          <w:tab w:val="right" w:leader="dot" w:pos="9809"/>
        </w:tabs>
        <w:suppressAutoHyphens/>
        <w:spacing w:before="20"/>
        <w:ind w:left="357"/>
        <w:rPr>
          <w:rFonts w:cs="Arial"/>
          <w:snapToGrid w:val="0"/>
        </w:rPr>
      </w:pPr>
      <w:proofErr w:type="gramStart"/>
      <w:r w:rsidRPr="002D421F">
        <w:rPr>
          <w:rFonts w:cs="Arial"/>
          <w:snapToGrid w:val="0"/>
        </w:rPr>
        <w:t>T01)  dle</w:t>
      </w:r>
      <w:proofErr w:type="gramEnd"/>
      <w:r w:rsidRPr="002D421F">
        <w:rPr>
          <w:rFonts w:cs="Arial"/>
          <w:snapToGrid w:val="0"/>
        </w:rPr>
        <w:t xml:space="preserve"> přílohy 2</w:t>
      </w:r>
    </w:p>
    <w:p w:rsidR="00315799" w:rsidRPr="002D421F" w:rsidRDefault="00315799" w:rsidP="00315799">
      <w:pPr>
        <w:tabs>
          <w:tab w:val="right" w:leader="dot" w:pos="9809"/>
        </w:tabs>
        <w:suppressAutoHyphens/>
        <w:spacing w:before="20"/>
        <w:ind w:left="357"/>
        <w:rPr>
          <w:rFonts w:cs="Arial"/>
          <w:snapToGrid w:val="0"/>
        </w:rPr>
      </w:pPr>
      <w:proofErr w:type="gramStart"/>
      <w:r w:rsidRPr="002D421F">
        <w:rPr>
          <w:rFonts w:cs="Arial"/>
          <w:snapToGrid w:val="0"/>
        </w:rPr>
        <w:t>T02)  Kosmonosy</w:t>
      </w:r>
      <w:proofErr w:type="gramEnd"/>
      <w:r w:rsidRPr="002D421F">
        <w:rPr>
          <w:rFonts w:cs="Arial"/>
          <w:snapToGrid w:val="0"/>
        </w:rPr>
        <w:t>, areál Sadská</w:t>
      </w:r>
    </w:p>
    <w:p w:rsidR="00315799" w:rsidRPr="00121F6B" w:rsidRDefault="00315799" w:rsidP="00315799">
      <w:pPr>
        <w:tabs>
          <w:tab w:val="left" w:pos="357"/>
        </w:tabs>
        <w:suppressAutoHyphens/>
        <w:spacing w:before="20" w:after="40"/>
        <w:rPr>
          <w:rFonts w:cs="Arial"/>
          <w:b/>
          <w:bCs/>
        </w:rPr>
      </w:pPr>
    </w:p>
    <w:p w:rsidR="00315799" w:rsidRPr="00121F6B" w:rsidRDefault="00315799" w:rsidP="00315799">
      <w:pPr>
        <w:tabs>
          <w:tab w:val="left" w:pos="357"/>
        </w:tabs>
        <w:suppressAutoHyphens/>
        <w:spacing w:before="20"/>
        <w:rPr>
          <w:rFonts w:cs="Arial"/>
          <w:b/>
          <w:bCs/>
        </w:rPr>
      </w:pPr>
      <w:r w:rsidRPr="00121F6B">
        <w:rPr>
          <w:rFonts w:cs="Arial"/>
          <w:b/>
          <w:bCs/>
        </w:rPr>
        <w:br w:type="page"/>
      </w:r>
      <w:r w:rsidRPr="00121F6B">
        <w:rPr>
          <w:rFonts w:cs="Arial"/>
          <w:b/>
          <w:bCs/>
        </w:rPr>
        <w:lastRenderedPageBreak/>
        <w:t>2.</w:t>
      </w:r>
      <w:r w:rsidRPr="00121F6B">
        <w:rPr>
          <w:rFonts w:cs="Arial"/>
          <w:b/>
          <w:bCs/>
        </w:rPr>
        <w:tab/>
      </w:r>
      <w:r w:rsidRPr="00121F6B">
        <w:rPr>
          <w:rFonts w:cs="Arial"/>
          <w:b/>
        </w:rPr>
        <w:t>Přehled sjednaných pojištění</w:t>
      </w:r>
    </w:p>
    <w:p w:rsidR="00315799" w:rsidRDefault="00315799" w:rsidP="00315799">
      <w:pPr>
        <w:keepNext/>
        <w:tabs>
          <w:tab w:val="left" w:pos="357"/>
        </w:tabs>
        <w:suppressAutoHyphens/>
        <w:spacing w:before="180"/>
        <w:rPr>
          <w:rFonts w:cs="Arial"/>
          <w:b/>
          <w:snapToGrid w:val="0"/>
        </w:rPr>
      </w:pPr>
      <w:r w:rsidRPr="00121F6B">
        <w:rPr>
          <w:rFonts w:cs="Arial"/>
          <w:b/>
          <w:bCs/>
          <w:snapToGrid w:val="0"/>
        </w:rPr>
        <w:t>2.1</w:t>
      </w:r>
      <w:r w:rsidRPr="00121F6B">
        <w:rPr>
          <w:rFonts w:cs="Arial"/>
          <w:bCs/>
          <w:snapToGrid w:val="0"/>
        </w:rPr>
        <w:t>.</w:t>
      </w:r>
      <w:r w:rsidRPr="00121F6B">
        <w:rPr>
          <w:rFonts w:cs="Arial"/>
          <w:bCs/>
          <w:snapToGrid w:val="0"/>
        </w:rPr>
        <w:tab/>
      </w:r>
      <w:r w:rsidRPr="00121F6B">
        <w:rPr>
          <w:rFonts w:cs="Arial"/>
          <w:b/>
          <w:snapToGrid w:val="0"/>
        </w:rPr>
        <w:t>ŽIVELNÍ POJIŠTĚNÍ</w:t>
      </w:r>
    </w:p>
    <w:p w:rsidR="00315799" w:rsidRPr="00F43070" w:rsidRDefault="00315799" w:rsidP="00315799">
      <w:pPr>
        <w:keepLines/>
        <w:spacing w:after="120"/>
        <w:ind w:left="426"/>
      </w:pPr>
      <w:bookmarkStart w:id="2" w:name="_Hlk532386916"/>
      <w:r w:rsidRPr="00F43070">
        <w:t>Pojištění se sjednává pro předměty pojištění v rozsahu a na místech pojištění uvedených v následující tabulce/následujících tabulkách:</w:t>
      </w:r>
    </w:p>
    <w:bookmarkEnd w:id="2"/>
    <w:p w:rsidR="00315799" w:rsidRPr="00121F6B" w:rsidRDefault="00315799" w:rsidP="00315799">
      <w:pPr>
        <w:keepNext/>
        <w:tabs>
          <w:tab w:val="left" w:pos="357"/>
        </w:tabs>
        <w:suppressAutoHyphens/>
        <w:spacing w:before="40" w:after="20"/>
        <w:ind w:left="357"/>
        <w:rPr>
          <w:rFonts w:cs="Arial"/>
          <w:snapToGrid w:val="0"/>
        </w:rPr>
      </w:pPr>
      <w:r w:rsidRPr="00121F6B">
        <w:rPr>
          <w:rFonts w:cs="Arial"/>
          <w:b/>
          <w:snapToGrid w:val="0"/>
        </w:rPr>
        <w:t>2.1.1.</w:t>
      </w:r>
      <w:r w:rsidRPr="00121F6B">
        <w:rPr>
          <w:rFonts w:cs="Arial"/>
          <w:snapToGrid w:val="0"/>
        </w:rPr>
        <w:t xml:space="preserve"> </w:t>
      </w:r>
      <w:r w:rsidRPr="00121F6B">
        <w:rPr>
          <w:rFonts w:cs="Arial"/>
          <w:b/>
          <w:snapToGrid w:val="0"/>
        </w:rPr>
        <w:t>Živelní pojištění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894"/>
        <w:gridCol w:w="1417"/>
        <w:gridCol w:w="1134"/>
        <w:gridCol w:w="1219"/>
        <w:gridCol w:w="1205"/>
        <w:gridCol w:w="1209"/>
      </w:tblGrid>
      <w:tr w:rsidR="00315799" w:rsidRPr="00121F6B" w:rsidTr="00150E3D">
        <w:trPr>
          <w:cantSplit/>
          <w:trHeight w:val="244"/>
        </w:trPr>
        <w:tc>
          <w:tcPr>
            <w:tcW w:w="9574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</w:rPr>
            </w:pPr>
            <w:r w:rsidRPr="00AC73C5">
              <w:rPr>
                <w:rFonts w:cs="Arial"/>
                <w:b/>
              </w:rPr>
              <w:t>Místa pojištění:</w:t>
            </w:r>
            <w:r w:rsidRPr="00121F6B">
              <w:rPr>
                <w:rFonts w:cs="Arial"/>
              </w:rPr>
              <w:t xml:space="preserve"> </w:t>
            </w:r>
            <w:r w:rsidRPr="00AC73C5">
              <w:rPr>
                <w:rFonts w:cs="Arial"/>
              </w:rPr>
              <w:t>dle specifikace níže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AC73C5">
              <w:rPr>
                <w:rFonts w:cs="Arial"/>
                <w:b/>
                <w:spacing w:val="-2"/>
              </w:rPr>
              <w:t>Rozsah pojištění:</w:t>
            </w:r>
            <w:r w:rsidRPr="00121F6B">
              <w:rPr>
                <w:rFonts w:cs="Arial"/>
                <w:spacing w:val="-2"/>
              </w:rPr>
              <w:t xml:space="preserve"> </w:t>
            </w:r>
            <w:r w:rsidRPr="00AC73C5">
              <w:rPr>
                <w:rFonts w:cs="Arial"/>
                <w:snapToGrid w:val="0"/>
                <w:spacing w:val="-2"/>
              </w:rPr>
              <w:t>sdružený živel</w:t>
            </w:r>
            <w:r w:rsidRPr="00121F6B">
              <w:rPr>
                <w:rFonts w:cs="Arial"/>
                <w:b/>
                <w:snapToGrid w:val="0"/>
                <w:spacing w:val="-2"/>
              </w:rPr>
              <w:t xml:space="preserve"> 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AC73C5">
              <w:rPr>
                <w:rFonts w:cs="Arial"/>
                <w:b/>
                <w:spacing w:val="-2"/>
              </w:rPr>
              <w:t>Pojištění se řídí:</w:t>
            </w:r>
            <w:r w:rsidRPr="00121F6B">
              <w:rPr>
                <w:rFonts w:cs="Arial"/>
                <w:spacing w:val="-2"/>
              </w:rPr>
              <w:t xml:space="preserve"> VPP P-100/14, ZPP P-150/14 a doložkami DZ101, DZ106, DZ108, </w:t>
            </w:r>
            <w:r>
              <w:rPr>
                <w:rFonts w:cs="Arial"/>
                <w:spacing w:val="-2"/>
              </w:rPr>
              <w:t xml:space="preserve">DZ112, </w:t>
            </w:r>
            <w:r w:rsidRPr="00121F6B">
              <w:rPr>
                <w:rFonts w:cs="Arial"/>
                <w:spacing w:val="-2"/>
              </w:rPr>
              <w:t>DZ114, DOB101, DOB103, DOB105, DOB107</w:t>
            </w:r>
          </w:p>
        </w:tc>
      </w:tr>
      <w:tr w:rsidR="00315799" w:rsidRPr="00D76A7E" w:rsidTr="00150E3D">
        <w:trPr>
          <w:cantSplit/>
          <w:trHeight w:val="340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proofErr w:type="spellStart"/>
            <w:r w:rsidRPr="00D76A7E">
              <w:rPr>
                <w:rFonts w:cs="Arial"/>
                <w:b/>
                <w:spacing w:val="-2"/>
              </w:rPr>
              <w:t>Poř</w:t>
            </w:r>
            <w:proofErr w:type="spellEnd"/>
            <w:r w:rsidRPr="00D76A7E">
              <w:rPr>
                <w:rFonts w:cs="Arial"/>
                <w:b/>
                <w:spacing w:val="-2"/>
              </w:rPr>
              <w:t>. č.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ind w:left="57" w:right="57"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Předmět pojištění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pojistná</w:t>
            </w:r>
          </w:p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 xml:space="preserve">částka </w:t>
            </w:r>
            <w:r w:rsidRPr="00AC786B">
              <w:rPr>
                <w:rFonts w:cs="Arial"/>
                <w:b/>
                <w:spacing w:val="-2"/>
                <w:vertAlign w:val="superscript"/>
              </w:rPr>
              <w:t>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spoluúčast</w:t>
            </w:r>
          </w:p>
          <w:p w:rsidR="00315799" w:rsidRPr="00AC786B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  <w:vertAlign w:val="superscript"/>
              </w:rPr>
            </w:pPr>
            <w:r w:rsidRPr="00AC786B">
              <w:rPr>
                <w:rFonts w:cs="Arial"/>
                <w:b/>
                <w:spacing w:val="-2"/>
                <w:vertAlign w:val="superscript"/>
              </w:rPr>
              <w:t>5)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pojištění se sjednává na cenu *)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1)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before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3)</w:t>
            </w:r>
            <w:r w:rsidRPr="00D76A7E">
              <w:rPr>
                <w:rFonts w:ascii="Koop Office" w:hAnsi="Koop Office" w:cs="Arial"/>
                <w:b/>
                <w:spacing w:val="-2"/>
              </w:rPr>
              <w:t xml:space="preserve"> první riziko 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2)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before="20"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3)</w:t>
            </w:r>
          </w:p>
        </w:tc>
      </w:tr>
      <w:tr w:rsidR="00315799" w:rsidRPr="00121F6B" w:rsidTr="00150E3D">
        <w:trPr>
          <w:cantSplit/>
          <w:trHeight w:val="227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2894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budov a ostatních staveb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right="57"/>
              <w:jc w:val="right"/>
              <w:rPr>
                <w:rFonts w:cs="Arial"/>
              </w:rPr>
            </w:pPr>
            <w:r w:rsidRPr="00121F6B">
              <w:rPr>
                <w:rFonts w:cs="Arial"/>
              </w:rPr>
              <w:t>875 000 000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</w:rPr>
              <w:t>viz rozpis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budov a ostatních staveb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 xml:space="preserve">v T02) </w:t>
            </w:r>
            <w:r w:rsidRPr="00121F6B">
              <w:rPr>
                <w:rFonts w:cs="Arial"/>
                <w:bCs/>
                <w:snapToGrid w:val="0"/>
                <w:spacing w:val="-2"/>
              </w:rPr>
              <w:t>neuvedených v příloze 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right="57"/>
              <w:jc w:val="right"/>
              <w:rPr>
                <w:rFonts w:cs="Arial"/>
              </w:rPr>
            </w:pPr>
            <w:r w:rsidRPr="00121F6B">
              <w:rPr>
                <w:rFonts w:cs="Arial"/>
              </w:rPr>
              <w:t>8 000 000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</w:rPr>
              <w:t>viz rozpis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>soubor zásob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 xml:space="preserve"> v T01)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right="57"/>
              <w:jc w:val="right"/>
              <w:rPr>
                <w:rFonts w:cs="Arial"/>
              </w:rPr>
            </w:pPr>
            <w:r w:rsidRPr="00121F6B">
              <w:rPr>
                <w:rFonts w:cs="Arial"/>
              </w:rPr>
              <w:t>2 100 000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</w:rPr>
              <w:t>viz rozpis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tabs>
                <w:tab w:val="left" w:pos="227"/>
                <w:tab w:val="right" w:pos="9356"/>
              </w:tabs>
              <w:suppressAutoHyphens/>
              <w:spacing w:before="40"/>
              <w:ind w:left="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rozpis spoluúčasti pro </w:t>
            </w:r>
            <w:proofErr w:type="spellStart"/>
            <w:r w:rsidRPr="00121F6B">
              <w:rPr>
                <w:rFonts w:cs="Arial"/>
                <w:spacing w:val="-2"/>
              </w:rPr>
              <w:t>poř</w:t>
            </w:r>
            <w:proofErr w:type="spellEnd"/>
            <w:r w:rsidRPr="00121F6B">
              <w:rPr>
                <w:rFonts w:cs="Arial"/>
                <w:spacing w:val="-2"/>
              </w:rPr>
              <w:t>. čísla 1., 2. a 3. pro:</w:t>
            </w:r>
            <w:r w:rsidRPr="00121F6B">
              <w:rPr>
                <w:rFonts w:cs="Arial"/>
                <w:snapToGrid w:val="0"/>
                <w:spacing w:val="-2"/>
              </w:rPr>
              <w:tab/>
            </w:r>
          </w:p>
          <w:p w:rsidR="00315799" w:rsidRPr="00121F6B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poj. nebezpečí povodeň nebo záplava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10 %, min. 20 000 Kč</w:t>
            </w:r>
          </w:p>
          <w:p w:rsidR="00315799" w:rsidRPr="00121F6B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poj. požární nebezpečí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20 000 Kč</w:t>
            </w:r>
          </w:p>
          <w:p w:rsidR="00315799" w:rsidRPr="00D76A7E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ostatní poj. nebezpečí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5 000 Kč</w:t>
            </w: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movitých zařízení a vybavení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right="57"/>
              <w:jc w:val="right"/>
              <w:rPr>
                <w:rFonts w:cs="Arial"/>
              </w:rPr>
            </w:pPr>
            <w:r w:rsidRPr="00121F6B">
              <w:rPr>
                <w:rFonts w:cs="Arial"/>
              </w:rPr>
              <w:t>123 900 000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</w:rPr>
              <w:t>viz rozpis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tabs>
                <w:tab w:val="left" w:pos="227"/>
                <w:tab w:val="right" w:pos="9356"/>
              </w:tabs>
              <w:suppressAutoHyphens/>
              <w:spacing w:before="40"/>
              <w:ind w:left="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rozpis spoluúčasti pro </w:t>
            </w:r>
            <w:proofErr w:type="spellStart"/>
            <w:r w:rsidRPr="00121F6B">
              <w:rPr>
                <w:rFonts w:cs="Arial"/>
                <w:spacing w:val="-2"/>
              </w:rPr>
              <w:t>poř</w:t>
            </w:r>
            <w:proofErr w:type="spellEnd"/>
            <w:r w:rsidRPr="00121F6B">
              <w:rPr>
                <w:rFonts w:cs="Arial"/>
                <w:spacing w:val="-2"/>
              </w:rPr>
              <w:t>. číslo 4. pro:</w:t>
            </w:r>
            <w:r w:rsidRPr="00121F6B">
              <w:rPr>
                <w:rFonts w:cs="Arial"/>
                <w:snapToGrid w:val="0"/>
                <w:spacing w:val="-2"/>
              </w:rPr>
              <w:tab/>
            </w:r>
          </w:p>
          <w:p w:rsidR="00315799" w:rsidRPr="00121F6B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poj. nebezpečí povodeň nebo záplava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10 %, min. 20 000 Kč</w:t>
            </w:r>
          </w:p>
          <w:p w:rsidR="00315799" w:rsidRPr="00121F6B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poj. požární nebezpečí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10 000 Kč</w:t>
            </w:r>
          </w:p>
          <w:p w:rsidR="00315799" w:rsidRPr="00D76A7E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ostatní poj. nebezpečí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5 000 Kč</w:t>
            </w: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5.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>soubor vlastních movitých zařízení vč. příslušenství – elektronika –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 xml:space="preserve"> v T01)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right="57"/>
              <w:jc w:val="right"/>
              <w:rPr>
                <w:rFonts w:cs="Arial"/>
              </w:rPr>
            </w:pPr>
            <w:r w:rsidRPr="00121F6B">
              <w:rPr>
                <w:rFonts w:cs="Arial"/>
              </w:rPr>
              <w:t>3 900 000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</w:rPr>
              <w:t>viz rozpis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tabs>
                <w:tab w:val="left" w:pos="227"/>
                <w:tab w:val="right" w:pos="9356"/>
              </w:tabs>
              <w:suppressAutoHyphens/>
              <w:spacing w:before="40"/>
              <w:ind w:left="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rozpis spoluúčasti pro </w:t>
            </w:r>
            <w:proofErr w:type="spellStart"/>
            <w:r w:rsidRPr="00121F6B">
              <w:rPr>
                <w:rFonts w:cs="Arial"/>
                <w:spacing w:val="-2"/>
              </w:rPr>
              <w:t>poř</w:t>
            </w:r>
            <w:proofErr w:type="spellEnd"/>
            <w:r w:rsidRPr="00121F6B">
              <w:rPr>
                <w:rFonts w:cs="Arial"/>
                <w:spacing w:val="-2"/>
              </w:rPr>
              <w:t>. číslo 5. pro:</w:t>
            </w:r>
            <w:r w:rsidRPr="00121F6B">
              <w:rPr>
                <w:rFonts w:cs="Arial"/>
                <w:snapToGrid w:val="0"/>
                <w:spacing w:val="-2"/>
              </w:rPr>
              <w:tab/>
            </w:r>
          </w:p>
          <w:p w:rsidR="00315799" w:rsidRPr="00121F6B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poj. nebezpečí povodeň nebo záplava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10 %, min. 20 000 Kč</w:t>
            </w:r>
          </w:p>
          <w:p w:rsidR="00315799" w:rsidRPr="00D76A7E" w:rsidRDefault="00315799" w:rsidP="00315799">
            <w:pPr>
              <w:numPr>
                <w:ilvl w:val="0"/>
                <w:numId w:val="46"/>
              </w:numPr>
              <w:tabs>
                <w:tab w:val="clear" w:pos="417"/>
                <w:tab w:val="left" w:pos="431"/>
                <w:tab w:val="num" w:pos="573"/>
                <w:tab w:val="right" w:leader="dot" w:pos="9356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ostatní poj. nebezpečí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5 000 Kč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tabs>
                <w:tab w:val="left" w:pos="227"/>
                <w:tab w:val="right" w:pos="9356"/>
              </w:tabs>
              <w:suppressAutoHyphens/>
              <w:spacing w:before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ujednává se, že se ustanovení čl. 3 odst. 3) ZPP P-150/14 ruší a nově zní: „Z pojištění nevzniká právo na plnění pojistitele za škody vzniklé na pojištěné věci během její přepravy jako nákladu.“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poznámky: zvláštní ujednání, viz článek V této pojistné smlouvy</w:t>
            </w:r>
          </w:p>
        </w:tc>
      </w:tr>
    </w:tbl>
    <w:p w:rsidR="00315799" w:rsidRPr="00121F6B" w:rsidRDefault="00315799" w:rsidP="00C72F98">
      <w:pPr>
        <w:suppressAutoHyphens/>
        <w:spacing w:before="20"/>
        <w:ind w:left="357"/>
      </w:pPr>
      <w:r w:rsidRPr="00121F6B">
        <w:rPr>
          <w:rFonts w:cs="Arial"/>
          <w:snapToGrid w:val="0"/>
        </w:rPr>
        <w:t xml:space="preserve">*) </w:t>
      </w:r>
      <w:r w:rsidRPr="00121F6B">
        <w:t>není-li uvedeno, sjednává se pojištění s pojistnou hodnotou uvedenou v příslušných pojistných podmínkách</w:t>
      </w:r>
    </w:p>
    <w:p w:rsidR="00315799" w:rsidRPr="00121F6B" w:rsidRDefault="00315799" w:rsidP="00315799">
      <w:pPr>
        <w:suppressAutoHyphens/>
        <w:spacing w:before="20"/>
        <w:ind w:left="357"/>
        <w:jc w:val="right"/>
        <w:rPr>
          <w:rFonts w:cs="Arial"/>
          <w:snapToGrid w:val="0"/>
        </w:rPr>
      </w:pP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180"/>
        <w:rPr>
          <w:rFonts w:cs="Arial"/>
          <w:b/>
          <w:snapToGrid w:val="0"/>
        </w:rPr>
      </w:pPr>
      <w:r w:rsidRPr="00121F6B">
        <w:rPr>
          <w:rFonts w:cs="Arial"/>
          <w:bCs/>
          <w:snapToGrid w:val="0"/>
        </w:rPr>
        <w:br w:type="page"/>
      </w:r>
      <w:r w:rsidRPr="00D76A7E">
        <w:rPr>
          <w:rFonts w:cs="Arial"/>
          <w:b/>
          <w:bCs/>
          <w:snapToGrid w:val="0"/>
        </w:rPr>
        <w:lastRenderedPageBreak/>
        <w:t>2.2.</w:t>
      </w:r>
      <w:r w:rsidRPr="00D76A7E">
        <w:rPr>
          <w:rFonts w:cs="Arial"/>
          <w:b/>
          <w:bCs/>
          <w:snapToGrid w:val="0"/>
        </w:rPr>
        <w:tab/>
      </w:r>
      <w:r w:rsidRPr="00121F6B">
        <w:rPr>
          <w:rFonts w:cs="Arial"/>
          <w:b/>
          <w:snapToGrid w:val="0"/>
        </w:rPr>
        <w:t>POJIŠTĚNÍ PRO PŘÍPAD ODCIZENÍ</w:t>
      </w:r>
    </w:p>
    <w:p w:rsidR="00315799" w:rsidRPr="00F43070" w:rsidRDefault="00315799" w:rsidP="00315799">
      <w:pPr>
        <w:keepLines/>
        <w:spacing w:after="120"/>
        <w:ind w:left="426"/>
      </w:pPr>
      <w:r w:rsidRPr="00F43070">
        <w:t>Pojištění se sjednává pro předměty pojištění v rozsahu a na místech pojištění uvedených v následující tabulce/následujících tabulkách:</w:t>
      </w: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40" w:after="20"/>
        <w:ind w:left="357"/>
        <w:rPr>
          <w:rFonts w:cs="Arial"/>
          <w:snapToGrid w:val="0"/>
        </w:rPr>
      </w:pPr>
      <w:r w:rsidRPr="00D76A7E">
        <w:rPr>
          <w:rFonts w:cs="Arial"/>
          <w:b/>
          <w:snapToGrid w:val="0"/>
        </w:rPr>
        <w:t>2.2.1.</w:t>
      </w:r>
      <w:r w:rsidRPr="00121F6B">
        <w:rPr>
          <w:rFonts w:cs="Arial"/>
        </w:rPr>
        <w:t xml:space="preserve"> </w:t>
      </w:r>
      <w:r w:rsidRPr="00121F6B">
        <w:rPr>
          <w:rFonts w:cs="Arial"/>
          <w:b/>
        </w:rPr>
        <w:t>Pojištění pro případ odcizení</w:t>
      </w:r>
    </w:p>
    <w:tbl>
      <w:tblPr>
        <w:tblW w:w="95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118"/>
        <w:gridCol w:w="1192"/>
        <w:gridCol w:w="1134"/>
        <w:gridCol w:w="1219"/>
        <w:gridCol w:w="1205"/>
        <w:gridCol w:w="1210"/>
      </w:tblGrid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5799" w:rsidRPr="00AC73C5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</w:rPr>
            </w:pPr>
            <w:r w:rsidRPr="00AC73C5">
              <w:rPr>
                <w:rFonts w:cs="Arial"/>
                <w:b/>
              </w:rPr>
              <w:t xml:space="preserve">Místa pojištění: </w:t>
            </w:r>
            <w:r w:rsidRPr="00AC73C5">
              <w:rPr>
                <w:rFonts w:cs="Arial"/>
              </w:rPr>
              <w:t>dle specifikace níže</w:t>
            </w:r>
            <w:r w:rsidRPr="00AC73C5">
              <w:rPr>
                <w:rFonts w:cs="Arial"/>
                <w:b/>
                <w:bCs/>
              </w:rPr>
              <w:t xml:space="preserve"> 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15799" w:rsidRPr="00AC73C5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  <w:spacing w:val="-2"/>
              </w:rPr>
            </w:pPr>
            <w:r w:rsidRPr="00AC73C5">
              <w:rPr>
                <w:rFonts w:cs="Arial"/>
                <w:b/>
                <w:spacing w:val="-2"/>
              </w:rPr>
              <w:t xml:space="preserve">Rozsah pojištění: </w:t>
            </w:r>
            <w:r w:rsidRPr="00AC73C5">
              <w:rPr>
                <w:spacing w:val="-2"/>
              </w:rPr>
              <w:t>pojištění pro případ odcizení (s výjimkou loupeže přepravovaných peněz nebo cenin)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bottom w:val="single" w:sz="4" w:space="0" w:color="auto"/>
            </w:tcBorders>
            <w:vAlign w:val="center"/>
          </w:tcPr>
          <w:p w:rsidR="00315799" w:rsidRPr="00AC73C5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  <w:spacing w:val="-2"/>
              </w:rPr>
            </w:pPr>
            <w:r w:rsidRPr="00AC73C5">
              <w:rPr>
                <w:rFonts w:cs="Arial"/>
                <w:b/>
                <w:spacing w:val="-2"/>
              </w:rPr>
              <w:t xml:space="preserve">Pojištění se řídí: </w:t>
            </w:r>
            <w:r w:rsidRPr="00AC73C5">
              <w:rPr>
                <w:rFonts w:cs="Arial"/>
                <w:spacing w:val="-2"/>
              </w:rPr>
              <w:t>VPP P-100/14, ZPP P-200/14 a doložkami DOZ101, DOZ102, DOZ105, DOB101, DOB103</w:t>
            </w:r>
          </w:p>
        </w:tc>
      </w:tr>
      <w:tr w:rsidR="00315799" w:rsidRPr="00D76A7E" w:rsidTr="00150E3D">
        <w:trPr>
          <w:cantSplit/>
          <w:trHeight w:val="340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proofErr w:type="spellStart"/>
            <w:r w:rsidRPr="00D76A7E">
              <w:rPr>
                <w:rFonts w:cs="Arial"/>
                <w:b/>
                <w:spacing w:val="-2"/>
              </w:rPr>
              <w:t>Poř</w:t>
            </w:r>
            <w:proofErr w:type="spellEnd"/>
            <w:r w:rsidRPr="00D76A7E">
              <w:rPr>
                <w:rFonts w:cs="Arial"/>
                <w:b/>
                <w:spacing w:val="-2"/>
              </w:rPr>
              <w:t>. č.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ind w:left="57" w:right="57"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Předmět pojištění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pojistná</w:t>
            </w:r>
          </w:p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 xml:space="preserve">částka </w:t>
            </w:r>
            <w:r w:rsidRPr="00AC786B">
              <w:rPr>
                <w:rFonts w:cs="Arial"/>
                <w:b/>
                <w:spacing w:val="-2"/>
                <w:vertAlign w:val="superscript"/>
              </w:rPr>
              <w:t>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spoluúčast</w:t>
            </w:r>
          </w:p>
          <w:p w:rsidR="00315799" w:rsidRPr="00AC786B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  <w:vertAlign w:val="superscript"/>
              </w:rPr>
            </w:pPr>
            <w:r w:rsidRPr="00AC786B">
              <w:rPr>
                <w:rFonts w:cs="Arial"/>
                <w:b/>
                <w:spacing w:val="-2"/>
                <w:vertAlign w:val="superscript"/>
              </w:rPr>
              <w:t>5)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pojištění se sjednává na cenu </w:t>
            </w:r>
            <w:r w:rsidRPr="00EE541D">
              <w:rPr>
                <w:rFonts w:ascii="Koop Office" w:hAnsi="Koop Office" w:cs="Arial"/>
                <w:b/>
                <w:spacing w:val="-2"/>
                <w:vertAlign w:val="superscript"/>
              </w:rPr>
              <w:t>*)</w:t>
            </w:r>
            <w:r w:rsidRPr="00D76A7E">
              <w:rPr>
                <w:rFonts w:ascii="Koop Office" w:hAnsi="Koop Office" w:cs="Arial"/>
                <w:b/>
                <w:spacing w:val="-2"/>
              </w:rPr>
              <w:t xml:space="preserve">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1)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before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 xml:space="preserve">3) </w:t>
            </w:r>
            <w:r w:rsidRPr="00D76A7E">
              <w:rPr>
                <w:rFonts w:ascii="Koop Office" w:hAnsi="Koop Office" w:cs="Arial"/>
                <w:b/>
                <w:spacing w:val="-2"/>
              </w:rPr>
              <w:t>první riziko 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2)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before="20"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3)</w:t>
            </w:r>
          </w:p>
        </w:tc>
      </w:tr>
      <w:tr w:rsidR="00315799" w:rsidRPr="00121F6B" w:rsidTr="00150E3D">
        <w:trPr>
          <w:cantSplit/>
          <w:trHeight w:val="227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stavebních součástí a příslušenství budov a ostatních staveb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 + T02)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200 000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zásob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200 000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movitých zařízení a vybavení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300 000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>soubor vlastních zařízení vč. příslušenství – elektronika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 xml:space="preserve"> v T01)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500 000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finančních prostředků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right="57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 xml:space="preserve"> 500 000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</w:tbl>
    <w:p w:rsidR="00315799" w:rsidRPr="00121F6B" w:rsidRDefault="00315799" w:rsidP="00C72F98">
      <w:pPr>
        <w:suppressAutoHyphens/>
        <w:spacing w:before="20"/>
        <w:ind w:left="357"/>
        <w:rPr>
          <w:rFonts w:cs="Arial"/>
          <w:snapToGrid w:val="0"/>
        </w:rPr>
      </w:pPr>
      <w:r w:rsidRPr="00121F6B">
        <w:rPr>
          <w:rFonts w:cs="Arial"/>
          <w:snapToGrid w:val="0"/>
        </w:rPr>
        <w:t xml:space="preserve">*) </w:t>
      </w:r>
      <w:r w:rsidRPr="00121F6B">
        <w:t>není-li uvedeno, sjednává se pojištění s pojistnou hodnotou uvedenou v příslušných pojistných podmínkách</w:t>
      </w: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180"/>
        <w:rPr>
          <w:rFonts w:cs="Arial"/>
          <w:bCs/>
          <w:snapToGrid w:val="0"/>
        </w:rPr>
      </w:pP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180"/>
        <w:rPr>
          <w:rFonts w:cs="Arial"/>
          <w:b/>
          <w:snapToGrid w:val="0"/>
        </w:rPr>
      </w:pPr>
      <w:r w:rsidRPr="00D76A7E">
        <w:rPr>
          <w:rFonts w:cs="Arial"/>
          <w:b/>
          <w:bCs/>
          <w:snapToGrid w:val="0"/>
        </w:rPr>
        <w:t>2.3.</w:t>
      </w:r>
      <w:r w:rsidRPr="00D76A7E">
        <w:rPr>
          <w:rFonts w:cs="Arial"/>
          <w:b/>
          <w:bCs/>
          <w:snapToGrid w:val="0"/>
        </w:rPr>
        <w:tab/>
      </w:r>
      <w:r w:rsidRPr="00121F6B">
        <w:rPr>
          <w:rFonts w:cs="Arial"/>
          <w:b/>
          <w:snapToGrid w:val="0"/>
        </w:rPr>
        <w:t>POJIŠTĚNÍ PRO PŘÍPAD VANDALISMU</w:t>
      </w:r>
    </w:p>
    <w:p w:rsidR="00315799" w:rsidRPr="00F43070" w:rsidRDefault="00315799" w:rsidP="00315799">
      <w:pPr>
        <w:keepLines/>
        <w:spacing w:after="120"/>
        <w:ind w:left="426"/>
      </w:pPr>
      <w:r w:rsidRPr="00F43070">
        <w:t>Pojištění se sjednává pro předměty pojištění v rozsahu a na místech pojištění uvedených v následující tabulce/následujících tabulkách:</w:t>
      </w: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40" w:after="20"/>
        <w:ind w:left="357"/>
        <w:rPr>
          <w:rFonts w:cs="Arial"/>
          <w:snapToGrid w:val="0"/>
        </w:rPr>
      </w:pPr>
      <w:r w:rsidRPr="00D76A7E">
        <w:rPr>
          <w:rFonts w:cs="Arial"/>
          <w:b/>
          <w:snapToGrid w:val="0"/>
        </w:rPr>
        <w:t>2.3.1.</w:t>
      </w:r>
      <w:r w:rsidRPr="00121F6B">
        <w:rPr>
          <w:rFonts w:cs="Arial"/>
        </w:rPr>
        <w:t xml:space="preserve"> </w:t>
      </w:r>
      <w:r w:rsidRPr="00121F6B">
        <w:rPr>
          <w:rFonts w:cs="Arial"/>
          <w:b/>
        </w:rPr>
        <w:t>Pojištění pro případ vandalismu</w:t>
      </w:r>
    </w:p>
    <w:tbl>
      <w:tblPr>
        <w:tblW w:w="95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893"/>
        <w:gridCol w:w="1417"/>
        <w:gridCol w:w="1134"/>
        <w:gridCol w:w="1219"/>
        <w:gridCol w:w="1205"/>
        <w:gridCol w:w="1210"/>
      </w:tblGrid>
      <w:tr w:rsidR="00315799" w:rsidRPr="00121F6B" w:rsidTr="00150E3D">
        <w:trPr>
          <w:cantSplit/>
          <w:trHeight w:val="242"/>
        </w:trPr>
        <w:tc>
          <w:tcPr>
            <w:tcW w:w="9574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5799" w:rsidRPr="0068662C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</w:rPr>
            </w:pPr>
            <w:r w:rsidRPr="0068662C">
              <w:rPr>
                <w:rFonts w:cs="Arial"/>
                <w:b/>
              </w:rPr>
              <w:t xml:space="preserve">Místa pojištění: </w:t>
            </w:r>
            <w:r w:rsidRPr="0068662C">
              <w:rPr>
                <w:rFonts w:cs="Arial"/>
              </w:rPr>
              <w:t>dle specifikace níže</w:t>
            </w:r>
            <w:r w:rsidRPr="0068662C">
              <w:rPr>
                <w:rFonts w:cs="Arial"/>
                <w:b/>
                <w:bCs/>
              </w:rPr>
              <w:t xml:space="preserve"> 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15799" w:rsidRPr="0068662C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  <w:spacing w:val="-2"/>
              </w:rPr>
            </w:pPr>
            <w:r w:rsidRPr="0068662C">
              <w:rPr>
                <w:rFonts w:cs="Arial"/>
                <w:b/>
                <w:spacing w:val="-2"/>
              </w:rPr>
              <w:t xml:space="preserve">Rozsah pojištění: </w:t>
            </w:r>
            <w:r w:rsidRPr="0068662C">
              <w:rPr>
                <w:spacing w:val="-2"/>
              </w:rPr>
              <w:t>pojištění pro případ vandalismu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4" w:type="dxa"/>
            <w:gridSpan w:val="7"/>
            <w:tcBorders>
              <w:bottom w:val="single" w:sz="4" w:space="0" w:color="auto"/>
            </w:tcBorders>
            <w:vAlign w:val="center"/>
          </w:tcPr>
          <w:p w:rsidR="00315799" w:rsidRPr="0068662C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  <w:spacing w:val="-2"/>
              </w:rPr>
            </w:pPr>
            <w:r w:rsidRPr="0068662C">
              <w:rPr>
                <w:rFonts w:cs="Arial"/>
                <w:b/>
                <w:spacing w:val="-2"/>
              </w:rPr>
              <w:t xml:space="preserve">Pojištění se řídí: </w:t>
            </w:r>
            <w:r w:rsidRPr="0068662C">
              <w:rPr>
                <w:rFonts w:cs="Arial"/>
                <w:spacing w:val="-2"/>
              </w:rPr>
              <w:t>VPP P-100/14, ZPP P-200/14 a doložkami DOB101, DOB103</w:t>
            </w:r>
          </w:p>
        </w:tc>
      </w:tr>
      <w:tr w:rsidR="00315799" w:rsidRPr="00D76A7E" w:rsidTr="00150E3D">
        <w:trPr>
          <w:cantSplit/>
          <w:trHeight w:val="340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proofErr w:type="spellStart"/>
            <w:r w:rsidRPr="00D76A7E">
              <w:rPr>
                <w:rFonts w:cs="Arial"/>
                <w:b/>
                <w:spacing w:val="-2"/>
              </w:rPr>
              <w:t>Poř</w:t>
            </w:r>
            <w:proofErr w:type="spellEnd"/>
            <w:r w:rsidRPr="00D76A7E">
              <w:rPr>
                <w:rFonts w:cs="Arial"/>
                <w:b/>
                <w:spacing w:val="-2"/>
              </w:rPr>
              <w:t>. č.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ind w:left="57" w:right="57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Předmět pojištění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pojistná</w:t>
            </w:r>
          </w:p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 xml:space="preserve"> částka </w:t>
            </w:r>
            <w:r w:rsidRPr="00AC786B">
              <w:rPr>
                <w:rFonts w:cs="Arial"/>
                <w:b/>
                <w:spacing w:val="-2"/>
                <w:vertAlign w:val="superscript"/>
              </w:rPr>
              <w:t>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D76A7E">
              <w:rPr>
                <w:rFonts w:cs="Arial"/>
                <w:b/>
                <w:spacing w:val="-2"/>
              </w:rPr>
              <w:t>spoluúčast</w:t>
            </w:r>
          </w:p>
          <w:p w:rsidR="00315799" w:rsidRPr="00AC786B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  <w:vertAlign w:val="superscript"/>
              </w:rPr>
            </w:pPr>
            <w:r w:rsidRPr="00AC786B">
              <w:rPr>
                <w:rFonts w:cs="Arial"/>
                <w:b/>
                <w:spacing w:val="-2"/>
                <w:vertAlign w:val="superscript"/>
              </w:rPr>
              <w:t>5)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pojištění se sjednává na cenu </w:t>
            </w:r>
            <w:r w:rsidRPr="00EE541D">
              <w:rPr>
                <w:rFonts w:ascii="Koop Office" w:hAnsi="Koop Office" w:cs="Arial"/>
                <w:b/>
                <w:spacing w:val="-2"/>
                <w:vertAlign w:val="superscript"/>
              </w:rPr>
              <w:t>*)</w:t>
            </w:r>
            <w:r w:rsidRPr="00D76A7E">
              <w:rPr>
                <w:rFonts w:ascii="Koop Office" w:hAnsi="Koop Office" w:cs="Arial"/>
                <w:b/>
                <w:spacing w:val="-2"/>
              </w:rPr>
              <w:t xml:space="preserve">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1)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before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3)</w:t>
            </w:r>
            <w:r w:rsidRPr="00D76A7E">
              <w:rPr>
                <w:rFonts w:ascii="Koop Office" w:hAnsi="Koop Office" w:cs="Arial"/>
                <w:b/>
                <w:spacing w:val="-2"/>
              </w:rPr>
              <w:t xml:space="preserve"> první riziko 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2)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D76A7E" w:rsidRDefault="00315799" w:rsidP="00150E3D">
            <w:pPr>
              <w:pStyle w:val="lnek1VPP"/>
              <w:keepNext w:val="0"/>
              <w:suppressAutoHyphens/>
              <w:spacing w:before="20"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D76A7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3)</w:t>
            </w:r>
            <w:r w:rsidRPr="00D76A7E">
              <w:rPr>
                <w:rFonts w:ascii="Koop Office" w:hAnsi="Koop Office" w:cs="Arial"/>
                <w:b/>
                <w:spacing w:val="-2"/>
              </w:rPr>
              <w:t xml:space="preserve"> </w:t>
            </w:r>
          </w:p>
        </w:tc>
      </w:tr>
      <w:tr w:rsidR="00315799" w:rsidRPr="00121F6B" w:rsidTr="00150E3D">
        <w:trPr>
          <w:cantSplit/>
          <w:trHeight w:val="227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2893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1.</w:t>
            </w: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budov a ostatních staveb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 a T02)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10 %,</w:t>
            </w:r>
          </w:p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min. 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100 000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zásob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10 %,</w:t>
            </w:r>
          </w:p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min. 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100 000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napToGrid w:val="0"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movitých zařízení a vybavení </w:t>
            </w:r>
            <w:r w:rsidRPr="00121F6B">
              <w:rPr>
                <w:rFonts w:cs="Arial"/>
                <w:b/>
                <w:bCs/>
                <w:snapToGrid w:val="0"/>
                <w:spacing w:val="-2"/>
              </w:rPr>
              <w:t>v T01)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10 %,</w:t>
            </w:r>
          </w:p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min. 1 000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100 000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</w:tbl>
    <w:p w:rsidR="00315799" w:rsidRPr="00121F6B" w:rsidRDefault="00315799" w:rsidP="00C72F98">
      <w:pPr>
        <w:suppressAutoHyphens/>
        <w:spacing w:before="20"/>
        <w:ind w:left="357"/>
        <w:rPr>
          <w:rFonts w:cs="Arial"/>
          <w:snapToGrid w:val="0"/>
        </w:rPr>
      </w:pPr>
      <w:r w:rsidRPr="00121F6B">
        <w:rPr>
          <w:rFonts w:cs="Arial"/>
          <w:snapToGrid w:val="0"/>
        </w:rPr>
        <w:t xml:space="preserve">*) </w:t>
      </w:r>
      <w:r w:rsidRPr="00121F6B">
        <w:t>není-li uvedeno, sjednává se pojištění s pojistnou hodnotou uvedenou v příslušných pojistných podmínkách</w:t>
      </w: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180"/>
        <w:rPr>
          <w:rFonts w:cs="Arial"/>
          <w:b/>
          <w:snapToGrid w:val="0"/>
        </w:rPr>
      </w:pPr>
      <w:r w:rsidRPr="00121F6B">
        <w:rPr>
          <w:rFonts w:cs="Arial"/>
          <w:bCs/>
          <w:snapToGrid w:val="0"/>
        </w:rPr>
        <w:br w:type="page"/>
      </w:r>
      <w:r w:rsidRPr="003B506E">
        <w:rPr>
          <w:rFonts w:cs="Arial"/>
          <w:b/>
          <w:bCs/>
          <w:snapToGrid w:val="0"/>
        </w:rPr>
        <w:lastRenderedPageBreak/>
        <w:t>2.4.</w:t>
      </w:r>
      <w:r w:rsidRPr="003B506E">
        <w:rPr>
          <w:rFonts w:cs="Arial"/>
          <w:b/>
          <w:bCs/>
          <w:snapToGrid w:val="0"/>
        </w:rPr>
        <w:tab/>
      </w:r>
      <w:r w:rsidRPr="00121F6B">
        <w:rPr>
          <w:rFonts w:cs="Arial"/>
          <w:b/>
          <w:snapToGrid w:val="0"/>
        </w:rPr>
        <w:t xml:space="preserve">POJIŠTĚNÍ </w:t>
      </w:r>
      <w:r w:rsidRPr="00121F6B">
        <w:rPr>
          <w:rFonts w:cs="Arial"/>
          <w:b/>
        </w:rPr>
        <w:t>ELEKTRONICKÝCH ZAŘÍZENÍ</w:t>
      </w:r>
    </w:p>
    <w:p w:rsidR="00315799" w:rsidRPr="00F43070" w:rsidRDefault="00315799" w:rsidP="00315799">
      <w:pPr>
        <w:keepLines/>
        <w:spacing w:after="120"/>
        <w:ind w:left="426"/>
      </w:pPr>
      <w:r w:rsidRPr="00F43070">
        <w:t>Pojištění se sjednává pro předměty pojištění v rozsahu a na místech pojištění uvedených v následující tabulce/následujících tabulkách:</w:t>
      </w: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40" w:after="20"/>
        <w:ind w:left="357"/>
        <w:rPr>
          <w:rFonts w:cs="Arial"/>
          <w:snapToGrid w:val="0"/>
        </w:rPr>
      </w:pPr>
      <w:r w:rsidRPr="003B506E">
        <w:rPr>
          <w:rFonts w:cs="Arial"/>
          <w:b/>
          <w:snapToGrid w:val="0"/>
        </w:rPr>
        <w:t>2.4.1.</w:t>
      </w:r>
      <w:r w:rsidRPr="00121F6B">
        <w:rPr>
          <w:rFonts w:cs="Arial"/>
        </w:rPr>
        <w:t xml:space="preserve"> </w:t>
      </w:r>
      <w:r w:rsidRPr="00121F6B">
        <w:rPr>
          <w:rFonts w:cs="Arial"/>
          <w:b/>
        </w:rPr>
        <w:t>Pojištění elektronických zařízení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894"/>
        <w:gridCol w:w="1417"/>
        <w:gridCol w:w="1134"/>
        <w:gridCol w:w="1219"/>
        <w:gridCol w:w="1205"/>
        <w:gridCol w:w="1210"/>
      </w:tblGrid>
      <w:tr w:rsidR="00315799" w:rsidRPr="00121F6B" w:rsidTr="00150E3D">
        <w:trPr>
          <w:cantSplit/>
          <w:trHeight w:val="340"/>
        </w:trPr>
        <w:tc>
          <w:tcPr>
            <w:tcW w:w="9575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5799" w:rsidRPr="0068662C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</w:rPr>
            </w:pPr>
            <w:r w:rsidRPr="0068662C">
              <w:rPr>
                <w:rFonts w:cs="Arial"/>
                <w:b/>
              </w:rPr>
              <w:t xml:space="preserve">Místa pojištění:  </w:t>
            </w:r>
            <w:r w:rsidRPr="0068662C">
              <w:rPr>
                <w:rFonts w:cs="Arial"/>
              </w:rPr>
              <w:t>T01) dle přílohy 2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5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15799" w:rsidRPr="0068662C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  <w:spacing w:val="-2"/>
              </w:rPr>
            </w:pPr>
            <w:r w:rsidRPr="0068662C">
              <w:rPr>
                <w:rFonts w:cs="Arial"/>
                <w:b/>
                <w:spacing w:val="-2"/>
              </w:rPr>
              <w:t xml:space="preserve">Rozsah pojištění: </w:t>
            </w:r>
            <w:r w:rsidRPr="0068662C">
              <w:rPr>
                <w:rFonts w:cs="Arial"/>
                <w:spacing w:val="-2"/>
              </w:rPr>
              <w:t xml:space="preserve">poj. nebezpečí </w:t>
            </w:r>
            <w:r w:rsidRPr="0068662C">
              <w:rPr>
                <w:rFonts w:cs="Arial"/>
                <w:bCs/>
                <w:snapToGrid w:val="0"/>
                <w:spacing w:val="-2"/>
              </w:rPr>
              <w:t xml:space="preserve">dle čl. 2, </w:t>
            </w:r>
            <w:r w:rsidRPr="0068662C">
              <w:rPr>
                <w:rFonts w:cs="Arial"/>
                <w:bCs/>
                <w:spacing w:val="-2"/>
              </w:rPr>
              <w:t>ZPP P-320/14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5" w:type="dxa"/>
            <w:gridSpan w:val="7"/>
            <w:tcBorders>
              <w:bottom w:val="single" w:sz="4" w:space="0" w:color="auto"/>
            </w:tcBorders>
            <w:vAlign w:val="center"/>
          </w:tcPr>
          <w:p w:rsidR="00315799" w:rsidRPr="0068662C" w:rsidRDefault="00315799" w:rsidP="00150E3D">
            <w:pPr>
              <w:suppressAutoHyphens/>
              <w:spacing w:before="40" w:after="40"/>
              <w:ind w:left="57"/>
              <w:rPr>
                <w:rFonts w:cs="Arial"/>
                <w:b/>
                <w:spacing w:val="-2"/>
              </w:rPr>
            </w:pPr>
            <w:r w:rsidRPr="0068662C">
              <w:rPr>
                <w:rFonts w:cs="Arial"/>
                <w:b/>
                <w:spacing w:val="-2"/>
              </w:rPr>
              <w:t xml:space="preserve">Pojištění se řídí: </w:t>
            </w:r>
            <w:r w:rsidRPr="0068662C">
              <w:rPr>
                <w:rFonts w:cs="Arial"/>
                <w:spacing w:val="-2"/>
              </w:rPr>
              <w:t>VPP P-100/14, ZPP P-320/14 a doložkou DOB103</w:t>
            </w:r>
          </w:p>
        </w:tc>
      </w:tr>
      <w:tr w:rsidR="00315799" w:rsidRPr="003B506E" w:rsidTr="00150E3D">
        <w:trPr>
          <w:cantSplit/>
          <w:trHeight w:val="340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3B506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proofErr w:type="spellStart"/>
            <w:r w:rsidRPr="003B506E">
              <w:rPr>
                <w:rFonts w:cs="Arial"/>
                <w:b/>
                <w:spacing w:val="-2"/>
              </w:rPr>
              <w:t>Poř</w:t>
            </w:r>
            <w:proofErr w:type="spellEnd"/>
            <w:r w:rsidRPr="003B506E">
              <w:rPr>
                <w:rFonts w:cs="Arial"/>
                <w:b/>
                <w:spacing w:val="-2"/>
              </w:rPr>
              <w:t>. č.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3B506E" w:rsidRDefault="00315799" w:rsidP="00150E3D">
            <w:pPr>
              <w:suppressAutoHyphens/>
              <w:ind w:left="57" w:right="57"/>
              <w:jc w:val="center"/>
              <w:rPr>
                <w:rFonts w:cs="Arial"/>
                <w:b/>
                <w:spacing w:val="-2"/>
              </w:rPr>
            </w:pPr>
            <w:r w:rsidRPr="003B506E">
              <w:rPr>
                <w:rFonts w:cs="Arial"/>
                <w:b/>
                <w:spacing w:val="-2"/>
              </w:rPr>
              <w:t>Předmět pojištění</w:t>
            </w:r>
          </w:p>
          <w:p w:rsidR="00315799" w:rsidRPr="003B506E" w:rsidRDefault="00315799" w:rsidP="00150E3D">
            <w:pPr>
              <w:suppressAutoHyphens/>
              <w:ind w:left="57" w:right="57"/>
              <w:jc w:val="center"/>
              <w:rPr>
                <w:rFonts w:cs="Arial"/>
                <w:b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3B506E">
              <w:rPr>
                <w:rFonts w:cs="Arial"/>
                <w:b/>
                <w:spacing w:val="-2"/>
              </w:rPr>
              <w:t>pojistná</w:t>
            </w:r>
          </w:p>
          <w:p w:rsidR="00315799" w:rsidRPr="003B506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3B506E">
              <w:rPr>
                <w:rFonts w:cs="Arial"/>
                <w:b/>
                <w:spacing w:val="-2"/>
              </w:rPr>
              <w:t xml:space="preserve">částka </w:t>
            </w:r>
            <w:r w:rsidRPr="00AC786B">
              <w:rPr>
                <w:rFonts w:cs="Arial"/>
                <w:b/>
                <w:spacing w:val="-2"/>
                <w:vertAlign w:val="superscript"/>
              </w:rPr>
              <w:t>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3B506E">
              <w:rPr>
                <w:rFonts w:cs="Arial"/>
                <w:b/>
                <w:spacing w:val="-2"/>
              </w:rPr>
              <w:t>spoluúčast</w:t>
            </w:r>
          </w:p>
          <w:p w:rsidR="00315799" w:rsidRPr="00AC786B" w:rsidRDefault="00315799" w:rsidP="00150E3D">
            <w:pPr>
              <w:suppressAutoHyphens/>
              <w:jc w:val="center"/>
              <w:rPr>
                <w:rFonts w:cs="Arial"/>
                <w:b/>
                <w:spacing w:val="-2"/>
                <w:vertAlign w:val="superscript"/>
              </w:rPr>
            </w:pPr>
            <w:r w:rsidRPr="00AC786B">
              <w:rPr>
                <w:rFonts w:cs="Arial"/>
                <w:b/>
                <w:spacing w:val="-2"/>
                <w:vertAlign w:val="superscript"/>
              </w:rPr>
              <w:t>5)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pStyle w:val="lnek1VPP"/>
              <w:keepNext w:val="0"/>
              <w:suppressAutoHyphens/>
              <w:spacing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3B506E">
              <w:rPr>
                <w:rFonts w:ascii="Koop Office" w:hAnsi="Koop Office" w:cs="Arial"/>
                <w:b/>
                <w:spacing w:val="-2"/>
              </w:rPr>
              <w:t xml:space="preserve">pojištění se sjednává na cenu *)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1)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pStyle w:val="lnek1VPP"/>
              <w:keepNext w:val="0"/>
              <w:suppressAutoHyphens/>
              <w:spacing w:before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3B506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3)</w:t>
            </w:r>
            <w:r w:rsidRPr="003B506E">
              <w:rPr>
                <w:rFonts w:ascii="Koop Office" w:hAnsi="Koop Office" w:cs="Arial"/>
                <w:b/>
                <w:spacing w:val="-2"/>
              </w:rPr>
              <w:t xml:space="preserve"> první riziko 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2)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pStyle w:val="lnek1VPP"/>
              <w:keepNext w:val="0"/>
              <w:suppressAutoHyphens/>
              <w:spacing w:before="20" w:after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3B506E">
              <w:rPr>
                <w:rFonts w:ascii="Koop Office" w:hAnsi="Koop Office" w:cs="Arial"/>
                <w:b/>
                <w:spacing w:val="-2"/>
              </w:rPr>
              <w:t xml:space="preserve">MRLP </w:t>
            </w:r>
            <w:r w:rsidRPr="00AC786B">
              <w:rPr>
                <w:rFonts w:ascii="Koop Office" w:hAnsi="Koop Office" w:cs="Arial"/>
                <w:b/>
                <w:spacing w:val="-2"/>
                <w:vertAlign w:val="superscript"/>
              </w:rPr>
              <w:t>3)</w:t>
            </w:r>
          </w:p>
        </w:tc>
      </w:tr>
      <w:tr w:rsidR="00315799" w:rsidRPr="00121F6B" w:rsidTr="00150E3D">
        <w:trPr>
          <w:cantSplit/>
          <w:trHeight w:val="227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2894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napToGrid w:val="0"/>
                <w:spacing w:val="-2"/>
              </w:rPr>
              <w:t xml:space="preserve">soubor vlastních zařízení                   </w:t>
            </w:r>
            <w:r w:rsidRPr="00121F6B">
              <w:rPr>
                <w:rFonts w:cs="Arial"/>
                <w:snapToGrid w:val="0"/>
                <w:spacing w:val="-2"/>
              </w:rPr>
              <w:t>dle specifikace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ind w:right="57"/>
              <w:jc w:val="right"/>
              <w:rPr>
                <w:rFonts w:cs="Arial"/>
              </w:rPr>
            </w:pPr>
            <w:r w:rsidRPr="00121F6B">
              <w:rPr>
                <w:rFonts w:cs="Arial"/>
              </w:rPr>
              <w:t>3 900 000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10 000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20" w:after="20"/>
              <w:jc w:val="center"/>
              <w:rPr>
                <w:rFonts w:cs="Arial"/>
              </w:rPr>
            </w:pPr>
            <w:r w:rsidRPr="00121F6B">
              <w:rPr>
                <w:rFonts w:cs="Arial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</w:rPr>
            </w:pPr>
          </w:p>
        </w:tc>
      </w:tr>
      <w:tr w:rsidR="00315799" w:rsidRPr="00121F6B" w:rsidTr="00150E3D">
        <w:trPr>
          <w:trHeight w:val="340"/>
        </w:trPr>
        <w:tc>
          <w:tcPr>
            <w:tcW w:w="496" w:type="dxa"/>
            <w:vMerge/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rPr>
                <w:rFonts w:cs="Arial"/>
                <w:spacing w:val="-2"/>
              </w:rPr>
            </w:pPr>
          </w:p>
        </w:tc>
        <w:tc>
          <w:tcPr>
            <w:tcW w:w="9079" w:type="dxa"/>
            <w:gridSpan w:val="6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tabs>
                <w:tab w:val="left" w:pos="227"/>
                <w:tab w:val="right" w:pos="8959"/>
              </w:tabs>
              <w:suppressAutoHyphens/>
              <w:spacing w:before="40"/>
              <w:ind w:left="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specifikace </w:t>
            </w:r>
            <w:r w:rsidRPr="00121F6B">
              <w:rPr>
                <w:rFonts w:cs="Arial"/>
                <w:snapToGrid w:val="0"/>
                <w:spacing w:val="-2"/>
              </w:rPr>
              <w:t xml:space="preserve">pojištěných </w:t>
            </w:r>
            <w:r w:rsidRPr="00121F6B">
              <w:rPr>
                <w:rFonts w:cs="Arial"/>
                <w:bCs/>
                <w:snapToGrid w:val="0"/>
                <w:spacing w:val="-2"/>
              </w:rPr>
              <w:t>zařízení</w:t>
            </w:r>
            <w:r w:rsidRPr="00121F6B">
              <w:rPr>
                <w:rFonts w:cs="Arial"/>
                <w:snapToGrid w:val="0"/>
                <w:spacing w:val="-2"/>
              </w:rPr>
              <w:tab/>
            </w:r>
          </w:p>
          <w:p w:rsidR="00315799" w:rsidRPr="00121F6B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8959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napToGrid w:val="0"/>
                <w:spacing w:val="-2"/>
              </w:rPr>
              <w:t xml:space="preserve">tel. ústředna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400 000 Kč</w:t>
            </w:r>
          </w:p>
          <w:p w:rsidR="00315799" w:rsidRPr="00121F6B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8959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napToGrid w:val="0"/>
              </w:rPr>
              <w:t xml:space="preserve">regulace a měření tepla – Siemens 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1 500 000 Kč</w:t>
            </w:r>
          </w:p>
          <w:p w:rsidR="00315799" w:rsidRPr="003B506E" w:rsidRDefault="00315799" w:rsidP="00315799">
            <w:pPr>
              <w:numPr>
                <w:ilvl w:val="0"/>
                <w:numId w:val="46"/>
              </w:numPr>
              <w:tabs>
                <w:tab w:val="left" w:pos="227"/>
                <w:tab w:val="right" w:leader="dot" w:pos="8959"/>
              </w:tabs>
              <w:suppressAutoHyphens/>
              <w:ind w:left="414" w:hanging="357"/>
              <w:rPr>
                <w:rFonts w:cs="Arial"/>
                <w:snapToGrid w:val="0"/>
                <w:spacing w:val="-2"/>
              </w:rPr>
            </w:pPr>
            <w:r w:rsidRPr="00121F6B">
              <w:rPr>
                <w:rFonts w:cs="Arial"/>
                <w:snapToGrid w:val="0"/>
              </w:rPr>
              <w:t>lékařské a laboratorní přístroje</w:t>
            </w:r>
            <w:r w:rsidRPr="00121F6B">
              <w:rPr>
                <w:rFonts w:cs="Arial"/>
                <w:snapToGrid w:val="0"/>
                <w:spacing w:val="-2"/>
              </w:rPr>
              <w:tab/>
              <w:t xml:space="preserve"> 2 000 000 K</w:t>
            </w:r>
            <w:r>
              <w:rPr>
                <w:rFonts w:cs="Arial"/>
                <w:snapToGrid w:val="0"/>
                <w:spacing w:val="-2"/>
              </w:rPr>
              <w:t>č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5" w:type="dxa"/>
            <w:gridSpan w:val="7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ujednává se, že se ustanovení čl. 3 odst. 2) písm. h) ZPP P-320/14 ruší a nově zní: „Z pojištění nevzniká právo na plnění pojistitele za škody vzniklé na pojištěném zařízení během jeho přepravy jako nákladu.“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5" w:type="dxa"/>
            <w:gridSpan w:val="7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odchylně od čl. 1 odst. 4) ZPP P-320/14 se pojištění vztahuje i na zařízení, jejichž stáří přesáhlo v době vzniku škody 5 let</w:t>
            </w:r>
          </w:p>
        </w:tc>
      </w:tr>
    </w:tbl>
    <w:p w:rsidR="00315799" w:rsidRPr="00121F6B" w:rsidRDefault="00315799" w:rsidP="00C72F98">
      <w:pPr>
        <w:suppressAutoHyphens/>
        <w:spacing w:before="20"/>
        <w:ind w:left="357"/>
        <w:rPr>
          <w:rFonts w:cs="Arial"/>
          <w:snapToGrid w:val="0"/>
        </w:rPr>
      </w:pPr>
      <w:r w:rsidRPr="00121F6B">
        <w:rPr>
          <w:rFonts w:cs="Arial"/>
          <w:snapToGrid w:val="0"/>
        </w:rPr>
        <w:t xml:space="preserve">*) </w:t>
      </w:r>
      <w:r w:rsidRPr="00121F6B">
        <w:t>není-li uvedeno, sjednává se pojištění s pojistnou hodnotou uvedenou v příslušných pojistných podmínkách</w:t>
      </w:r>
    </w:p>
    <w:p w:rsidR="00315799" w:rsidRDefault="00315799" w:rsidP="00315799">
      <w:pPr>
        <w:keepNext/>
        <w:tabs>
          <w:tab w:val="left" w:pos="357"/>
        </w:tabs>
        <w:suppressAutoHyphens/>
        <w:spacing w:before="180"/>
        <w:ind w:left="357" w:hanging="357"/>
        <w:rPr>
          <w:rFonts w:cs="Arial"/>
          <w:b/>
          <w:bCs/>
          <w:snapToGrid w:val="0"/>
        </w:rPr>
      </w:pP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180"/>
        <w:ind w:left="357" w:hanging="357"/>
        <w:rPr>
          <w:rFonts w:cs="Arial"/>
          <w:b/>
          <w:snapToGrid w:val="0"/>
        </w:rPr>
      </w:pPr>
      <w:r w:rsidRPr="003B506E">
        <w:rPr>
          <w:rFonts w:cs="Arial"/>
          <w:b/>
          <w:bCs/>
          <w:snapToGrid w:val="0"/>
        </w:rPr>
        <w:t>2.5.</w:t>
      </w:r>
      <w:r w:rsidRPr="003B506E">
        <w:rPr>
          <w:rFonts w:cs="Arial"/>
          <w:b/>
          <w:bCs/>
          <w:snapToGrid w:val="0"/>
        </w:rPr>
        <w:tab/>
      </w:r>
      <w:r w:rsidRPr="00121F6B">
        <w:rPr>
          <w:rFonts w:cs="Arial"/>
          <w:b/>
          <w:snapToGrid w:val="0"/>
        </w:rPr>
        <w:t>POJIŠTĚNÍ ODPOVĚDNOSTI ZA ÚJMU</w:t>
      </w:r>
    </w:p>
    <w:p w:rsidR="00315799" w:rsidRPr="00F43070" w:rsidRDefault="00315799" w:rsidP="00315799">
      <w:pPr>
        <w:keepLines/>
        <w:spacing w:after="120"/>
        <w:ind w:left="426"/>
      </w:pPr>
      <w:r w:rsidRPr="00F43070">
        <w:t>Pojištění se sjednává pro předměty pojištění v rozsahu a na místech pojištění uvedených v následující tabulce/následujících tabulkách:</w:t>
      </w:r>
    </w:p>
    <w:p w:rsidR="00315799" w:rsidRPr="00121F6B" w:rsidRDefault="00315799" w:rsidP="00315799">
      <w:pPr>
        <w:keepNext/>
        <w:tabs>
          <w:tab w:val="left" w:pos="357"/>
        </w:tabs>
        <w:suppressAutoHyphens/>
        <w:spacing w:before="40" w:after="20"/>
        <w:ind w:left="357"/>
        <w:rPr>
          <w:rFonts w:cs="Arial"/>
          <w:snapToGrid w:val="0"/>
        </w:rPr>
      </w:pPr>
      <w:r w:rsidRPr="003B506E">
        <w:rPr>
          <w:rFonts w:cs="Arial"/>
          <w:b/>
          <w:snapToGrid w:val="0"/>
        </w:rPr>
        <w:t>2.5.1.</w:t>
      </w:r>
      <w:r w:rsidRPr="00121F6B">
        <w:rPr>
          <w:rFonts w:cs="Arial"/>
          <w:spacing w:val="-2"/>
        </w:rPr>
        <w:t xml:space="preserve"> </w:t>
      </w:r>
      <w:r w:rsidRPr="00121F6B">
        <w:rPr>
          <w:rFonts w:cs="Arial"/>
          <w:b/>
          <w:spacing w:val="-2"/>
        </w:rPr>
        <w:t>Pojištění odpovědnosti za újmu</w:t>
      </w:r>
    </w:p>
    <w:tbl>
      <w:tblPr>
        <w:tblW w:w="957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8"/>
        <w:gridCol w:w="4395"/>
        <w:gridCol w:w="1205"/>
        <w:gridCol w:w="1205"/>
        <w:gridCol w:w="1190"/>
        <w:gridCol w:w="945"/>
      </w:tblGrid>
      <w:tr w:rsidR="00315799" w:rsidRPr="00121F6B" w:rsidTr="00150E3D">
        <w:trPr>
          <w:cantSplit/>
          <w:trHeight w:val="375"/>
        </w:trPr>
        <w:tc>
          <w:tcPr>
            <w:tcW w:w="9578" w:type="dxa"/>
            <w:gridSpan w:val="6"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 xml:space="preserve">Pojištění se řídí: VPP P-100/14, ZPP P-600/14 a doložkami </w:t>
            </w:r>
            <w:r w:rsidRPr="00121F6B">
              <w:rPr>
                <w:rFonts w:cs="Arial"/>
                <w:bCs/>
                <w:spacing w:val="-2"/>
              </w:rPr>
              <w:t>DODP101</w:t>
            </w:r>
            <w:r w:rsidRPr="00121F6B">
              <w:rPr>
                <w:rFonts w:cs="Arial"/>
                <w:spacing w:val="-2"/>
              </w:rPr>
              <w:t xml:space="preserve">, </w:t>
            </w:r>
            <w:r w:rsidRPr="00121F6B">
              <w:rPr>
                <w:rFonts w:cs="Arial"/>
                <w:bCs/>
                <w:spacing w:val="-2"/>
              </w:rPr>
              <w:t>DODP103</w:t>
            </w:r>
            <w:r w:rsidRPr="00121F6B">
              <w:rPr>
                <w:rFonts w:cs="Arial"/>
                <w:spacing w:val="-2"/>
              </w:rPr>
              <w:t xml:space="preserve">, </w:t>
            </w:r>
            <w:r w:rsidRPr="00121F6B">
              <w:rPr>
                <w:rFonts w:cs="Arial"/>
                <w:bCs/>
                <w:spacing w:val="-2"/>
              </w:rPr>
              <w:t>DODP105</w:t>
            </w:r>
            <w:r w:rsidRPr="00121F6B">
              <w:rPr>
                <w:rFonts w:cs="Arial"/>
                <w:spacing w:val="-2"/>
              </w:rPr>
              <w:t xml:space="preserve">, </w:t>
            </w:r>
            <w:r w:rsidRPr="00121F6B">
              <w:rPr>
                <w:rFonts w:cs="Arial"/>
                <w:bCs/>
                <w:spacing w:val="-2"/>
              </w:rPr>
              <w:t>DODP109</w:t>
            </w:r>
            <w:r w:rsidRPr="00121F6B">
              <w:rPr>
                <w:rFonts w:cs="Arial"/>
                <w:spacing w:val="-2"/>
              </w:rPr>
              <w:t>, DODP120, DOB101</w:t>
            </w:r>
          </w:p>
        </w:tc>
      </w:tr>
      <w:tr w:rsidR="00315799" w:rsidRPr="003B506E" w:rsidTr="00150E3D">
        <w:trPr>
          <w:cantSplit/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3B506E" w:rsidRDefault="00315799" w:rsidP="00150E3D">
            <w:pPr>
              <w:keepNext/>
              <w:suppressAutoHyphens/>
              <w:jc w:val="center"/>
              <w:rPr>
                <w:rFonts w:cs="Arial"/>
                <w:b/>
                <w:spacing w:val="-2"/>
              </w:rPr>
            </w:pPr>
            <w:proofErr w:type="spellStart"/>
            <w:r w:rsidRPr="003B506E">
              <w:rPr>
                <w:rFonts w:cs="Arial"/>
                <w:b/>
                <w:spacing w:val="-2"/>
              </w:rPr>
              <w:t>Poř</w:t>
            </w:r>
            <w:proofErr w:type="spellEnd"/>
            <w:r w:rsidRPr="003B506E">
              <w:rPr>
                <w:rFonts w:cs="Arial"/>
                <w:b/>
                <w:spacing w:val="-2"/>
              </w:rPr>
              <w:t>. č.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3B506E" w:rsidRDefault="00315799" w:rsidP="00150E3D">
            <w:pPr>
              <w:keepNext/>
              <w:suppressAutoHyphens/>
              <w:ind w:left="57" w:right="57"/>
              <w:jc w:val="center"/>
              <w:rPr>
                <w:rFonts w:cs="Arial"/>
                <w:b/>
                <w:spacing w:val="-2"/>
              </w:rPr>
            </w:pPr>
            <w:r w:rsidRPr="003B506E">
              <w:rPr>
                <w:rFonts w:cs="Arial"/>
                <w:b/>
                <w:spacing w:val="-2"/>
              </w:rPr>
              <w:t>Rozsah pojištění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pStyle w:val="lnek1VPP"/>
              <w:suppressAutoHyphens/>
              <w:spacing w:before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3B506E">
              <w:rPr>
                <w:rFonts w:ascii="Koop Office" w:hAnsi="Koop Office" w:cs="Arial"/>
                <w:b/>
                <w:spacing w:val="-2"/>
              </w:rPr>
              <w:t>limit</w:t>
            </w:r>
          </w:p>
          <w:p w:rsidR="00315799" w:rsidRPr="003B506E" w:rsidRDefault="00315799" w:rsidP="00150E3D">
            <w:pPr>
              <w:keepNext/>
              <w:suppressAutoHyphens/>
              <w:spacing w:after="40"/>
              <w:jc w:val="center"/>
              <w:rPr>
                <w:rFonts w:cs="Arial"/>
                <w:b/>
                <w:spacing w:val="-2"/>
              </w:rPr>
            </w:pPr>
            <w:r w:rsidRPr="003B506E">
              <w:rPr>
                <w:rFonts w:cs="Arial"/>
                <w:b/>
                <w:spacing w:val="-2"/>
              </w:rPr>
              <w:t>pojistného plnění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pStyle w:val="lnek1VPP"/>
              <w:suppressAutoHyphens/>
              <w:spacing w:before="20"/>
              <w:outlineLvl w:val="9"/>
              <w:rPr>
                <w:rFonts w:ascii="Koop Office" w:hAnsi="Koop Office" w:cs="Arial"/>
                <w:b/>
                <w:spacing w:val="-2"/>
              </w:rPr>
            </w:pPr>
            <w:proofErr w:type="spellStart"/>
            <w:r w:rsidRPr="003B506E">
              <w:rPr>
                <w:rFonts w:ascii="Koop Office" w:hAnsi="Koop Office" w:cs="Arial"/>
                <w:b/>
                <w:spacing w:val="-2"/>
              </w:rPr>
              <w:t>sublimit</w:t>
            </w:r>
            <w:proofErr w:type="spellEnd"/>
          </w:p>
          <w:p w:rsidR="00315799" w:rsidRPr="003B506E" w:rsidRDefault="00315799" w:rsidP="00150E3D">
            <w:pPr>
              <w:pStyle w:val="lnek1VPP"/>
              <w:suppressAutoHyphens/>
              <w:spacing w:after="4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3B506E">
              <w:rPr>
                <w:rFonts w:ascii="Koop Office" w:hAnsi="Koop Office" w:cs="Arial"/>
                <w:b/>
                <w:spacing w:val="-2"/>
              </w:rPr>
              <w:t>pojistného plnění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3B506E" w:rsidRDefault="00315799" w:rsidP="00150E3D">
            <w:pPr>
              <w:keepNext/>
              <w:suppressAutoHyphens/>
              <w:jc w:val="center"/>
              <w:rPr>
                <w:rFonts w:cs="Arial"/>
                <w:b/>
                <w:spacing w:val="-2"/>
              </w:rPr>
            </w:pPr>
            <w:r w:rsidRPr="003B506E">
              <w:rPr>
                <w:rFonts w:cs="Arial"/>
                <w:b/>
                <w:spacing w:val="-2"/>
              </w:rPr>
              <w:t>spoluúčast</w:t>
            </w:r>
          </w:p>
          <w:p w:rsidR="00315799" w:rsidRPr="00AC786B" w:rsidRDefault="00315799" w:rsidP="00150E3D">
            <w:pPr>
              <w:keepNext/>
              <w:suppressAutoHyphens/>
              <w:jc w:val="center"/>
              <w:rPr>
                <w:rFonts w:cs="Arial"/>
                <w:b/>
                <w:spacing w:val="-2"/>
                <w:vertAlign w:val="superscript"/>
              </w:rPr>
            </w:pPr>
            <w:r w:rsidRPr="00AC786B">
              <w:rPr>
                <w:rFonts w:cs="Arial"/>
                <w:b/>
                <w:spacing w:val="-2"/>
                <w:vertAlign w:val="superscript"/>
              </w:rPr>
              <w:t>5)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315799" w:rsidRPr="003B506E" w:rsidRDefault="00315799" w:rsidP="00150E3D">
            <w:pPr>
              <w:pStyle w:val="lnek1VPP"/>
              <w:suppressAutoHyphens/>
              <w:spacing w:before="2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3B506E">
              <w:rPr>
                <w:rFonts w:ascii="Koop Office" w:hAnsi="Koop Office" w:cs="Arial"/>
                <w:b/>
                <w:spacing w:val="-2"/>
              </w:rPr>
              <w:t>územní platnost</w:t>
            </w:r>
          </w:p>
          <w:p w:rsidR="00315799" w:rsidRPr="003B506E" w:rsidRDefault="00315799" w:rsidP="00150E3D">
            <w:pPr>
              <w:pStyle w:val="lnek1VPP"/>
              <w:suppressAutoHyphens/>
              <w:spacing w:after="40"/>
              <w:outlineLvl w:val="9"/>
              <w:rPr>
                <w:rFonts w:ascii="Koop Office" w:hAnsi="Koop Office" w:cs="Arial"/>
                <w:b/>
                <w:spacing w:val="-2"/>
              </w:rPr>
            </w:pPr>
            <w:r w:rsidRPr="003B506E">
              <w:rPr>
                <w:rFonts w:ascii="Koop Office" w:hAnsi="Koop Office" w:cs="Arial"/>
                <w:b/>
                <w:spacing w:val="-2"/>
              </w:rPr>
              <w:t>pojištění</w:t>
            </w:r>
          </w:p>
        </w:tc>
      </w:tr>
      <w:tr w:rsidR="00315799" w:rsidRPr="00121F6B" w:rsidTr="00150E3D">
        <w:trPr>
          <w:cantSplit/>
          <w:trHeight w:val="227"/>
        </w:trPr>
        <w:tc>
          <w:tcPr>
            <w:tcW w:w="638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Next/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Next/>
              <w:suppressAutoHyphens/>
              <w:ind w:left="57" w:right="57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Next/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Next/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Next/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(Kč)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Next/>
              <w:suppressAutoHyphens/>
              <w:jc w:val="center"/>
              <w:rPr>
                <w:rFonts w:cs="Arial"/>
                <w:spacing w:val="-2"/>
              </w:rPr>
            </w:pPr>
          </w:p>
        </w:tc>
      </w:tr>
      <w:tr w:rsidR="00315799" w:rsidRPr="00121F6B" w:rsidTr="00150E3D">
        <w:trPr>
          <w:cantSplit/>
          <w:trHeight w:val="340"/>
        </w:trPr>
        <w:tc>
          <w:tcPr>
            <w:tcW w:w="638" w:type="dxa"/>
            <w:tcBorders>
              <w:top w:val="single" w:sz="4" w:space="0" w:color="auto"/>
              <w:bottom w:val="nil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pojištění obecné odpovědnosti za újmu (dle DODP101)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5 000 000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5 000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pStyle w:val="lnek1VPP"/>
              <w:keepNext w:val="0"/>
              <w:suppressAutoHyphens/>
              <w:outlineLvl w:val="9"/>
              <w:rPr>
                <w:rFonts w:ascii="Koop Office" w:hAnsi="Koop Office" w:cs="Arial"/>
                <w:spacing w:val="-2"/>
              </w:rPr>
            </w:pPr>
            <w:r w:rsidRPr="00121F6B">
              <w:rPr>
                <w:rFonts w:ascii="Koop Office" w:hAnsi="Koop Office" w:cs="Arial"/>
                <w:spacing w:val="-2"/>
              </w:rPr>
              <w:t>ČR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cizí věci převzaté (dle DODP103)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500 000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5 000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ČR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 xml:space="preserve">náklady zdravotní pojišťovny a regresy </w:t>
            </w:r>
            <w:proofErr w:type="gramStart"/>
            <w:r w:rsidRPr="00121F6B">
              <w:rPr>
                <w:rFonts w:cs="Arial"/>
                <w:bCs/>
                <w:spacing w:val="-2"/>
              </w:rPr>
              <w:t>dávek  nemocenského</w:t>
            </w:r>
            <w:proofErr w:type="gramEnd"/>
            <w:r w:rsidRPr="00121F6B">
              <w:rPr>
                <w:rFonts w:cs="Arial"/>
                <w:bCs/>
                <w:spacing w:val="-2"/>
              </w:rPr>
              <w:t xml:space="preserve"> pojištění (dle DODP105)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1 000 000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5 000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ČR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provoz pracovních strojů (dle DODP109)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500 000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proofErr w:type="gramStart"/>
            <w:r w:rsidRPr="00121F6B">
              <w:rPr>
                <w:rFonts w:cs="Arial"/>
                <w:spacing w:val="-2"/>
              </w:rPr>
              <w:t>10 %,  min.</w:t>
            </w:r>
            <w:proofErr w:type="gramEnd"/>
            <w:r w:rsidRPr="00121F6B">
              <w:rPr>
                <w:rFonts w:cs="Arial"/>
                <w:spacing w:val="-2"/>
              </w:rPr>
              <w:t> 5 000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pStyle w:val="lnek1VPP"/>
              <w:keepNext w:val="0"/>
              <w:suppressAutoHyphens/>
              <w:outlineLvl w:val="9"/>
              <w:rPr>
                <w:rFonts w:ascii="Koop Office" w:hAnsi="Koop Office" w:cs="Arial"/>
                <w:spacing w:val="-2"/>
              </w:rPr>
            </w:pPr>
            <w:r w:rsidRPr="00121F6B">
              <w:rPr>
                <w:rFonts w:ascii="Koop Office" w:hAnsi="Koop Office" w:cs="Arial"/>
                <w:spacing w:val="-2"/>
              </w:rPr>
              <w:t>ČR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odpovědnost obchodní korporace za újmu členům svých orgánů v souvislosti s výkonem jejich funkce (dle DODP120)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5 000 000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5 000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pStyle w:val="lnek1VPP"/>
              <w:keepNext w:val="0"/>
              <w:suppressAutoHyphens/>
              <w:outlineLvl w:val="9"/>
              <w:rPr>
                <w:rFonts w:ascii="Koop Office" w:hAnsi="Koop Office" w:cs="Arial"/>
                <w:spacing w:val="-2"/>
              </w:rPr>
            </w:pPr>
            <w:r w:rsidRPr="00121F6B">
              <w:rPr>
                <w:rFonts w:ascii="Koop Office" w:hAnsi="Koop Office" w:cs="Arial"/>
                <w:spacing w:val="-2"/>
              </w:rPr>
              <w:t>ČR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Lines/>
              <w:widowControl w:val="0"/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Lines/>
              <w:widowControl w:val="0"/>
              <w:suppressAutoHyphens/>
              <w:spacing w:before="40" w:after="40"/>
              <w:ind w:left="57"/>
              <w:rPr>
                <w:rFonts w:cs="Arial"/>
                <w:bCs/>
                <w:spacing w:val="-2"/>
              </w:rPr>
            </w:pPr>
            <w:r w:rsidRPr="00121F6B">
              <w:rPr>
                <w:rFonts w:cs="Arial"/>
                <w:bCs/>
                <w:spacing w:val="-2"/>
              </w:rPr>
              <w:t>odpovědnost za újmu v souvislosti s nakládáním se stlačenými nebo zkapalněnými plyny (odchylně od čl. 2 odst. 1) písm. s) ZPP P-600/14)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Lines/>
              <w:widowControl w:val="0"/>
              <w:jc w:val="center"/>
              <w:rPr>
                <w:rFonts w:cs="Arial"/>
                <w:spacing w:val="-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Lines/>
              <w:widowControl w:val="0"/>
              <w:suppressAutoHyphens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5 000 000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Lines/>
              <w:widowControl w:val="0"/>
              <w:suppressAutoHyphens/>
              <w:spacing w:before="40" w:after="40"/>
              <w:jc w:val="center"/>
              <w:rPr>
                <w:rFonts w:cs="Arial"/>
                <w:spacing w:val="-2"/>
              </w:rPr>
            </w:pPr>
            <w:r w:rsidRPr="00121F6B">
              <w:rPr>
                <w:rFonts w:cs="Arial"/>
                <w:spacing w:val="-2"/>
              </w:rPr>
              <w:t>5 000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99" w:rsidRPr="00121F6B" w:rsidRDefault="00315799" w:rsidP="00150E3D">
            <w:pPr>
              <w:pStyle w:val="lnek1VPP"/>
              <w:keepNext w:val="0"/>
              <w:keepLines/>
              <w:widowControl w:val="0"/>
              <w:suppressAutoHyphens/>
              <w:outlineLvl w:val="9"/>
              <w:rPr>
                <w:rFonts w:ascii="Koop Office" w:hAnsi="Koop Office" w:cs="Arial"/>
                <w:spacing w:val="-2"/>
              </w:rPr>
            </w:pPr>
            <w:r w:rsidRPr="00121F6B">
              <w:rPr>
                <w:rFonts w:ascii="Koop Office" w:hAnsi="Koop Office" w:cs="Arial"/>
                <w:spacing w:val="-2"/>
              </w:rPr>
              <w:t>ČR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8" w:type="dxa"/>
            <w:gridSpan w:val="6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keepLines/>
              <w:widowControl w:val="0"/>
              <w:spacing w:before="40"/>
              <w:ind w:left="57" w:right="57"/>
              <w:rPr>
                <w:spacing w:val="-2"/>
              </w:rPr>
            </w:pPr>
            <w:r w:rsidRPr="00121F6B">
              <w:rPr>
                <w:spacing w:val="-2"/>
              </w:rPr>
              <w:lastRenderedPageBreak/>
              <w:t>Pojistitel poskytne pojistné plnění za podmínek a v rozsahu pojištění účinných v okamžiku, kdy nastala příčina vzniku újmy; tím nejsou dotčena ujednání uvedená v čl. 5 ZPP P-600/14;</w:t>
            </w:r>
          </w:p>
          <w:p w:rsidR="00315799" w:rsidRPr="00121F6B" w:rsidRDefault="00315799" w:rsidP="00150E3D">
            <w:pPr>
              <w:keepLines/>
              <w:widowControl w:val="0"/>
              <w:spacing w:before="40"/>
              <w:ind w:left="57" w:right="57"/>
              <w:rPr>
                <w:spacing w:val="-2"/>
              </w:rPr>
            </w:pPr>
            <w:r w:rsidRPr="00121F6B">
              <w:rPr>
                <w:spacing w:val="-2"/>
              </w:rPr>
              <w:t>odchylně od čl. 8 odst. 1) věty druhé ZPP P-600/14 poskytne pojistitel na úhradu všech takových pojistných událostí, jejichž příčiny vzniku újem nastaly během jednoho pojistného roku, pojistné plnění v souhrnu maximálně do výše limitu pojistného plnění účinného v tom pojistném roce, kdy nastaly příčiny vzniku újem všech těchto pojistných událostí;</w:t>
            </w:r>
          </w:p>
        </w:tc>
      </w:tr>
      <w:tr w:rsidR="00315799" w:rsidRPr="00121F6B" w:rsidTr="00150E3D">
        <w:trPr>
          <w:cantSplit/>
          <w:trHeight w:val="340"/>
        </w:trPr>
        <w:tc>
          <w:tcPr>
            <w:tcW w:w="9578" w:type="dxa"/>
            <w:gridSpan w:val="6"/>
            <w:tcBorders>
              <w:top w:val="single" w:sz="4" w:space="0" w:color="auto"/>
            </w:tcBorders>
            <w:vAlign w:val="center"/>
          </w:tcPr>
          <w:p w:rsidR="00315799" w:rsidRPr="00121F6B" w:rsidRDefault="00315799" w:rsidP="00150E3D">
            <w:pPr>
              <w:spacing w:before="40" w:after="40"/>
              <w:ind w:left="57" w:right="57"/>
              <w:rPr>
                <w:rFonts w:cs="Arial"/>
                <w:spacing w:val="-2"/>
              </w:rPr>
            </w:pPr>
            <w:r w:rsidRPr="00121F6B">
              <w:rPr>
                <w:spacing w:val="-2"/>
              </w:rPr>
              <w:t xml:space="preserve">odchylně od čl. 8 odst. 2) věty třetí ZPP P-600/14 poskytne pojistitel na úhradu všech takových pojistných událostí nastalých ze specifického rozsahu pojištění, jejichž příčiny vzniku újem nastaly během jednoho pojistného roku, pojistné plnění v souhrnu maximálně do výše příslušného </w:t>
            </w:r>
            <w:proofErr w:type="spellStart"/>
            <w:r w:rsidRPr="00121F6B">
              <w:rPr>
                <w:spacing w:val="-2"/>
              </w:rPr>
              <w:t>sublimitu</w:t>
            </w:r>
            <w:proofErr w:type="spellEnd"/>
            <w:r w:rsidRPr="00121F6B">
              <w:rPr>
                <w:spacing w:val="-2"/>
              </w:rPr>
              <w:t xml:space="preserve"> účinného v tom pojistném roce, kdy nastaly příčiny vzniku újem všech těchto pojistných událostí.</w:t>
            </w:r>
          </w:p>
        </w:tc>
      </w:tr>
    </w:tbl>
    <w:p w:rsidR="00315799" w:rsidRPr="0005659F" w:rsidRDefault="00315799" w:rsidP="00315799">
      <w:pPr>
        <w:tabs>
          <w:tab w:val="left" w:pos="624"/>
        </w:tabs>
        <w:suppressAutoHyphens/>
        <w:spacing w:before="180"/>
        <w:ind w:left="357"/>
        <w:rPr>
          <w:rFonts w:cs="Arial"/>
          <w:bCs/>
          <w:spacing w:val="-2"/>
          <w:sz w:val="16"/>
          <w:szCs w:val="16"/>
        </w:rPr>
      </w:pPr>
      <w:r w:rsidRPr="0005659F">
        <w:rPr>
          <w:rFonts w:cs="Arial"/>
          <w:bCs/>
          <w:spacing w:val="-2"/>
          <w:sz w:val="16"/>
          <w:szCs w:val="16"/>
        </w:rPr>
        <w:t>1)</w:t>
      </w:r>
      <w:r w:rsidRPr="0005659F">
        <w:rPr>
          <w:rFonts w:cs="Arial"/>
          <w:bCs/>
          <w:spacing w:val="-2"/>
          <w:sz w:val="16"/>
          <w:szCs w:val="16"/>
        </w:rPr>
        <w:tab/>
      </w:r>
      <w:r w:rsidRPr="0005659F">
        <w:rPr>
          <w:spacing w:val="-2"/>
          <w:sz w:val="16"/>
          <w:szCs w:val="16"/>
        </w:rPr>
        <w:t xml:space="preserve">nová </w:t>
      </w:r>
      <w:r w:rsidRPr="0005659F">
        <w:rPr>
          <w:rFonts w:cs="Arial"/>
          <w:bCs/>
          <w:spacing w:val="-2"/>
          <w:sz w:val="16"/>
          <w:szCs w:val="16"/>
        </w:rPr>
        <w:t>cena je vyjádření pojistné hodnoty ve smyslu ustanovení čl. 21 odst. 2) písm. a) VPP P-100/14</w:t>
      </w:r>
    </w:p>
    <w:p w:rsidR="00315799" w:rsidRPr="0005659F" w:rsidRDefault="00315799" w:rsidP="00315799">
      <w:pPr>
        <w:suppressAutoHyphens/>
        <w:ind w:left="624"/>
        <w:rPr>
          <w:rFonts w:cs="Arial"/>
          <w:spacing w:val="-2"/>
          <w:sz w:val="16"/>
          <w:szCs w:val="16"/>
        </w:rPr>
      </w:pPr>
      <w:r w:rsidRPr="0005659F">
        <w:rPr>
          <w:rFonts w:cs="Arial"/>
          <w:spacing w:val="-2"/>
          <w:sz w:val="16"/>
          <w:szCs w:val="16"/>
        </w:rPr>
        <w:t>časová cena je vyjádření pojistné hodnoty věci ve smyslu čl. 21 odst. 2) písm. b) VPP P-100/14</w:t>
      </w:r>
    </w:p>
    <w:p w:rsidR="00315799" w:rsidRPr="0005659F" w:rsidRDefault="00315799" w:rsidP="00315799">
      <w:pPr>
        <w:suppressAutoHyphens/>
        <w:ind w:left="624"/>
        <w:rPr>
          <w:rFonts w:cs="Arial"/>
          <w:spacing w:val="-2"/>
          <w:sz w:val="16"/>
          <w:szCs w:val="16"/>
        </w:rPr>
      </w:pPr>
      <w:r w:rsidRPr="0005659F">
        <w:rPr>
          <w:rFonts w:cs="Arial"/>
          <w:spacing w:val="-2"/>
          <w:sz w:val="16"/>
          <w:szCs w:val="16"/>
        </w:rPr>
        <w:t>obvyklá cena je vyjádření pojistné hodnoty věci ve smyslu čl. 21 odst. 2) písm. c) VPP P-100/14</w:t>
      </w:r>
    </w:p>
    <w:p w:rsidR="00315799" w:rsidRPr="0005659F" w:rsidRDefault="00315799" w:rsidP="00315799">
      <w:pPr>
        <w:suppressAutoHyphens/>
        <w:ind w:left="624"/>
        <w:rPr>
          <w:rFonts w:cs="Arial"/>
          <w:bCs/>
          <w:spacing w:val="-2"/>
          <w:sz w:val="16"/>
          <w:szCs w:val="16"/>
        </w:rPr>
      </w:pPr>
      <w:r w:rsidRPr="0005659F">
        <w:rPr>
          <w:rFonts w:cs="Arial"/>
          <w:spacing w:val="-2"/>
          <w:sz w:val="16"/>
          <w:szCs w:val="16"/>
        </w:rPr>
        <w:t>jiná cena je vyjádření pojistné hodnoty věci ve smyslu čl. V Zvláštní ujednání této pojistné smlouvy</w:t>
      </w:r>
    </w:p>
    <w:p w:rsidR="00315799" w:rsidRPr="0005659F" w:rsidRDefault="00315799" w:rsidP="00315799">
      <w:pPr>
        <w:pStyle w:val="Zkladntext31"/>
        <w:tabs>
          <w:tab w:val="clear" w:pos="-720"/>
          <w:tab w:val="left" w:pos="624"/>
        </w:tabs>
        <w:suppressAutoHyphens/>
        <w:spacing w:before="40" w:line="240" w:lineRule="auto"/>
        <w:ind w:left="357"/>
        <w:jc w:val="both"/>
        <w:rPr>
          <w:rFonts w:ascii="Koop Office" w:hAnsi="Koop Office" w:cs="Arial"/>
          <w:bCs/>
          <w:spacing w:val="-2"/>
          <w:sz w:val="16"/>
          <w:szCs w:val="16"/>
        </w:rPr>
      </w:pPr>
      <w:r w:rsidRPr="0005659F">
        <w:rPr>
          <w:rFonts w:ascii="Koop Office" w:hAnsi="Koop Office" w:cs="Arial"/>
          <w:bCs/>
          <w:spacing w:val="-2"/>
          <w:sz w:val="16"/>
          <w:szCs w:val="16"/>
        </w:rPr>
        <w:t>2)</w:t>
      </w:r>
      <w:r w:rsidRPr="0005659F">
        <w:rPr>
          <w:rFonts w:ascii="Koop Office" w:hAnsi="Koop Office" w:cs="Arial"/>
          <w:bCs/>
          <w:spacing w:val="-2"/>
          <w:sz w:val="16"/>
          <w:szCs w:val="16"/>
        </w:rPr>
        <w:tab/>
      </w:r>
      <w:r w:rsidRPr="0005659F">
        <w:rPr>
          <w:rFonts w:ascii="Koop Office" w:hAnsi="Koop Office"/>
          <w:spacing w:val="-2"/>
          <w:sz w:val="16"/>
          <w:szCs w:val="16"/>
        </w:rPr>
        <w:t>první riziko ve smyslu ustanovení čl. 23 odst. 1) písm. a) VPP P-100/14</w:t>
      </w:r>
    </w:p>
    <w:p w:rsidR="00315799" w:rsidRPr="0005659F" w:rsidRDefault="00315799" w:rsidP="00315799">
      <w:pPr>
        <w:pStyle w:val="Zkladntext31"/>
        <w:tabs>
          <w:tab w:val="clear" w:pos="-720"/>
          <w:tab w:val="left" w:pos="680"/>
        </w:tabs>
        <w:spacing w:before="40" w:line="240" w:lineRule="auto"/>
        <w:ind w:left="641" w:hanging="284"/>
        <w:jc w:val="both"/>
        <w:rPr>
          <w:rFonts w:ascii="Koop Office" w:hAnsi="Koop Office" w:cs="Arial"/>
          <w:bCs/>
          <w:spacing w:val="-2"/>
          <w:sz w:val="16"/>
          <w:szCs w:val="16"/>
        </w:rPr>
      </w:pPr>
      <w:r w:rsidRPr="0005659F">
        <w:rPr>
          <w:rFonts w:ascii="Koop Office" w:hAnsi="Koop Office" w:cs="Arial"/>
          <w:bCs/>
          <w:spacing w:val="-2"/>
          <w:sz w:val="16"/>
          <w:szCs w:val="16"/>
        </w:rPr>
        <w:t>3)</w:t>
      </w:r>
      <w:r w:rsidRPr="0005659F">
        <w:rPr>
          <w:rFonts w:ascii="Koop Office" w:hAnsi="Koop Office" w:cs="Arial"/>
          <w:bCs/>
          <w:spacing w:val="-2"/>
          <w:sz w:val="16"/>
          <w:szCs w:val="16"/>
        </w:rPr>
        <w:tab/>
        <w:t>MRLP je horní hranicí pojistného plnění v souhrnu ze všech pojistných událostí vzniklých v jednom pojistném roce; je-li pojištění sjednáno na dobu kratší než jeden pojistný rok je MRLP horní hranicí pojistného plnění v souhrnu ze všech pojistných událostí vzniklých za dobu trvání pojištění</w:t>
      </w:r>
    </w:p>
    <w:p w:rsidR="00315799" w:rsidRPr="0005659F" w:rsidRDefault="00315799" w:rsidP="00315799">
      <w:pPr>
        <w:pStyle w:val="Zkladntext31"/>
        <w:tabs>
          <w:tab w:val="clear" w:pos="-720"/>
          <w:tab w:val="left" w:pos="624"/>
        </w:tabs>
        <w:suppressAutoHyphens/>
        <w:spacing w:before="40" w:line="240" w:lineRule="auto"/>
        <w:ind w:left="357"/>
        <w:jc w:val="both"/>
        <w:rPr>
          <w:rFonts w:ascii="Koop Office" w:hAnsi="Koop Office"/>
          <w:spacing w:val="-2"/>
          <w:sz w:val="16"/>
          <w:szCs w:val="16"/>
        </w:rPr>
      </w:pPr>
      <w:r w:rsidRPr="0005659F">
        <w:rPr>
          <w:rFonts w:ascii="Koop Office" w:hAnsi="Koop Office" w:cs="Arial"/>
          <w:bCs/>
          <w:spacing w:val="-2"/>
          <w:sz w:val="16"/>
          <w:szCs w:val="16"/>
        </w:rPr>
        <w:t>4)</w:t>
      </w:r>
      <w:r w:rsidRPr="0005659F">
        <w:rPr>
          <w:rFonts w:ascii="Koop Office" w:hAnsi="Koop Office" w:cs="Arial"/>
          <w:bCs/>
          <w:spacing w:val="-2"/>
          <w:sz w:val="16"/>
          <w:szCs w:val="16"/>
        </w:rPr>
        <w:tab/>
      </w:r>
      <w:r w:rsidRPr="0005659F">
        <w:rPr>
          <w:rFonts w:ascii="Koop Office" w:hAnsi="Koop Office"/>
          <w:spacing w:val="-2"/>
          <w:sz w:val="16"/>
          <w:szCs w:val="16"/>
        </w:rPr>
        <w:t>zlomkové pojištění ve smyslu čl. 23 odst. 1) písm. b) VPP P-100/14</w:t>
      </w:r>
    </w:p>
    <w:p w:rsidR="00315799" w:rsidRPr="0005659F" w:rsidRDefault="00315799" w:rsidP="00315799">
      <w:pPr>
        <w:pStyle w:val="Zkladntext31"/>
        <w:tabs>
          <w:tab w:val="clear" w:pos="-720"/>
          <w:tab w:val="left" w:pos="624"/>
        </w:tabs>
        <w:suppressAutoHyphens/>
        <w:spacing w:before="40" w:line="240" w:lineRule="auto"/>
        <w:ind w:left="641" w:hanging="284"/>
        <w:jc w:val="both"/>
        <w:rPr>
          <w:rFonts w:ascii="Koop Office" w:hAnsi="Koop Office" w:cs="Arial"/>
          <w:bCs/>
          <w:spacing w:val="-2"/>
          <w:sz w:val="16"/>
          <w:szCs w:val="16"/>
        </w:rPr>
      </w:pPr>
      <w:r w:rsidRPr="0005659F">
        <w:rPr>
          <w:rFonts w:ascii="Koop Office" w:hAnsi="Koop Office" w:cs="Arial"/>
          <w:bCs/>
          <w:spacing w:val="-2"/>
          <w:sz w:val="16"/>
          <w:szCs w:val="16"/>
        </w:rPr>
        <w:t>5)</w:t>
      </w:r>
      <w:r w:rsidRPr="0005659F">
        <w:rPr>
          <w:rFonts w:ascii="Koop Office" w:hAnsi="Koop Office" w:cs="Arial"/>
          <w:bCs/>
          <w:spacing w:val="-2"/>
          <w:sz w:val="16"/>
          <w:szCs w:val="16"/>
        </w:rPr>
        <w:tab/>
      </w:r>
      <w:r w:rsidRPr="0005659F">
        <w:rPr>
          <w:rFonts w:ascii="Koop Office" w:hAnsi="Koop Office" w:cs="Arial"/>
          <w:spacing w:val="-2"/>
          <w:sz w:val="16"/>
          <w:szCs w:val="16"/>
        </w:rPr>
        <w:t>spoluúčast může být vyjádřena pevnou částkou, procentem, časovým úsekem nebo jejich kombinací ve smyslu čl. 11 odst. 4) VPP P-100/14</w:t>
      </w:r>
    </w:p>
    <w:p w:rsidR="00315799" w:rsidRPr="0005659F" w:rsidRDefault="00315799" w:rsidP="00315799">
      <w:pPr>
        <w:pStyle w:val="Zkladntext31"/>
        <w:tabs>
          <w:tab w:val="clear" w:pos="-720"/>
          <w:tab w:val="left" w:pos="624"/>
        </w:tabs>
        <w:suppressAutoHyphens/>
        <w:spacing w:before="40" w:line="240" w:lineRule="auto"/>
        <w:ind w:left="641" w:hanging="284"/>
        <w:jc w:val="both"/>
        <w:rPr>
          <w:rFonts w:ascii="Koop Office" w:hAnsi="Koop Office" w:cs="Arial"/>
          <w:bCs/>
          <w:spacing w:val="-2"/>
          <w:sz w:val="16"/>
          <w:szCs w:val="16"/>
        </w:rPr>
      </w:pPr>
      <w:r w:rsidRPr="0005659F">
        <w:rPr>
          <w:rFonts w:ascii="Koop Office" w:hAnsi="Koop Office" w:cs="Arial"/>
          <w:bCs/>
          <w:spacing w:val="-2"/>
          <w:sz w:val="16"/>
          <w:szCs w:val="16"/>
        </w:rPr>
        <w:t>6)</w:t>
      </w:r>
      <w:r w:rsidRPr="0005659F">
        <w:rPr>
          <w:rFonts w:ascii="Koop Office" w:hAnsi="Koop Office" w:cs="Arial"/>
          <w:bCs/>
          <w:spacing w:val="-2"/>
          <w:sz w:val="16"/>
          <w:szCs w:val="16"/>
        </w:rPr>
        <w:tab/>
        <w:t>odchylně od čl. 8 odst. 1) věta druhá ZPP P-600/14 poskytne pojistitel na úhradu všech pojistných událostí nastalých během jednoho</w:t>
      </w:r>
      <w:r w:rsidRPr="0005659F">
        <w:rPr>
          <w:rFonts w:ascii="Koop Office" w:hAnsi="Koop Office" w:cs="Arial"/>
          <w:spacing w:val="-2"/>
          <w:sz w:val="16"/>
          <w:szCs w:val="16"/>
        </w:rPr>
        <w:t xml:space="preserve"> pojistného roku pojistné plnění v souhrnu max. do výše limitu pojistného plnění</w:t>
      </w:r>
    </w:p>
    <w:p w:rsidR="00315799" w:rsidRPr="0005659F" w:rsidRDefault="00315799" w:rsidP="00315799">
      <w:pPr>
        <w:pStyle w:val="Zkladntext31"/>
        <w:tabs>
          <w:tab w:val="clear" w:pos="-720"/>
          <w:tab w:val="left" w:pos="624"/>
        </w:tabs>
        <w:suppressAutoHyphens/>
        <w:spacing w:before="40" w:line="240" w:lineRule="auto"/>
        <w:ind w:left="641" w:hanging="284"/>
        <w:jc w:val="both"/>
        <w:rPr>
          <w:rFonts w:ascii="Koop Office" w:hAnsi="Koop Office" w:cs="Arial"/>
          <w:bCs/>
          <w:spacing w:val="-2"/>
          <w:sz w:val="16"/>
          <w:szCs w:val="16"/>
        </w:rPr>
      </w:pPr>
      <w:r w:rsidRPr="0005659F">
        <w:rPr>
          <w:rFonts w:ascii="Koop Office" w:hAnsi="Koop Office" w:cs="Arial"/>
          <w:bCs/>
          <w:spacing w:val="-2"/>
          <w:sz w:val="16"/>
          <w:szCs w:val="16"/>
        </w:rPr>
        <w:t>7)</w:t>
      </w:r>
      <w:r w:rsidRPr="0005659F">
        <w:rPr>
          <w:rFonts w:ascii="Koop Office" w:hAnsi="Koop Office" w:cs="Arial"/>
          <w:bCs/>
          <w:spacing w:val="-2"/>
          <w:sz w:val="16"/>
          <w:szCs w:val="16"/>
        </w:rPr>
        <w:tab/>
        <w:t>odchylně od čl. 8 odst. 2) věta třetí ZPP P-600/14 poskytne pojistitel na úhradu všech pojistných událostí nastalých během jednoho</w:t>
      </w:r>
      <w:r w:rsidRPr="0005659F">
        <w:rPr>
          <w:rFonts w:ascii="Koop Office" w:hAnsi="Koop Office" w:cs="Arial"/>
          <w:spacing w:val="-2"/>
          <w:sz w:val="16"/>
          <w:szCs w:val="16"/>
        </w:rPr>
        <w:t xml:space="preserve"> pojistného roku pojistné plnění v souhrnu max. do výše </w:t>
      </w:r>
      <w:proofErr w:type="spellStart"/>
      <w:r w:rsidRPr="0005659F">
        <w:rPr>
          <w:rFonts w:ascii="Koop Office" w:hAnsi="Koop Office" w:cs="Arial"/>
          <w:spacing w:val="-2"/>
          <w:sz w:val="16"/>
          <w:szCs w:val="16"/>
        </w:rPr>
        <w:t>sublimitu</w:t>
      </w:r>
      <w:proofErr w:type="spellEnd"/>
      <w:r w:rsidRPr="0005659F">
        <w:rPr>
          <w:rFonts w:ascii="Koop Office" w:hAnsi="Koop Office" w:cs="Arial"/>
          <w:spacing w:val="-2"/>
          <w:sz w:val="16"/>
          <w:szCs w:val="16"/>
        </w:rPr>
        <w:t xml:space="preserve"> pojistného plnění</w:t>
      </w:r>
    </w:p>
    <w:p w:rsidR="00315799" w:rsidRPr="0005659F" w:rsidRDefault="00315799" w:rsidP="00315799">
      <w:pPr>
        <w:tabs>
          <w:tab w:val="left" w:pos="624"/>
        </w:tabs>
        <w:suppressAutoHyphens/>
        <w:spacing w:before="40"/>
        <w:ind w:left="641" w:hanging="284"/>
        <w:rPr>
          <w:rFonts w:cs="Arial"/>
          <w:spacing w:val="-2"/>
          <w:sz w:val="16"/>
          <w:szCs w:val="16"/>
        </w:rPr>
      </w:pPr>
      <w:r w:rsidRPr="0005659F">
        <w:rPr>
          <w:rFonts w:cs="Arial"/>
          <w:bCs/>
          <w:spacing w:val="-2"/>
          <w:sz w:val="16"/>
          <w:szCs w:val="16"/>
        </w:rPr>
        <w:t>8)</w:t>
      </w:r>
      <w:r w:rsidRPr="0005659F">
        <w:rPr>
          <w:rFonts w:cs="Arial"/>
          <w:bCs/>
          <w:spacing w:val="-2"/>
          <w:sz w:val="16"/>
          <w:szCs w:val="16"/>
        </w:rPr>
        <w:tab/>
      </w:r>
      <w:r w:rsidRPr="0005659F">
        <w:rPr>
          <w:rFonts w:cs="Arial"/>
          <w:spacing w:val="-2"/>
          <w:sz w:val="16"/>
          <w:szCs w:val="16"/>
        </w:rPr>
        <w:t>dobou ručení se rozumí doba ve smyslu čl. 11 odst. 5) ZPP P-400/14, resp. čl. 14 odst. 2) DPP P-330/16, resp. čl. 20 odst. 4) DPP P-340/16</w:t>
      </w:r>
    </w:p>
    <w:p w:rsidR="00315799" w:rsidRPr="0005659F" w:rsidRDefault="00315799" w:rsidP="00315799">
      <w:pPr>
        <w:tabs>
          <w:tab w:val="left" w:pos="624"/>
        </w:tabs>
        <w:suppressAutoHyphens/>
        <w:spacing w:before="40"/>
        <w:ind w:left="641" w:hanging="284"/>
        <w:rPr>
          <w:spacing w:val="-2"/>
          <w:sz w:val="16"/>
          <w:szCs w:val="16"/>
        </w:rPr>
      </w:pPr>
      <w:r w:rsidRPr="0005659F">
        <w:rPr>
          <w:rFonts w:cs="Arial"/>
          <w:bCs/>
          <w:spacing w:val="-2"/>
          <w:sz w:val="16"/>
          <w:szCs w:val="16"/>
        </w:rPr>
        <w:t>9)</w:t>
      </w:r>
      <w:r w:rsidRPr="0005659F">
        <w:rPr>
          <w:rFonts w:cs="Arial"/>
          <w:bCs/>
          <w:spacing w:val="-2"/>
          <w:sz w:val="16"/>
          <w:szCs w:val="16"/>
        </w:rPr>
        <w:tab/>
      </w:r>
      <w:r w:rsidRPr="0005659F">
        <w:rPr>
          <w:rFonts w:cs="Arial"/>
          <w:spacing w:val="-2"/>
          <w:sz w:val="16"/>
          <w:szCs w:val="16"/>
        </w:rPr>
        <w:t xml:space="preserve">integrální časová franšíza </w:t>
      </w:r>
      <w:r w:rsidRPr="0005659F">
        <w:rPr>
          <w:spacing w:val="-2"/>
          <w:sz w:val="16"/>
          <w:szCs w:val="16"/>
        </w:rPr>
        <w:t>je časový úsek specifikovaný několika pracovními dny;</w:t>
      </w:r>
      <w:r w:rsidRPr="0005659F">
        <w:rPr>
          <w:rFonts w:cs="Arial"/>
          <w:spacing w:val="-2"/>
          <w:sz w:val="16"/>
          <w:szCs w:val="16"/>
        </w:rPr>
        <w:t xml:space="preserve"> právo na pojistné plnění vzniká jen tehdy, je-li přerušení nebo omezení provozu pojištěného delší než tento počet pracovních dní; je-li však přerušení nebo omezení provozu pojištěného delší než tento počet pracovních dní, nemá integrální časová franšíza vliv na výši pojistného plnění</w:t>
      </w:r>
    </w:p>
    <w:p w:rsidR="00315799" w:rsidRPr="0005659F" w:rsidRDefault="00315799" w:rsidP="00315799">
      <w:pPr>
        <w:tabs>
          <w:tab w:val="left" w:pos="680"/>
        </w:tabs>
        <w:suppressAutoHyphens/>
        <w:spacing w:before="40"/>
        <w:ind w:left="641" w:hanging="284"/>
        <w:rPr>
          <w:rFonts w:cs="Arial"/>
          <w:spacing w:val="-2"/>
          <w:sz w:val="16"/>
          <w:szCs w:val="16"/>
        </w:rPr>
      </w:pPr>
      <w:r w:rsidRPr="0005659F">
        <w:rPr>
          <w:rFonts w:cs="Arial"/>
          <w:bCs/>
          <w:spacing w:val="-2"/>
          <w:sz w:val="16"/>
          <w:szCs w:val="16"/>
        </w:rPr>
        <w:t>10)</w:t>
      </w:r>
      <w:r w:rsidRPr="0005659F">
        <w:rPr>
          <w:rFonts w:cs="Arial"/>
          <w:bCs/>
          <w:spacing w:val="-2"/>
          <w:sz w:val="16"/>
          <w:szCs w:val="16"/>
        </w:rPr>
        <w:tab/>
      </w:r>
      <w:r w:rsidRPr="0005659F">
        <w:rPr>
          <w:rFonts w:cs="Arial"/>
          <w:spacing w:val="-2"/>
          <w:sz w:val="16"/>
          <w:szCs w:val="16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315799" w:rsidRPr="0005659F" w:rsidRDefault="00315799" w:rsidP="00315799">
      <w:pPr>
        <w:tabs>
          <w:tab w:val="left" w:pos="680"/>
        </w:tabs>
        <w:spacing w:before="40"/>
        <w:ind w:left="641" w:hanging="284"/>
        <w:rPr>
          <w:rFonts w:cs="Arial"/>
          <w:spacing w:val="-2"/>
          <w:sz w:val="16"/>
          <w:szCs w:val="16"/>
        </w:rPr>
      </w:pPr>
      <w:r w:rsidRPr="0005659F">
        <w:rPr>
          <w:rFonts w:cs="Arial"/>
          <w:bCs/>
          <w:spacing w:val="-2"/>
          <w:sz w:val="16"/>
          <w:szCs w:val="16"/>
        </w:rPr>
        <w:t>11)</w:t>
      </w:r>
      <w:r w:rsidRPr="0005659F">
        <w:rPr>
          <w:rFonts w:cs="Arial"/>
          <w:bCs/>
          <w:spacing w:val="-2"/>
          <w:sz w:val="16"/>
          <w:szCs w:val="16"/>
        </w:rPr>
        <w:tab/>
        <w:t>MRLP PR je horní hranicí plnění pojistitele v souhrnu ze všech pojistných událostí, u nichž věcná škoda, která byla důvodem jejich vzniku, nastala během jednoho pojistného roku; je-li pojištění přerušení provozu sjednáno na dobu kratší než jeden pojistný rok, je MRLP PR horní hranicí plnění pojistitele v souhrnu ze všech pojistných událostí, u nichž věcná škoda, která byla důvodem jejich vzniku, nastala během doby trvání pojištění; není-li sjednán limit plnění pojistitele pro jednu pojistnou událost, považuje se sjednaný MRLP PR i za limit plnění pojistitele pro jednu pojistnou událost</w:t>
      </w:r>
    </w:p>
    <w:p w:rsidR="00315799" w:rsidRPr="0005659F" w:rsidRDefault="00315799" w:rsidP="00315799">
      <w:pPr>
        <w:tabs>
          <w:tab w:val="left" w:pos="680"/>
        </w:tabs>
        <w:spacing w:before="40"/>
        <w:ind w:left="641" w:hanging="284"/>
        <w:rPr>
          <w:rFonts w:cs="Arial"/>
          <w:spacing w:val="-2"/>
          <w:sz w:val="16"/>
          <w:szCs w:val="16"/>
        </w:rPr>
      </w:pPr>
      <w:r w:rsidRPr="0005659F">
        <w:rPr>
          <w:rFonts w:cs="Arial"/>
          <w:bCs/>
          <w:spacing w:val="-2"/>
          <w:sz w:val="16"/>
          <w:szCs w:val="16"/>
        </w:rPr>
        <w:t>12)</w:t>
      </w:r>
      <w:r w:rsidRPr="0005659F">
        <w:rPr>
          <w:rFonts w:cs="Arial"/>
          <w:bCs/>
          <w:spacing w:val="-2"/>
          <w:sz w:val="16"/>
          <w:szCs w:val="16"/>
        </w:rPr>
        <w:tab/>
        <w:t>MRLP PR v rámci pojistné částky stanovené ve smyslu ustanovení čl. 23 odst. 1) písm. c) VPP P-100/14 a sjednané pro ušlý zisk a stálé náklady pojištěného v příslušné tabulce pojištění pro případ přerušení nebo omezení provozu</w:t>
      </w:r>
    </w:p>
    <w:p w:rsidR="00315799" w:rsidRDefault="00315799" w:rsidP="00315799">
      <w:pPr>
        <w:suppressAutoHyphens/>
        <w:rPr>
          <w:rFonts w:cs="Arial"/>
          <w:bCs/>
          <w:snapToGrid w:val="0"/>
        </w:rPr>
      </w:pPr>
    </w:p>
    <w:p w:rsidR="00315799" w:rsidRPr="00121F6B" w:rsidRDefault="00315799" w:rsidP="00315799">
      <w:pPr>
        <w:tabs>
          <w:tab w:val="left" w:pos="357"/>
        </w:tabs>
        <w:suppressAutoHyphens/>
        <w:spacing w:before="20" w:after="40"/>
        <w:ind w:left="357" w:hanging="357"/>
        <w:rPr>
          <w:rFonts w:cs="Arial"/>
          <w:b/>
          <w:snapToGrid w:val="0"/>
        </w:rPr>
      </w:pPr>
      <w:r w:rsidRPr="00121F6B">
        <w:rPr>
          <w:rFonts w:cs="Arial"/>
          <w:b/>
          <w:snapToGrid w:val="0"/>
        </w:rPr>
        <w:t>3.</w:t>
      </w:r>
      <w:r w:rsidRPr="00121F6B">
        <w:rPr>
          <w:rFonts w:cs="Arial"/>
          <w:b/>
          <w:snapToGrid w:val="0"/>
        </w:rPr>
        <w:tab/>
      </w:r>
      <w:r w:rsidRPr="00121F6B">
        <w:rPr>
          <w:rFonts w:cs="Arial"/>
          <w:b/>
          <w:bCs/>
        </w:rPr>
        <w:t>POJISTNÉ PLNĚNÍ</w:t>
      </w:r>
    </w:p>
    <w:p w:rsidR="00315799" w:rsidRPr="00121F6B" w:rsidRDefault="00315799" w:rsidP="00315799">
      <w:pPr>
        <w:numPr>
          <w:ilvl w:val="1"/>
          <w:numId w:val="45"/>
        </w:numPr>
        <w:tabs>
          <w:tab w:val="clear" w:pos="360"/>
          <w:tab w:val="left" w:pos="357"/>
        </w:tabs>
        <w:spacing w:before="120"/>
        <w:ind w:left="357" w:hanging="357"/>
        <w:rPr>
          <w:rFonts w:cs="Arial"/>
        </w:rPr>
      </w:pPr>
      <w:r w:rsidRPr="00121F6B">
        <w:rPr>
          <w:rFonts w:cs="Arial"/>
        </w:rPr>
        <w:t>Pojistné plnění ze všech pojištění sjednaných touto pojistnou smlouvou, v souhrnu za všechny pojistné událo</w:t>
      </w:r>
      <w:r>
        <w:rPr>
          <w:rFonts w:cs="Arial"/>
        </w:rPr>
        <w:t>s</w:t>
      </w:r>
      <w:r w:rsidRPr="00121F6B">
        <w:rPr>
          <w:rFonts w:cs="Arial"/>
        </w:rPr>
        <w:t xml:space="preserve">ti způsobené </w:t>
      </w:r>
      <w:r w:rsidRPr="00121F6B">
        <w:rPr>
          <w:rFonts w:cs="Arial"/>
          <w:u w:val="single"/>
        </w:rPr>
        <w:t>povodní nebo záplavou</w:t>
      </w:r>
      <w:r w:rsidRPr="00121F6B">
        <w:rPr>
          <w:rFonts w:cs="Arial"/>
        </w:rPr>
        <w:t>, nastalé v průběhu jednoho pojistného roku (resp. je-li pojištění sjednáno na dobu kratší než jeden pojistný rok, v průběhu trvání pojištění), je omezeno maximálním ročním limitem pojistného plnění ve výši 1 000 000 Kč; tím nejsou dotčena jiná ujednání, z nichž vyplývá povinnost pojistitele poskytnout pojistné plnění v nižší nebo stejné výši.</w:t>
      </w:r>
    </w:p>
    <w:p w:rsidR="00315799" w:rsidRPr="00121F6B" w:rsidRDefault="00315799" w:rsidP="00315799">
      <w:pPr>
        <w:numPr>
          <w:ilvl w:val="1"/>
          <w:numId w:val="45"/>
        </w:numPr>
        <w:tabs>
          <w:tab w:val="clear" w:pos="360"/>
          <w:tab w:val="left" w:pos="357"/>
        </w:tabs>
        <w:spacing w:before="120"/>
        <w:ind w:left="357" w:hanging="357"/>
        <w:rPr>
          <w:rFonts w:cs="Arial"/>
        </w:rPr>
      </w:pPr>
      <w:r w:rsidRPr="00121F6B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121F6B">
        <w:rPr>
          <w:rFonts w:cs="Arial"/>
          <w:u w:val="single"/>
        </w:rPr>
        <w:t>vichřicí nebo krupobitím</w:t>
      </w:r>
      <w:r w:rsidRPr="00121F6B">
        <w:rPr>
          <w:rFonts w:cs="Arial"/>
        </w:rPr>
        <w:t>, nastalé v průběhu jednoho pojistného roku (resp. je-li pojištění sjednáno na dobu kratší než jeden pojistný rok, v průběhu trvání pojištění), je omezeno maximálním ročním limitem pojistného plnění ve výši 10 000 000 Kč; tím nejsou dotčena jiná ujednání, z nichž vyplývá povinnost pojistitele poskytnout pojistné plnění v nižší nebo stejné výši.</w:t>
      </w:r>
    </w:p>
    <w:p w:rsidR="00315799" w:rsidRDefault="00315799" w:rsidP="00315799">
      <w:pPr>
        <w:numPr>
          <w:ilvl w:val="1"/>
          <w:numId w:val="45"/>
        </w:numPr>
        <w:tabs>
          <w:tab w:val="clear" w:pos="360"/>
          <w:tab w:val="left" w:pos="357"/>
        </w:tabs>
        <w:spacing w:before="120"/>
        <w:ind w:left="357" w:hanging="357"/>
        <w:rPr>
          <w:rFonts w:cs="Arial"/>
        </w:rPr>
      </w:pPr>
      <w:r w:rsidRPr="00121F6B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3B506E">
        <w:rPr>
          <w:rFonts w:cs="Arial"/>
          <w:u w:val="single"/>
        </w:rPr>
        <w:t>sesouváním půdy, zřícením skal nebo zemin, sesouváním nebo zřícením lavin, zemětřesením, tíhou sněhu nebo námrazy</w:t>
      </w:r>
      <w:r w:rsidRPr="00121F6B">
        <w:rPr>
          <w:rFonts w:cs="Arial"/>
        </w:rPr>
        <w:t xml:space="preserve"> nastalé v průběhu jednoho pojistného roku (resp. je-li pojištění sjednáno na dobu kratší než jeden pojistný rok, v průběhu trvání pojištění), je omezeno maximálním ročním limitem pojistného plnění ve výši 10 000 000 Kč; tím nejsou dotčena jiná ujednání, z nichž vyplývá povinnost pojistitele poskytnout pojistné plnění v nižší nebo stejné výši.</w:t>
      </w:r>
    </w:p>
    <w:p w:rsidR="00315799" w:rsidRDefault="00315799" w:rsidP="00315799">
      <w:pPr>
        <w:numPr>
          <w:ilvl w:val="1"/>
          <w:numId w:val="45"/>
        </w:numPr>
        <w:tabs>
          <w:tab w:val="clear" w:pos="360"/>
          <w:tab w:val="left" w:pos="357"/>
        </w:tabs>
        <w:spacing w:before="120"/>
        <w:ind w:left="357" w:hanging="357"/>
        <w:rPr>
          <w:rFonts w:cs="Arial"/>
        </w:rPr>
      </w:pPr>
      <w:r w:rsidRPr="00121F6B">
        <w:rPr>
          <w:rFonts w:cs="Arial"/>
        </w:rPr>
        <w:t>Pojistné plnění z pojištění sjednaného doložkou</w:t>
      </w:r>
      <w:r>
        <w:rPr>
          <w:rFonts w:cs="Arial"/>
        </w:rPr>
        <w:t xml:space="preserve"> </w:t>
      </w:r>
      <w:r w:rsidRPr="001843C6">
        <w:rPr>
          <w:rFonts w:cs="Arial"/>
          <w:u w:val="single"/>
        </w:rPr>
        <w:t>DZ114 - nepřímý úder blesku</w:t>
      </w:r>
      <w:r w:rsidRPr="00121F6B">
        <w:rPr>
          <w:rFonts w:cs="Arial"/>
        </w:rPr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Pr="00121F6B">
        <w:rPr>
          <w:rFonts w:cs="Arial"/>
        </w:rPr>
        <w:lastRenderedPageBreak/>
        <w:t>100</w:t>
      </w:r>
      <w:r>
        <w:rPr>
          <w:rFonts w:cs="Arial"/>
        </w:rPr>
        <w:t> </w:t>
      </w:r>
      <w:r w:rsidRPr="00121F6B">
        <w:rPr>
          <w:rFonts w:cs="Arial"/>
        </w:rPr>
        <w:t>000 Kč. Od celkové výše pojistného plnění za každou pojistnou událost z pojištění dle doložky DZ114 se odečítá spoluúčast ve výši 10 % min. však 2 000 Kč.</w:t>
      </w:r>
    </w:p>
    <w:p w:rsidR="00040A13" w:rsidRDefault="00040A13" w:rsidP="00631371">
      <w:pPr>
        <w:pStyle w:val="Nadpislnk"/>
      </w:pPr>
    </w:p>
    <w:p w:rsidR="009B22B4" w:rsidRDefault="009B22B4" w:rsidP="00631371">
      <w:pPr>
        <w:pStyle w:val="Nadpislnk"/>
      </w:pPr>
      <w:r w:rsidRPr="00D969FD">
        <w:t>Článek III.</w:t>
      </w:r>
      <w:r w:rsidR="00F425A6" w:rsidRPr="00D969FD">
        <w:br/>
      </w:r>
      <w:r w:rsidRPr="00D969FD">
        <w:t>Výše a způsob placení pojistného</w:t>
      </w:r>
    </w:p>
    <w:p w:rsidR="00040A13" w:rsidRPr="00D969FD" w:rsidRDefault="00040A13" w:rsidP="00631371">
      <w:pPr>
        <w:pStyle w:val="Nadpislnk"/>
      </w:pPr>
    </w:p>
    <w:p w:rsidR="009B22B4" w:rsidRPr="00D969FD" w:rsidRDefault="009B22B4" w:rsidP="001A3629">
      <w:pPr>
        <w:pStyle w:val="slovn-rove1"/>
        <w:numPr>
          <w:ilvl w:val="0"/>
          <w:numId w:val="8"/>
        </w:numPr>
      </w:pPr>
      <w:r w:rsidRPr="00D969FD">
        <w:t>Pojistné za jeden pojistný rok činí:</w:t>
      </w:r>
    </w:p>
    <w:p w:rsidR="009B22B4" w:rsidRPr="00D969FD" w:rsidRDefault="009B22B4" w:rsidP="003C0442">
      <w:pPr>
        <w:pStyle w:val="slovn-rove2"/>
        <w:spacing w:before="0" w:after="0"/>
      </w:pPr>
      <w:r w:rsidRPr="00D969FD">
        <w:t>Živelní pojištění</w:t>
      </w:r>
    </w:p>
    <w:p w:rsidR="009B22B4" w:rsidRPr="00D969FD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D969FD">
        <w:tab/>
      </w:r>
      <w:r w:rsidR="009B22B4" w:rsidRPr="00D969FD">
        <w:t xml:space="preserve">Pojistné </w:t>
      </w:r>
      <w:r w:rsidR="009B22B4" w:rsidRPr="00D969FD">
        <w:tab/>
        <w:t xml:space="preserve"> </w:t>
      </w:r>
      <w:r w:rsidR="00C72F98">
        <w:t>404 918</w:t>
      </w:r>
      <w:r w:rsidR="009B22B4" w:rsidRPr="00D969FD">
        <w:t>,- Kč</w:t>
      </w:r>
    </w:p>
    <w:p w:rsidR="009B22B4" w:rsidRPr="00D969FD" w:rsidRDefault="009B22B4" w:rsidP="003C0442">
      <w:pPr>
        <w:pStyle w:val="slovn-rove2"/>
        <w:spacing w:before="0" w:after="0"/>
      </w:pPr>
      <w:r w:rsidRPr="00D969FD">
        <w:t xml:space="preserve">Pojištění pro případ odcizení </w:t>
      </w:r>
    </w:p>
    <w:p w:rsidR="009B22B4" w:rsidRPr="00D969FD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D969FD">
        <w:tab/>
      </w:r>
      <w:r w:rsidR="009B22B4" w:rsidRPr="00D969FD">
        <w:t xml:space="preserve">Pojistné </w:t>
      </w:r>
      <w:r w:rsidR="009B22B4" w:rsidRPr="00D969FD">
        <w:tab/>
        <w:t xml:space="preserve"> </w:t>
      </w:r>
      <w:r w:rsidR="00C72F98">
        <w:t>13 400</w:t>
      </w:r>
      <w:r w:rsidR="009B22B4" w:rsidRPr="00D969FD">
        <w:t>,- Kč</w:t>
      </w:r>
    </w:p>
    <w:p w:rsidR="009B22B4" w:rsidRPr="00D969FD" w:rsidRDefault="009B22B4" w:rsidP="003C0442">
      <w:pPr>
        <w:pStyle w:val="slovn-rove2"/>
        <w:spacing w:before="0" w:after="0"/>
      </w:pPr>
      <w:r w:rsidRPr="00D969FD">
        <w:t>Pojištění pro případ vandalismu</w:t>
      </w:r>
    </w:p>
    <w:p w:rsidR="009B22B4" w:rsidRPr="00D969FD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D969FD">
        <w:tab/>
      </w:r>
      <w:r w:rsidR="009B22B4" w:rsidRPr="00D969FD">
        <w:t xml:space="preserve">Pojistné </w:t>
      </w:r>
      <w:r w:rsidR="009B22B4" w:rsidRPr="00D969FD">
        <w:tab/>
        <w:t xml:space="preserve"> </w:t>
      </w:r>
      <w:r w:rsidR="00C72F98">
        <w:t>3 100</w:t>
      </w:r>
      <w:r w:rsidR="009B22B4" w:rsidRPr="00D969FD">
        <w:t>,- Kč</w:t>
      </w:r>
    </w:p>
    <w:p w:rsidR="009B22B4" w:rsidRPr="00D969FD" w:rsidRDefault="009B22B4" w:rsidP="003C0442">
      <w:pPr>
        <w:pStyle w:val="slovn-rove2"/>
        <w:spacing w:before="0" w:after="0"/>
      </w:pPr>
      <w:r w:rsidRPr="00D969FD">
        <w:t>Pojištění elektronických zařízení</w:t>
      </w:r>
    </w:p>
    <w:p w:rsidR="009B22B4" w:rsidRPr="00D969FD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D969FD">
        <w:tab/>
      </w:r>
      <w:r w:rsidR="009B22B4" w:rsidRPr="00D969FD">
        <w:t xml:space="preserve">Pojistné </w:t>
      </w:r>
      <w:r w:rsidR="009B22B4" w:rsidRPr="00D969FD">
        <w:tab/>
        <w:t xml:space="preserve"> </w:t>
      </w:r>
      <w:r w:rsidR="00C72F98">
        <w:t>24 180</w:t>
      </w:r>
      <w:r w:rsidR="009B22B4" w:rsidRPr="00D969FD">
        <w:t>,- Kč</w:t>
      </w:r>
    </w:p>
    <w:p w:rsidR="009B22B4" w:rsidRPr="00D969FD" w:rsidRDefault="009B22B4" w:rsidP="003C0442">
      <w:pPr>
        <w:pStyle w:val="slovn-rove2"/>
        <w:spacing w:before="0" w:after="0"/>
      </w:pPr>
      <w:r w:rsidRPr="00D969FD">
        <w:t>Pojištění odpovědnosti za újmu</w:t>
      </w:r>
    </w:p>
    <w:p w:rsidR="009B22B4" w:rsidRPr="00D969FD" w:rsidRDefault="006718E4" w:rsidP="00D73577">
      <w:pPr>
        <w:tabs>
          <w:tab w:val="left" w:pos="426"/>
          <w:tab w:val="right" w:leader="dot" w:pos="9638"/>
        </w:tabs>
      </w:pPr>
      <w:r w:rsidRPr="00D969FD">
        <w:tab/>
      </w:r>
      <w:r w:rsidR="009B22B4" w:rsidRPr="00D969FD">
        <w:t xml:space="preserve">Pojistné </w:t>
      </w:r>
      <w:r w:rsidR="009B22B4" w:rsidRPr="00D969FD">
        <w:tab/>
        <w:t xml:space="preserve"> </w:t>
      </w:r>
      <w:r w:rsidR="00C72F98">
        <w:t>54 002</w:t>
      </w:r>
      <w:r w:rsidR="009B22B4" w:rsidRPr="00D969FD">
        <w:t>,- Kč</w:t>
      </w:r>
    </w:p>
    <w:p w:rsidR="009B22B4" w:rsidRPr="00D969FD" w:rsidRDefault="009B22B4" w:rsidP="00D73577">
      <w:pPr>
        <w:tabs>
          <w:tab w:val="right" w:leader="dot" w:pos="9638"/>
        </w:tabs>
        <w:spacing w:before="120" w:after="120"/>
        <w:rPr>
          <w:b/>
        </w:rPr>
      </w:pPr>
      <w:r w:rsidRPr="00D969FD">
        <w:rPr>
          <w:b/>
        </w:rPr>
        <w:t xml:space="preserve">Souhrn pojistného za sjednaná pojištění za jeden pojistný rok činí </w:t>
      </w:r>
      <w:r w:rsidRPr="00D969FD">
        <w:rPr>
          <w:b/>
        </w:rPr>
        <w:tab/>
        <w:t xml:space="preserve"> </w:t>
      </w:r>
      <w:r w:rsidR="00C72F98">
        <w:rPr>
          <w:b/>
        </w:rPr>
        <w:t>499 600</w:t>
      </w:r>
      <w:r w:rsidRPr="00D969FD">
        <w:rPr>
          <w:b/>
        </w:rPr>
        <w:t>,- Kč</w:t>
      </w:r>
    </w:p>
    <w:p w:rsidR="009B22B4" w:rsidRPr="00D969FD" w:rsidRDefault="009B22B4" w:rsidP="00CA7135">
      <w:pPr>
        <w:pStyle w:val="slovn-rove1-netun"/>
      </w:pPr>
      <w:r w:rsidRPr="00D969FD">
        <w:t xml:space="preserve">Pojistné je sjednáno jako běžné. </w:t>
      </w:r>
    </w:p>
    <w:p w:rsidR="009B22B4" w:rsidRPr="00D969FD" w:rsidRDefault="009B22B4" w:rsidP="003302A4">
      <w:pPr>
        <w:spacing w:after="120"/>
        <w:ind w:left="426"/>
      </w:pPr>
      <w:r w:rsidRPr="00D969FD">
        <w:t xml:space="preserve">Pojistné období je tříměsíční. Pojistné je splatné k datům a v částkách takto: </w:t>
      </w:r>
    </w:p>
    <w:p w:rsidR="00040A13" w:rsidRDefault="00040A13" w:rsidP="003302A4">
      <w:pPr>
        <w:tabs>
          <w:tab w:val="left" w:pos="3969"/>
        </w:tabs>
        <w:spacing w:before="120"/>
        <w:ind w:left="426"/>
        <w:rPr>
          <w:b/>
          <w:bCs/>
        </w:rPr>
      </w:pPr>
    </w:p>
    <w:p w:rsidR="009B22B4" w:rsidRPr="00040A13" w:rsidRDefault="009B22B4" w:rsidP="003302A4">
      <w:pPr>
        <w:tabs>
          <w:tab w:val="left" w:pos="3969"/>
        </w:tabs>
        <w:spacing w:before="120"/>
        <w:ind w:left="426"/>
        <w:rPr>
          <w:b/>
          <w:bCs/>
        </w:rPr>
      </w:pPr>
      <w:r w:rsidRPr="00040A13">
        <w:rPr>
          <w:b/>
          <w:bCs/>
        </w:rPr>
        <w:t>datum:</w:t>
      </w:r>
      <w:r w:rsidR="00C72F98" w:rsidRPr="00040A13">
        <w:rPr>
          <w:b/>
          <w:bCs/>
        </w:rPr>
        <w:t xml:space="preserve"> 1. 1. 2021</w:t>
      </w:r>
      <w:r w:rsidRPr="00040A13">
        <w:rPr>
          <w:b/>
          <w:bCs/>
        </w:rPr>
        <w:tab/>
        <w:t>částka:</w:t>
      </w:r>
      <w:r w:rsidR="00C72F98" w:rsidRPr="00040A13">
        <w:rPr>
          <w:b/>
          <w:bCs/>
        </w:rPr>
        <w:t xml:space="preserve"> 124 900 Kč</w:t>
      </w:r>
    </w:p>
    <w:p w:rsidR="00C72F98" w:rsidRPr="00040A13" w:rsidRDefault="00C72F98" w:rsidP="00C72F98">
      <w:pPr>
        <w:tabs>
          <w:tab w:val="left" w:pos="3969"/>
        </w:tabs>
        <w:spacing w:before="120"/>
        <w:ind w:left="426"/>
        <w:rPr>
          <w:b/>
          <w:bCs/>
        </w:rPr>
      </w:pPr>
      <w:r w:rsidRPr="00040A13">
        <w:rPr>
          <w:b/>
          <w:bCs/>
        </w:rPr>
        <w:t>datum: 1. 4. 2021</w:t>
      </w:r>
      <w:r w:rsidRPr="00040A13">
        <w:rPr>
          <w:b/>
          <w:bCs/>
        </w:rPr>
        <w:tab/>
        <w:t>částka: 124 900 Kč</w:t>
      </w:r>
    </w:p>
    <w:p w:rsidR="00C72F98" w:rsidRPr="00040A13" w:rsidRDefault="00C72F98" w:rsidP="00C72F98">
      <w:pPr>
        <w:tabs>
          <w:tab w:val="left" w:pos="3969"/>
        </w:tabs>
        <w:spacing w:before="120"/>
        <w:ind w:left="426"/>
        <w:rPr>
          <w:b/>
          <w:bCs/>
        </w:rPr>
      </w:pPr>
      <w:r w:rsidRPr="00040A13">
        <w:rPr>
          <w:b/>
          <w:bCs/>
        </w:rPr>
        <w:t>datum: 1. 7. 2021</w:t>
      </w:r>
      <w:r w:rsidRPr="00040A13">
        <w:rPr>
          <w:b/>
          <w:bCs/>
        </w:rPr>
        <w:tab/>
        <w:t>částka: 124 900 Kč</w:t>
      </w:r>
    </w:p>
    <w:p w:rsidR="00C72F98" w:rsidRPr="00040A13" w:rsidRDefault="00C72F98" w:rsidP="00C72F98">
      <w:pPr>
        <w:tabs>
          <w:tab w:val="left" w:pos="3969"/>
        </w:tabs>
        <w:spacing w:before="120"/>
        <w:ind w:left="426"/>
        <w:rPr>
          <w:b/>
          <w:bCs/>
        </w:rPr>
      </w:pPr>
      <w:r w:rsidRPr="00040A13">
        <w:rPr>
          <w:b/>
          <w:bCs/>
        </w:rPr>
        <w:t>datum: 1. 10. 2021</w:t>
      </w:r>
      <w:r w:rsidRPr="00040A13">
        <w:rPr>
          <w:b/>
          <w:bCs/>
        </w:rPr>
        <w:tab/>
        <w:t>částka: 124 900 Kč</w:t>
      </w:r>
    </w:p>
    <w:p w:rsidR="00040A13" w:rsidRPr="00040A13" w:rsidRDefault="00040A13" w:rsidP="00C72F98">
      <w:pPr>
        <w:spacing w:before="120" w:after="120"/>
        <w:ind w:left="426"/>
        <w:rPr>
          <w:b/>
          <w:bCs/>
        </w:rPr>
      </w:pPr>
    </w:p>
    <w:p w:rsidR="00C72F98" w:rsidRDefault="00C72F98" w:rsidP="00C72F98">
      <w:pPr>
        <w:spacing w:before="120" w:after="120"/>
        <w:ind w:left="426"/>
      </w:pPr>
      <w:r>
        <w:t>Pojistník je povinen uhradit pojistné v uvedené výši na účet pojistitele</w:t>
      </w:r>
    </w:p>
    <w:p w:rsidR="00C72F98" w:rsidRPr="00040A13" w:rsidRDefault="00C72F98" w:rsidP="00C72F98">
      <w:pPr>
        <w:spacing w:before="120" w:after="120"/>
        <w:ind w:left="426"/>
        <w:rPr>
          <w:b/>
          <w:bCs/>
        </w:rPr>
      </w:pPr>
      <w:r w:rsidRPr="00040A13">
        <w:rPr>
          <w:b/>
          <w:bCs/>
        </w:rPr>
        <w:t>peněžní ústav:</w:t>
      </w:r>
      <w:r w:rsidRPr="00040A13">
        <w:rPr>
          <w:b/>
          <w:bCs/>
        </w:rPr>
        <w:tab/>
      </w:r>
      <w:r w:rsidRPr="00040A13">
        <w:rPr>
          <w:b/>
          <w:bCs/>
        </w:rPr>
        <w:tab/>
        <w:t>Česká spořitelna, a. s.</w:t>
      </w:r>
    </w:p>
    <w:p w:rsidR="00C72F98" w:rsidRPr="00040A13" w:rsidRDefault="00C72F98" w:rsidP="00C72F98">
      <w:pPr>
        <w:spacing w:before="120" w:after="120"/>
        <w:ind w:left="426"/>
        <w:rPr>
          <w:b/>
          <w:bCs/>
        </w:rPr>
      </w:pPr>
      <w:r w:rsidRPr="00040A13">
        <w:rPr>
          <w:b/>
          <w:bCs/>
        </w:rPr>
        <w:t>číslo účtu / kód banky:</w:t>
      </w:r>
      <w:r w:rsidRPr="00040A13">
        <w:rPr>
          <w:b/>
          <w:bCs/>
        </w:rPr>
        <w:tab/>
        <w:t>2226222 / 0800</w:t>
      </w:r>
    </w:p>
    <w:p w:rsidR="009B22B4" w:rsidRDefault="00C72F98" w:rsidP="00C72F98">
      <w:pPr>
        <w:spacing w:before="120" w:after="120"/>
        <w:ind w:left="426"/>
        <w:rPr>
          <w:b/>
          <w:bCs/>
        </w:rPr>
      </w:pPr>
      <w:r w:rsidRPr="00040A13">
        <w:rPr>
          <w:b/>
          <w:bCs/>
        </w:rPr>
        <w:t>variabilní symbol:</w:t>
      </w:r>
      <w:r w:rsidRPr="00040A13">
        <w:rPr>
          <w:b/>
          <w:bCs/>
        </w:rPr>
        <w:tab/>
      </w:r>
      <w:r w:rsidRPr="00040A13">
        <w:rPr>
          <w:b/>
          <w:bCs/>
        </w:rPr>
        <w:tab/>
        <w:t>7721138433</w:t>
      </w:r>
    </w:p>
    <w:p w:rsidR="00040A13" w:rsidRPr="00040A13" w:rsidRDefault="00040A13" w:rsidP="00C72F98">
      <w:pPr>
        <w:spacing w:before="120" w:after="120"/>
        <w:ind w:left="426"/>
        <w:rPr>
          <w:b/>
          <w:bCs/>
          <w:color w:val="00B0F0"/>
          <w:szCs w:val="20"/>
        </w:rPr>
      </w:pPr>
    </w:p>
    <w:p w:rsidR="00E41C14" w:rsidRPr="00D969FD" w:rsidRDefault="00EE2B81" w:rsidP="00040A13">
      <w:pPr>
        <w:pStyle w:val="slovn-rove1-netun"/>
      </w:pPr>
      <w:r w:rsidRPr="00D969FD">
        <w:t xml:space="preserve">Smluvní strany se dohodly, </w:t>
      </w:r>
      <w:r w:rsidR="007666F9" w:rsidRPr="00D969FD">
        <w:t xml:space="preserve">že pokud bude v členském státě Evropské unie nebo Evropského hospodářského prostoru </w:t>
      </w:r>
      <w:r w:rsidR="00E41C14" w:rsidRPr="00D969FD">
        <w:t>zaveden</w:t>
      </w:r>
      <w:r w:rsidR="007666F9" w:rsidRPr="00D969FD">
        <w:t>a</w:t>
      </w:r>
      <w:r w:rsidR="00E41C14" w:rsidRPr="00D969FD">
        <w:t xml:space="preserve"> </w:t>
      </w:r>
      <w:r w:rsidR="007666F9" w:rsidRPr="00D969FD">
        <w:t xml:space="preserve">jiná pojistná </w:t>
      </w:r>
      <w:r w:rsidR="00E41C14" w:rsidRPr="00D969FD">
        <w:t>da</w:t>
      </w:r>
      <w:r w:rsidR="007666F9" w:rsidRPr="00D969FD">
        <w:t>ň</w:t>
      </w:r>
      <w:r w:rsidR="00D73531" w:rsidRPr="00D969FD">
        <w:t xml:space="preserve"> či jí obdobný poplatek </w:t>
      </w:r>
      <w:r w:rsidR="00E41C14" w:rsidRPr="00D969FD">
        <w:t xml:space="preserve">z pojištění sjednaného touto pojistnou smlouvou, </w:t>
      </w:r>
      <w:r w:rsidR="007666F9" w:rsidRPr="00D969FD">
        <w:t>než jak</w:t>
      </w:r>
      <w:r w:rsidR="00D73531" w:rsidRPr="00D969FD">
        <w:t>é</w:t>
      </w:r>
      <w:r w:rsidR="007666F9" w:rsidRPr="00D969FD">
        <w:t xml:space="preserve"> j</w:t>
      </w:r>
      <w:r w:rsidR="00D73531" w:rsidRPr="00D969FD">
        <w:t>sou</w:t>
      </w:r>
      <w:r w:rsidR="007666F9" w:rsidRPr="00D969FD">
        <w:t xml:space="preserve"> uveden</w:t>
      </w:r>
      <w:r w:rsidR="00D73531" w:rsidRPr="00D969FD">
        <w:t>y</w:t>
      </w:r>
      <w:r w:rsidR="007666F9" w:rsidRPr="00D969FD">
        <w:t xml:space="preserve"> v bod</w:t>
      </w:r>
      <w:r w:rsidR="0016123E" w:rsidRPr="00D969FD">
        <w:t>u</w:t>
      </w:r>
      <w:r w:rsidR="007666F9" w:rsidRPr="00D969FD">
        <w:t xml:space="preserve"> 1. tohoto článku a </w:t>
      </w:r>
      <w:r w:rsidR="00E41C14" w:rsidRPr="00D969FD">
        <w:t>kter</w:t>
      </w:r>
      <w:r w:rsidR="00D73531" w:rsidRPr="00D969FD">
        <w:t>é</w:t>
      </w:r>
      <w:r w:rsidR="00E41C14" w:rsidRPr="00D969FD">
        <w:t xml:space="preserve"> bude po nabytí účinnosti příslušných právních předpisů na území tohoto členského státu pojistitel povinen odvést, pojistník </w:t>
      </w:r>
      <w:r w:rsidR="007666F9" w:rsidRPr="00D969FD">
        <w:t xml:space="preserve">se </w:t>
      </w:r>
      <w:r w:rsidR="00E41C14" w:rsidRPr="00D969FD">
        <w:t xml:space="preserve">zavazuje uhradit nad rámec pojistného předepsaného v této pojistné smlouvě i náklady odpovídající této povinnosti. </w:t>
      </w:r>
    </w:p>
    <w:p w:rsidR="00040A13" w:rsidRDefault="00040A13" w:rsidP="00040A13">
      <w:pPr>
        <w:pStyle w:val="Nadpislnk"/>
        <w:keepNext w:val="0"/>
        <w:keepLines w:val="0"/>
      </w:pPr>
    </w:p>
    <w:p w:rsidR="00040A13" w:rsidRDefault="00040A13" w:rsidP="00040A13">
      <w:pPr>
        <w:pStyle w:val="Nadpislnk"/>
        <w:keepNext w:val="0"/>
        <w:keepLines w:val="0"/>
      </w:pPr>
    </w:p>
    <w:p w:rsidR="00040A13" w:rsidRDefault="00040A13" w:rsidP="00040A13">
      <w:pPr>
        <w:pStyle w:val="Nadpislnk"/>
        <w:keepNext w:val="0"/>
        <w:keepLines w:val="0"/>
      </w:pPr>
    </w:p>
    <w:p w:rsidR="00040A13" w:rsidRDefault="00040A13" w:rsidP="00040A13">
      <w:pPr>
        <w:pStyle w:val="Nadpislnk"/>
        <w:keepNext w:val="0"/>
        <w:keepLines w:val="0"/>
      </w:pPr>
    </w:p>
    <w:p w:rsidR="009B22B4" w:rsidRPr="00D969FD" w:rsidRDefault="009B22B4" w:rsidP="00040A13">
      <w:pPr>
        <w:pStyle w:val="Nadpislnk"/>
        <w:keepNext w:val="0"/>
        <w:keepLines w:val="0"/>
      </w:pPr>
      <w:r w:rsidRPr="00D969FD">
        <w:lastRenderedPageBreak/>
        <w:t>Článek IV.</w:t>
      </w:r>
      <w:r w:rsidR="00F425A6" w:rsidRPr="00D969FD">
        <w:br/>
      </w:r>
      <w:r w:rsidRPr="00D969FD">
        <w:t>Hlášení škodných událostí</w:t>
      </w:r>
    </w:p>
    <w:p w:rsidR="009B22B4" w:rsidRPr="00D969FD" w:rsidRDefault="009B22B4" w:rsidP="00373B1B">
      <w:pPr>
        <w:pStyle w:val="slovn-rove1-netunb"/>
        <w:spacing w:after="240"/>
      </w:pPr>
      <w:r w:rsidRPr="00D969FD">
        <w:t xml:space="preserve">Vznik škodné události je pojistník (pojištěný) povinen oznámit přímo nebo prostřednictvím zplnomocněného </w:t>
      </w:r>
      <w:r w:rsidR="0080630F" w:rsidRPr="00D969FD">
        <w:t>samostatného zprostředkovatele</w:t>
      </w:r>
      <w:r w:rsidRPr="00D969FD">
        <w:t xml:space="preserve"> </w:t>
      </w:r>
      <w:r w:rsidR="001518EF" w:rsidRPr="00D969FD">
        <w:t xml:space="preserve">v postavení pojišťovacího makléře </w:t>
      </w:r>
      <w:r w:rsidRPr="00D969FD">
        <w:t>bez zbytečného odkladu na jeden z níže uvedených kontaktních údajů:</w:t>
      </w:r>
    </w:p>
    <w:p w:rsidR="009B22B4" w:rsidRPr="00D969FD" w:rsidRDefault="009B22B4" w:rsidP="001600C3">
      <w:pPr>
        <w:spacing w:before="240"/>
        <w:ind w:left="425"/>
      </w:pPr>
      <w:r w:rsidRPr="00D969FD">
        <w:t xml:space="preserve">Kooperativa pojišťovna, a.s., </w:t>
      </w:r>
      <w:proofErr w:type="spellStart"/>
      <w:r w:rsidRPr="00D969FD">
        <w:t>Vienna</w:t>
      </w:r>
      <w:proofErr w:type="spellEnd"/>
      <w:r w:rsidRPr="00D969FD">
        <w:t xml:space="preserve"> </w:t>
      </w:r>
      <w:proofErr w:type="spellStart"/>
      <w:r w:rsidRPr="00D969FD">
        <w:t>Insurance</w:t>
      </w:r>
      <w:proofErr w:type="spellEnd"/>
      <w:r w:rsidRPr="00D969FD">
        <w:t xml:space="preserve"> </w:t>
      </w:r>
      <w:proofErr w:type="spellStart"/>
      <w:r w:rsidRPr="00D969FD">
        <w:t>Group</w:t>
      </w:r>
      <w:proofErr w:type="spellEnd"/>
    </w:p>
    <w:p w:rsidR="009B22B4" w:rsidRPr="00D969FD" w:rsidRDefault="009B22B4" w:rsidP="001600C3">
      <w:pPr>
        <w:ind w:left="425"/>
      </w:pPr>
      <w:r w:rsidRPr="00D969FD">
        <w:t>CENTRUM ZÁKAZNICKÉ PODPORY</w:t>
      </w:r>
    </w:p>
    <w:p w:rsidR="009B22B4" w:rsidRPr="00D969FD" w:rsidRDefault="009B22B4" w:rsidP="001600C3">
      <w:pPr>
        <w:ind w:left="425"/>
      </w:pPr>
      <w:r w:rsidRPr="00D969FD">
        <w:t>Centrální podatelna</w:t>
      </w:r>
    </w:p>
    <w:p w:rsidR="009B22B4" w:rsidRPr="00D969FD" w:rsidRDefault="009B22B4" w:rsidP="001600C3">
      <w:pPr>
        <w:ind w:left="425"/>
      </w:pPr>
      <w:r w:rsidRPr="00D969FD">
        <w:t>Brněnská 634</w:t>
      </w:r>
    </w:p>
    <w:p w:rsidR="009B22B4" w:rsidRPr="00D969FD" w:rsidRDefault="009B22B4" w:rsidP="001600C3">
      <w:pPr>
        <w:ind w:left="425"/>
      </w:pPr>
      <w:r w:rsidRPr="00D969FD">
        <w:t>664 42 Modřice</w:t>
      </w:r>
    </w:p>
    <w:p w:rsidR="009B22B4" w:rsidRPr="00D969FD" w:rsidRDefault="008119AB" w:rsidP="008119AB">
      <w:pPr>
        <w:spacing w:before="60" w:after="60"/>
        <w:ind w:left="425"/>
      </w:pPr>
      <w:r w:rsidRPr="00D969FD">
        <w:t>t</w:t>
      </w:r>
      <w:r w:rsidR="009B22B4" w:rsidRPr="00D969FD">
        <w:t>el.: 957 105 105</w:t>
      </w:r>
    </w:p>
    <w:p w:rsidR="009B22B4" w:rsidRPr="00D969FD" w:rsidRDefault="009B22B4" w:rsidP="001600C3">
      <w:pPr>
        <w:spacing w:after="60"/>
        <w:ind w:left="425"/>
      </w:pPr>
      <w:r w:rsidRPr="00D969FD">
        <w:t>fax: 547 212 602, 547 212 561</w:t>
      </w:r>
    </w:p>
    <w:p w:rsidR="00EE4DB1" w:rsidRPr="00D969FD" w:rsidRDefault="00EE4DB1" w:rsidP="00EE4DB1">
      <w:pPr>
        <w:spacing w:after="60"/>
        <w:ind w:left="425"/>
        <w:rPr>
          <w:rStyle w:val="Odkaznakoment"/>
        </w:rPr>
      </w:pPr>
      <w:r w:rsidRPr="00D969FD">
        <w:t>datová schránka: n6tetn3</w:t>
      </w:r>
    </w:p>
    <w:p w:rsidR="009B22B4" w:rsidRPr="00D969FD" w:rsidRDefault="009B22B4" w:rsidP="00EE4DB1">
      <w:pPr>
        <w:spacing w:after="60"/>
        <w:ind w:left="425"/>
      </w:pPr>
      <w:r w:rsidRPr="00D969FD">
        <w:t>www.koop.cz</w:t>
      </w:r>
    </w:p>
    <w:p w:rsidR="009B22B4" w:rsidRPr="00D969FD" w:rsidRDefault="009B22B4" w:rsidP="00373B1B">
      <w:pPr>
        <w:pStyle w:val="slovn-rove1-netunb"/>
      </w:pPr>
      <w:r w:rsidRPr="00D969FD">
        <w:t xml:space="preserve">Na výzvu pojistitele je pojistník (pojištěný nebo jakákoliv jiná osoba) povinen oznámit vznik škodné události písemnou formou. </w:t>
      </w:r>
    </w:p>
    <w:bookmarkEnd w:id="1"/>
    <w:p w:rsidR="00040A13" w:rsidRDefault="00040A13" w:rsidP="001600C3">
      <w:pPr>
        <w:pStyle w:val="Nadpislnk"/>
      </w:pPr>
    </w:p>
    <w:p w:rsidR="009B22B4" w:rsidRPr="00D969FD" w:rsidRDefault="009B22B4" w:rsidP="001600C3">
      <w:pPr>
        <w:pStyle w:val="Nadpislnk"/>
      </w:pPr>
      <w:r w:rsidRPr="00D969FD">
        <w:t>Článek V.</w:t>
      </w:r>
      <w:r w:rsidR="00F425A6" w:rsidRPr="00D969FD">
        <w:br/>
      </w:r>
      <w:r w:rsidRPr="00D969FD">
        <w:t>Zvláštní ujednání</w:t>
      </w:r>
    </w:p>
    <w:p w:rsidR="009B22B4" w:rsidRPr="00D969FD" w:rsidRDefault="009B22B4" w:rsidP="001A3629">
      <w:pPr>
        <w:pStyle w:val="slovn-rove1-netunb"/>
        <w:numPr>
          <w:ilvl w:val="0"/>
          <w:numId w:val="11"/>
        </w:numPr>
        <w:rPr>
          <w:i/>
          <w:color w:val="1BC404"/>
        </w:rPr>
      </w:pPr>
      <w:r w:rsidRPr="00D969FD">
        <w:t xml:space="preserve">Nastane-li škodná událost následkem povodně nebo v přímé souvislosti s povodní do 10 dnů po sjednání pojištění, není pojistitel z této škodné události povinen poskytnout pojistné plnění. </w:t>
      </w:r>
    </w:p>
    <w:p w:rsidR="009B22B4" w:rsidRPr="00D969FD" w:rsidRDefault="009B22B4" w:rsidP="001A3629">
      <w:pPr>
        <w:pStyle w:val="slovn-rove1-netunb"/>
        <w:numPr>
          <w:ilvl w:val="0"/>
          <w:numId w:val="11"/>
        </w:numPr>
      </w:pPr>
      <w:r w:rsidRPr="00D969FD">
        <w:t xml:space="preserve"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 </w:t>
      </w:r>
    </w:p>
    <w:p w:rsidR="009B22B4" w:rsidRPr="00D969FD" w:rsidRDefault="009B22B4" w:rsidP="001A3629">
      <w:pPr>
        <w:pStyle w:val="slovn-rove1-netunb"/>
        <w:numPr>
          <w:ilvl w:val="0"/>
          <w:numId w:val="11"/>
        </w:numPr>
      </w:pPr>
      <w:r w:rsidRPr="00D969FD">
        <w:t xml:space="preserve">Ujednává se, že se ruší ustanovení čl. 1 odst. 7) a 8), čl. 3 odst. 5), čl. 6 odst. 3) a čl. 9 ZPP P-150/14. </w:t>
      </w:r>
    </w:p>
    <w:p w:rsidR="00672A9C" w:rsidRPr="00D969FD" w:rsidRDefault="00672A9C" w:rsidP="000F4F19">
      <w:pPr>
        <w:pStyle w:val="slovn-rove1-netunb"/>
        <w:numPr>
          <w:ilvl w:val="0"/>
          <w:numId w:val="11"/>
        </w:numPr>
        <w:spacing w:after="0"/>
      </w:pPr>
      <w:r w:rsidRPr="00D969FD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</w:t>
      </w:r>
      <w:r w:rsidR="000F4F19" w:rsidRPr="00D969FD">
        <w:t xml:space="preserve"> v </w:t>
      </w:r>
      <w:r w:rsidRPr="00D969FD">
        <w:t>předchozí větě.</w:t>
      </w:r>
    </w:p>
    <w:p w:rsidR="00040A13" w:rsidRDefault="00040A13" w:rsidP="00631371">
      <w:pPr>
        <w:pStyle w:val="Nadpislnk"/>
      </w:pPr>
    </w:p>
    <w:p w:rsidR="009B22B4" w:rsidRPr="00D969FD" w:rsidRDefault="009B22B4" w:rsidP="00631371">
      <w:pPr>
        <w:pStyle w:val="Nadpislnk"/>
      </w:pPr>
      <w:r w:rsidRPr="00D969FD">
        <w:t>Článek VI.</w:t>
      </w:r>
      <w:r w:rsidR="00F425A6" w:rsidRPr="00D969FD">
        <w:br/>
      </w:r>
      <w:bookmarkStart w:id="3" w:name="_Hlk35257414"/>
      <w:r w:rsidRPr="00D969FD">
        <w:t>Prohlášení</w:t>
      </w:r>
      <w:r w:rsidR="0033271C" w:rsidRPr="00D969FD">
        <w:t xml:space="preserve"> pojistníka</w:t>
      </w:r>
      <w:r w:rsidR="0020536F" w:rsidRPr="00D969FD">
        <w:t>, registr smluv, zpracování osobních údajů</w:t>
      </w:r>
      <w:bookmarkEnd w:id="3"/>
    </w:p>
    <w:p w:rsidR="0020536F" w:rsidRPr="00D969FD" w:rsidRDefault="0020536F" w:rsidP="001A3629">
      <w:pPr>
        <w:pStyle w:val="slovn-rove1-netunb"/>
        <w:numPr>
          <w:ilvl w:val="0"/>
          <w:numId w:val="12"/>
        </w:numPr>
        <w:rPr>
          <w:b/>
        </w:rPr>
      </w:pPr>
      <w:r w:rsidRPr="00D969FD">
        <w:rPr>
          <w:b/>
        </w:rPr>
        <w:t>Prohlášení pojistníka</w:t>
      </w:r>
    </w:p>
    <w:p w:rsidR="0020536F" w:rsidRPr="00D969FD" w:rsidRDefault="0020536F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D969FD">
        <w:rPr>
          <w:b w:val="0"/>
        </w:rPr>
        <w:t>Pojistník potvrzuje, že v dostatečném předstihu před uzavřením pojistné smlouvy převzal v listinné nebo, s jeho souhlasem, v jiné textové podobě (např. na trvalém nosiči dat</w:t>
      </w:r>
      <w:r w:rsidR="00C86E6E" w:rsidRPr="00D969FD">
        <w:rPr>
          <w:b w:val="0"/>
        </w:rPr>
        <w:t>, prostřednictvím e-mailu nebo elektronického úložiště dat</w:t>
      </w:r>
      <w:r w:rsidRPr="00D969FD">
        <w:rPr>
          <w:b w:val="0"/>
        </w:rPr>
        <w:t>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20536F" w:rsidRPr="00D969FD" w:rsidRDefault="0020536F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D969FD">
        <w:rPr>
          <w:b w:val="0"/>
        </w:rPr>
        <w:t>Pojistník potvrzuje, že před uzavřením pojistné smlouvy mu byly oznámeny informace v souladu s ustanovením § 2760 občanského zákoníku.</w:t>
      </w:r>
    </w:p>
    <w:p w:rsidR="0020536F" w:rsidRPr="00D969FD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D969FD">
        <w:rPr>
          <w:b w:val="0"/>
        </w:rPr>
        <w:t>Pojistník potvrzuje, že v dostatečném předstihu před uzavřením pojistné smlouvy převzal v listinné nebo jiné textové podobě (např. na trvalém nosiči dat</w:t>
      </w:r>
      <w:r w:rsidR="00C86E6E" w:rsidRPr="00D969FD">
        <w:rPr>
          <w:b w:val="0"/>
        </w:rPr>
        <w:t>, prostřednictvím e-mailu nebo elektronického úložiště dat</w:t>
      </w:r>
      <w:r w:rsidRPr="00D969FD">
        <w:rPr>
          <w:b w:val="0"/>
        </w:rPr>
        <w:t xml:space="preserve">) dokumenty uvedené v čl. I. bodu 2. této pojistné smlouvy a seznámil se s nimi. Pojistník si je vědom, že tyto </w:t>
      </w:r>
      <w:r w:rsidRPr="00D969FD">
        <w:rPr>
          <w:b w:val="0"/>
        </w:rPr>
        <w:lastRenderedPageBreak/>
        <w:t>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3F4040" w:rsidRPr="00D969FD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D969FD">
        <w:rPr>
          <w:b w:val="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3F4040" w:rsidRPr="00D969FD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D969FD">
        <w:rPr>
          <w:b w:val="0"/>
        </w:rPr>
        <w:t>Pojistník prohlašuje, že má oprávněnou potřebu ochrany před následky pojistné události (pojistný zájem).</w:t>
      </w:r>
      <w:r w:rsidRPr="00D969FD">
        <w:rPr>
          <w:b w:val="0"/>
        </w:rPr>
        <w:br/>
        <w:t>Pojistník, je-li osobou odlišnou od pojištěného, dále prohlašuje, že mu pojištění dali souhlas k pojištění.</w:t>
      </w:r>
    </w:p>
    <w:p w:rsidR="009B22B4" w:rsidRPr="00D969FD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D969FD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F32EDB" w:rsidRPr="00D969FD" w:rsidRDefault="00F32EDB" w:rsidP="00075B5B">
      <w:pPr>
        <w:pStyle w:val="slovn-rove1-netunb"/>
        <w:keepNext/>
        <w:numPr>
          <w:ilvl w:val="0"/>
          <w:numId w:val="12"/>
        </w:numPr>
        <w:rPr>
          <w:b/>
          <w:color w:val="000000"/>
        </w:rPr>
      </w:pPr>
      <w:r w:rsidRPr="00D969FD">
        <w:rPr>
          <w:b/>
          <w:color w:val="000000"/>
        </w:rPr>
        <w:t>Registr smluv</w:t>
      </w:r>
    </w:p>
    <w:p w:rsidR="00CB2A97" w:rsidRPr="00D969FD" w:rsidRDefault="00A10D0D" w:rsidP="001A3629">
      <w:pPr>
        <w:pStyle w:val="slovn-rove1-netunb"/>
        <w:numPr>
          <w:ilvl w:val="1"/>
          <w:numId w:val="12"/>
        </w:numPr>
        <w:rPr>
          <w:color w:val="000000"/>
        </w:rPr>
      </w:pPr>
      <w:r w:rsidRPr="00D969FD">
        <w:rPr>
          <w:color w:val="000000"/>
        </w:rPr>
        <w:t xml:space="preserve">Pokud </w:t>
      </w:r>
      <w:r w:rsidR="00E35708" w:rsidRPr="00D969FD">
        <w:rPr>
          <w:color w:val="000000"/>
        </w:rPr>
        <w:t>výše uvedená</w:t>
      </w:r>
      <w:r w:rsidRPr="00D969FD">
        <w:rPr>
          <w:color w:val="000000"/>
        </w:rPr>
        <w:t xml:space="preserve"> pojistná smlouva, resp. dodatek k pojistné smlouvě (dále jen „</w:t>
      </w:r>
      <w:r w:rsidRPr="00D969FD">
        <w:rPr>
          <w:b/>
          <w:color w:val="000000"/>
        </w:rPr>
        <w:t>smlouva</w:t>
      </w:r>
      <w:r w:rsidRPr="00D969FD">
        <w:rPr>
          <w:color w:val="000000"/>
        </w:rPr>
        <w:t>“) podléhá povinnosti uveřejnění v registru smluv (dále jen „</w:t>
      </w:r>
      <w:r w:rsidRPr="00D969FD">
        <w:rPr>
          <w:b/>
          <w:color w:val="000000"/>
        </w:rPr>
        <w:t>registr</w:t>
      </w:r>
      <w:r w:rsidRPr="00D969FD">
        <w:rPr>
          <w:color w:val="000000"/>
        </w:rPr>
        <w:t>“) ve smyslu zákona č. 340/20</w:t>
      </w:r>
      <w:r w:rsidR="00C05209" w:rsidRPr="00D969FD">
        <w:rPr>
          <w:color w:val="000000"/>
        </w:rPr>
        <w:t>15 Sb., zavazuje se pojistník k </w:t>
      </w:r>
      <w:r w:rsidRPr="00D969FD">
        <w:rPr>
          <w:color w:val="000000"/>
        </w:rPr>
        <w:t xml:space="preserve">jejímu uveřejnění v rozsahu, způsobem a ve lhůtách stanovených citovaným zákonem. To nezbavuje pojistitele práva, aby smlouvu uveřejnil v registru sám, s čímž pojistník souhlasí. Pokud je pojistník odlišný od pojištěného, pojistník dále potvrzuje, že </w:t>
      </w:r>
      <w:r w:rsidR="00E35708" w:rsidRPr="00D969FD">
        <w:rPr>
          <w:color w:val="000000"/>
        </w:rPr>
        <w:t xml:space="preserve">každý </w:t>
      </w:r>
      <w:r w:rsidRPr="00D969FD">
        <w:rPr>
          <w:color w:val="000000"/>
        </w:rPr>
        <w:t xml:space="preserve">pojištěný souhlasil s uveřejněním smlouvy. </w:t>
      </w:r>
    </w:p>
    <w:p w:rsidR="00F110AA" w:rsidRPr="00D969FD" w:rsidRDefault="00A10D0D" w:rsidP="00CB2A97">
      <w:pPr>
        <w:pStyle w:val="slovn-rove1-netunb"/>
        <w:numPr>
          <w:ilvl w:val="0"/>
          <w:numId w:val="0"/>
        </w:numPr>
        <w:ind w:left="425"/>
      </w:pPr>
      <w:r w:rsidRPr="00D969FD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D969FD">
        <w:rPr>
          <w:b/>
          <w:bCs/>
          <w:color w:val="000000"/>
        </w:rPr>
        <w:t>Datová schránka</w:t>
      </w:r>
      <w:r w:rsidRPr="00D969FD">
        <w:rPr>
          <w:color w:val="000000"/>
        </w:rPr>
        <w:t xml:space="preserve">“ uvést: </w:t>
      </w:r>
      <w:r w:rsidRPr="00D969FD">
        <w:rPr>
          <w:b/>
          <w:bCs/>
          <w:color w:val="000000"/>
        </w:rPr>
        <w:t>n6tetn3</w:t>
      </w:r>
      <w:r w:rsidRPr="00D969FD">
        <w:rPr>
          <w:color w:val="000000"/>
        </w:rPr>
        <w:t xml:space="preserve"> a do pole „</w:t>
      </w:r>
      <w:r w:rsidRPr="00D969FD">
        <w:rPr>
          <w:b/>
          <w:bCs/>
          <w:color w:val="000000"/>
        </w:rPr>
        <w:t>Číslo smlouvy</w:t>
      </w:r>
      <w:r w:rsidRPr="00D969FD">
        <w:rPr>
          <w:color w:val="000000"/>
        </w:rPr>
        <w:t>“ uvést</w:t>
      </w:r>
      <w:r w:rsidR="001505A8" w:rsidRPr="00D969FD">
        <w:rPr>
          <w:color w:val="000000"/>
        </w:rPr>
        <w:t xml:space="preserve"> číslo této pojistné smlouvy.</w:t>
      </w:r>
    </w:p>
    <w:p w:rsidR="00C05209" w:rsidRPr="00D969FD" w:rsidRDefault="00A10D0D" w:rsidP="00C05209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D969FD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A10D0D" w:rsidRPr="00D969FD" w:rsidRDefault="00392165" w:rsidP="00C05209">
      <w:pPr>
        <w:pStyle w:val="slovn-rove1-netunb"/>
        <w:numPr>
          <w:ilvl w:val="0"/>
          <w:numId w:val="0"/>
        </w:numPr>
        <w:ind w:left="425"/>
      </w:pPr>
      <w:hyperlink r:id="rId12" w:anchor="_blank" w:tooltip="Neuveřejnitelné údaje_ZRS_20170215.docx" w:history="1">
        <w:r w:rsidR="00A10D0D" w:rsidRPr="00D969FD">
          <w:t>Smluvní strany se dohodly, že ode dne nabytí účinnosti smlouvy</w:t>
        </w:r>
        <w:r w:rsidR="00E35708" w:rsidRPr="00D969FD">
          <w:t xml:space="preserve"> (resp. dodatku)</w:t>
        </w:r>
        <w:r w:rsidR="00A10D0D" w:rsidRPr="00D969FD">
          <w:t xml:space="preserve">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F32EDB" w:rsidRPr="00D969FD" w:rsidRDefault="00F32EDB" w:rsidP="001A3629">
      <w:pPr>
        <w:pStyle w:val="slovn-rove1-netunb"/>
        <w:numPr>
          <w:ilvl w:val="0"/>
          <w:numId w:val="12"/>
        </w:numPr>
        <w:rPr>
          <w:b/>
          <w:color w:val="000000"/>
        </w:rPr>
      </w:pPr>
      <w:r w:rsidRPr="00D969FD">
        <w:rPr>
          <w:b/>
          <w:color w:val="000000"/>
        </w:rPr>
        <w:t>Z</w:t>
      </w:r>
      <w:r w:rsidR="002918B2" w:rsidRPr="00D969FD">
        <w:rPr>
          <w:b/>
          <w:color w:val="000000"/>
        </w:rPr>
        <w:t>PRACOVÁNÍ OSOBNÍCH ÚDAJŮ</w:t>
      </w:r>
    </w:p>
    <w:p w:rsidR="00F32EDB" w:rsidRPr="00D969FD" w:rsidRDefault="005F302D" w:rsidP="002918B2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D969FD">
        <w:rPr>
          <w:color w:val="000000"/>
        </w:rPr>
        <w:t>V následující části jsou uvedeny základní informace o zpracování Vašich osobních údajů. Tyto informace se na Vás uplatní, pokud jste fyzickou osobou, a to s výjimkou bodu 3.2., kter</w:t>
      </w:r>
      <w:r w:rsidR="00170C0B" w:rsidRPr="00D969FD">
        <w:rPr>
          <w:color w:val="000000"/>
        </w:rPr>
        <w:t>ý</w:t>
      </w:r>
      <w:r w:rsidRPr="00D969FD">
        <w:rPr>
          <w:color w:val="000000"/>
        </w:rPr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3" w:history="1">
        <w:r w:rsidR="002918B2" w:rsidRPr="00D969FD">
          <w:rPr>
            <w:rStyle w:val="Hypertextovodkaz"/>
            <w:rFonts w:cs="Calibri"/>
          </w:rPr>
          <w:t>www.koop.cz</w:t>
        </w:r>
      </w:hyperlink>
      <w:r w:rsidRPr="00D969FD">
        <w:rPr>
          <w:color w:val="000000"/>
        </w:rPr>
        <w:t xml:space="preserve"> v sekci „O pojišťovně Kooperativa“.</w:t>
      </w:r>
    </w:p>
    <w:p w:rsidR="005F302D" w:rsidRPr="00D969FD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D969FD">
        <w:rPr>
          <w:b/>
          <w:szCs w:val="20"/>
        </w:rPr>
        <w:t xml:space="preserve">INFORMACE O ZPRACOVÁNÍ OSOBNÍCH ÚDAJŮ </w:t>
      </w:r>
      <w:r w:rsidRPr="00D969FD">
        <w:rPr>
          <w:b/>
          <w:szCs w:val="20"/>
          <w:u w:val="single"/>
        </w:rPr>
        <w:t>BEZ VAŠEHO SOUHLASU</w:t>
      </w:r>
    </w:p>
    <w:p w:rsidR="002918B2" w:rsidRPr="00D969FD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D969FD">
        <w:rPr>
          <w:b/>
          <w:szCs w:val="20"/>
        </w:rPr>
        <w:t>Zpracování na základě plnění smlouvy a oprávněných zájmů pojistitele</w:t>
      </w:r>
    </w:p>
    <w:p w:rsidR="002918B2" w:rsidRPr="00D969FD" w:rsidRDefault="002918B2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D969FD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D969FD" w:rsidDel="00141904">
        <w:rPr>
          <w:rFonts w:ascii="Koop Office" w:hAnsi="Koop Office"/>
          <w:sz w:val="20"/>
        </w:rPr>
        <w:t xml:space="preserve"> </w:t>
      </w:r>
      <w:r w:rsidRPr="00D969FD">
        <w:rPr>
          <w:rFonts w:ascii="Koop Office" w:hAnsi="Koop Office"/>
          <w:sz w:val="20"/>
        </w:rPr>
        <w:t>zpracovává pojistitel:</w:t>
      </w:r>
    </w:p>
    <w:p w:rsidR="002918B2" w:rsidRPr="00D969FD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D969FD">
        <w:rPr>
          <w:rFonts w:ascii="Koop Office" w:hAnsi="Koop Office"/>
          <w:sz w:val="20"/>
          <w:szCs w:val="20"/>
        </w:rPr>
        <w:t xml:space="preserve">pro účely </w:t>
      </w:r>
      <w:r w:rsidRPr="00D969FD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D969FD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D969FD">
        <w:rPr>
          <w:rFonts w:ascii="Koop Office" w:hAnsi="Koop Office"/>
          <w:b/>
          <w:sz w:val="20"/>
          <w:szCs w:val="20"/>
        </w:rPr>
        <w:t>plnění smlouvy</w:t>
      </w:r>
      <w:r w:rsidRPr="00D969FD">
        <w:rPr>
          <w:rFonts w:ascii="Koop Office" w:hAnsi="Koop Office"/>
          <w:sz w:val="20"/>
          <w:szCs w:val="20"/>
        </w:rPr>
        <w:t>, a</w:t>
      </w:r>
    </w:p>
    <w:p w:rsidR="002918B2" w:rsidRPr="00D969FD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D969FD">
        <w:rPr>
          <w:rFonts w:ascii="Koop Office" w:hAnsi="Koop Office"/>
          <w:sz w:val="20"/>
          <w:szCs w:val="20"/>
        </w:rPr>
        <w:t xml:space="preserve">pro účely </w:t>
      </w:r>
      <w:r w:rsidRPr="00D969FD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D969FD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D969FD">
        <w:rPr>
          <w:rFonts w:ascii="Koop Office" w:hAnsi="Koop Office"/>
          <w:b/>
          <w:sz w:val="20"/>
          <w:szCs w:val="20"/>
        </w:rPr>
        <w:t>oprávněných zájmů</w:t>
      </w:r>
      <w:r w:rsidRPr="00D969FD">
        <w:rPr>
          <w:rFonts w:ascii="Koop Office" w:hAnsi="Koop Office"/>
          <w:sz w:val="20"/>
          <w:szCs w:val="20"/>
        </w:rPr>
        <w:t xml:space="preserve"> pojistitele. </w:t>
      </w:r>
      <w:r w:rsidRPr="00D969FD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D969FD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D969FD">
        <w:rPr>
          <w:rFonts w:ascii="Koop Office" w:hAnsi="Koop Office" w:cs="Calibri"/>
          <w:sz w:val="20"/>
          <w:szCs w:val="20"/>
        </w:rPr>
        <w:t>.</w:t>
      </w:r>
    </w:p>
    <w:p w:rsidR="002918B2" w:rsidRPr="00D969FD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D969FD">
        <w:rPr>
          <w:b/>
          <w:szCs w:val="20"/>
        </w:rPr>
        <w:t>Zpracování pro účely plnění zákonné povinnosti</w:t>
      </w:r>
    </w:p>
    <w:p w:rsidR="002918B2" w:rsidRPr="00D969FD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color w:val="000000"/>
        </w:rPr>
      </w:pPr>
      <w:r w:rsidRPr="00D969FD">
        <w:lastRenderedPageBreak/>
        <w:t xml:space="preserve">Pojistník bere na vědomí, že jeho identifikační a kontaktní údaje a údaje pro ocenění rizika při vstupu do pojištění pojistitel dále zpracovává ke </w:t>
      </w:r>
      <w:r w:rsidRPr="00D969FD">
        <w:rPr>
          <w:b/>
        </w:rPr>
        <w:t>splnění své zákonné povinnosti</w:t>
      </w:r>
      <w:r w:rsidRPr="00D969FD">
        <w:t xml:space="preserve"> vyplývající zejména ze zákona upravujícího distribuci pojištění a zákona č. 69/2006 Sb., o provádění mezinárodních sankcí.</w:t>
      </w:r>
    </w:p>
    <w:p w:rsidR="002918B2" w:rsidRPr="00D969FD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D969FD">
        <w:rPr>
          <w:b/>
          <w:szCs w:val="20"/>
        </w:rPr>
        <w:t>POVINNOST POJISTNÍKA INFORMOVAT TŘETÍ OSOBY</w:t>
      </w:r>
    </w:p>
    <w:p w:rsidR="00261E14" w:rsidRPr="00D969FD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D969FD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261E14" w:rsidRPr="00D969FD" w:rsidRDefault="00261E14" w:rsidP="001A3629">
      <w:pPr>
        <w:pStyle w:val="slovn-rove1-netunb"/>
        <w:numPr>
          <w:ilvl w:val="1"/>
          <w:numId w:val="12"/>
        </w:numPr>
        <w:rPr>
          <w:b/>
          <w:szCs w:val="20"/>
        </w:rPr>
      </w:pPr>
      <w:r w:rsidRPr="00D969FD">
        <w:rPr>
          <w:b/>
          <w:szCs w:val="20"/>
        </w:rPr>
        <w:t xml:space="preserve">INFORMACE O ZPRACOVÁNÍ OSOBNÍCH ÚDAJŮ ZÁSTUPCE POJISTNÍKA </w:t>
      </w:r>
    </w:p>
    <w:p w:rsidR="00261E14" w:rsidRPr="00D969FD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D969FD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D969FD">
        <w:rPr>
          <w:rFonts w:ascii="Koop Office" w:hAnsi="Koop Office"/>
          <w:b/>
          <w:bCs/>
          <w:sz w:val="20"/>
        </w:rPr>
        <w:t>oprávněného zájmu</w:t>
      </w:r>
      <w:r w:rsidRPr="00D969FD">
        <w:rPr>
          <w:rFonts w:ascii="Koop Office" w:hAnsi="Koop Office"/>
          <w:sz w:val="20"/>
        </w:rPr>
        <w:t xml:space="preserve"> pro účely</w:t>
      </w:r>
      <w:r w:rsidRPr="00D969FD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D969FD">
        <w:rPr>
          <w:rFonts w:ascii="Koop Office" w:hAnsi="Koop Office"/>
          <w:sz w:val="20"/>
        </w:rPr>
        <w:t xml:space="preserve">. </w:t>
      </w:r>
      <w:r w:rsidRPr="00D969FD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D969FD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D969FD">
        <w:rPr>
          <w:rFonts w:ascii="Koop Office" w:hAnsi="Koop Office" w:cs="Calibri"/>
          <w:sz w:val="20"/>
        </w:rPr>
        <w:t>.</w:t>
      </w:r>
    </w:p>
    <w:p w:rsidR="00261E14" w:rsidRPr="00D969FD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D969FD">
        <w:rPr>
          <w:rFonts w:ascii="Koop Office" w:hAnsi="Koop Office"/>
          <w:b/>
          <w:sz w:val="20"/>
        </w:rPr>
        <w:t>Zpracování pro účely plnění zákonné povinnosti</w:t>
      </w:r>
    </w:p>
    <w:p w:rsidR="00261E14" w:rsidRPr="00D969FD" w:rsidRDefault="00261E14" w:rsidP="00571ACF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D969FD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D969FD">
        <w:rPr>
          <w:rFonts w:ascii="Koop Office" w:hAnsi="Koop Office"/>
          <w:b/>
          <w:sz w:val="20"/>
        </w:rPr>
        <w:t>splnění své zákonné povinnosti</w:t>
      </w:r>
      <w:r w:rsidRPr="00D969FD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261E14" w:rsidRPr="00D969FD" w:rsidRDefault="00261E14" w:rsidP="00CE0327">
      <w:pPr>
        <w:pStyle w:val="Nadpislnk"/>
        <w:spacing w:before="0"/>
        <w:ind w:left="425"/>
        <w:jc w:val="both"/>
      </w:pPr>
      <w:r w:rsidRPr="00D969FD">
        <w:rPr>
          <w:rFonts w:cs="Calibri"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</w:t>
      </w:r>
      <w:r w:rsidR="0079074F" w:rsidRPr="00D969FD">
        <w:rPr>
          <w:rFonts w:cs="Calibri"/>
          <w:sz w:val="20"/>
          <w:szCs w:val="20"/>
        </w:rPr>
        <w:t>í</w:t>
      </w:r>
      <w:r w:rsidRPr="00D969FD">
        <w:rPr>
          <w:rFonts w:cs="Calibri"/>
          <w:sz w:val="20"/>
          <w:szCs w:val="20"/>
        </w:rPr>
        <w:t>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040A13" w:rsidRDefault="00040A13" w:rsidP="00631371">
      <w:pPr>
        <w:pStyle w:val="Nadpislnk"/>
      </w:pPr>
    </w:p>
    <w:p w:rsidR="009B22B4" w:rsidRPr="00D969FD" w:rsidRDefault="009B22B4" w:rsidP="00631371">
      <w:pPr>
        <w:pStyle w:val="Nadpislnk"/>
      </w:pPr>
      <w:r w:rsidRPr="00D969FD">
        <w:t>Článek VII.</w:t>
      </w:r>
      <w:r w:rsidR="00F425A6" w:rsidRPr="00D969FD">
        <w:br/>
      </w:r>
      <w:r w:rsidRPr="00D969FD">
        <w:t>Závěrečná ustanovení</w:t>
      </w:r>
    </w:p>
    <w:p w:rsidR="009B22B4" w:rsidRPr="00D969FD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D969FD">
        <w:t xml:space="preserve">Není-li ujednáno jinak, je pojistnou dobou doba od </w:t>
      </w:r>
      <w:r w:rsidR="00040A13">
        <w:t>1. 1. 2021</w:t>
      </w:r>
      <w:r w:rsidRPr="00D969FD">
        <w:t xml:space="preserve"> (počátek pojištění) do </w:t>
      </w:r>
      <w:r w:rsidR="00040A13">
        <w:t>31. 12. 2021</w:t>
      </w:r>
      <w:r w:rsidR="00AE6E36" w:rsidRPr="00D969FD">
        <w:t xml:space="preserve"> </w:t>
      </w:r>
      <w:r w:rsidRPr="00D969FD">
        <w:t>(konec pojištění).</w:t>
      </w:r>
    </w:p>
    <w:p w:rsidR="0033271C" w:rsidRPr="00D969FD" w:rsidRDefault="0033271C" w:rsidP="0033271C">
      <w:pPr>
        <w:pStyle w:val="slovn-rove1-netunb"/>
        <w:numPr>
          <w:ilvl w:val="0"/>
          <w:numId w:val="0"/>
        </w:numPr>
        <w:spacing w:after="0"/>
        <w:ind w:left="425"/>
      </w:pPr>
      <w:bookmarkStart w:id="4" w:name="_Hlk35260018"/>
      <w:r w:rsidRPr="00D969FD">
        <w:t>Je-li tato pojistná smlouva uzavřena po datu uvedeném jako počátek pojištění, pojištění se vztahuje i na dobu od data uvedeného jako počátek pojištění do uzavření této pojistné smlouvy</w:t>
      </w:r>
      <w:r w:rsidR="00950DA9" w:rsidRPr="00D969FD">
        <w:t>; p</w:t>
      </w:r>
      <w:r w:rsidRPr="00D969FD">
        <w:t>ojistitel však z tohoto pojištění není povinen poskytnout plnění, pokud pojistník a/nebo pojištěný a/nebo oprávněná osoba a/nebo jiná osoba, která uplatňuje právo na plnění pojistitele, v době uzavření této pojistné smlouvy věděl(a) nebo s přihlédnutím ke všem okolnostem mohl(a) vědět, že již nastala skutečnost, která by se mohla stát důvodem vzniku práva na plnění pojistitele z této pojistné smlouvy, vyjma takových skutečností, které již byly pojistiteli jakoukoli z výše uvedených osob oznámeny před odesláním návrhu pojistitele na uzavření této pojistné smlouvy.</w:t>
      </w:r>
    </w:p>
    <w:bookmarkEnd w:id="4"/>
    <w:p w:rsidR="009B22B4" w:rsidRPr="00D969FD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D969FD">
        <w:t>Odpověď pojistníka na návrh pojistitele na uzavření této pojistné smlouvy (dále jen „</w:t>
      </w:r>
      <w:r w:rsidRPr="00D969FD">
        <w:rPr>
          <w:b/>
        </w:rPr>
        <w:t>nabídka</w:t>
      </w:r>
      <w:r w:rsidRPr="00D969FD">
        <w:t>“) s dodatkem nebo odchylkou od nabídky se nepovažuje za její přijetí, a to ani v případě, že se takovou odchylkou podstatně nemění podmínky nabídky.</w:t>
      </w:r>
    </w:p>
    <w:p w:rsidR="009B22B4" w:rsidRPr="00D969FD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D969FD"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FC60F7" w:rsidRPr="00D969FD" w:rsidRDefault="00FC60F7" w:rsidP="00AD76D2">
      <w:pPr>
        <w:pStyle w:val="slovn-rove1-netunb"/>
        <w:numPr>
          <w:ilvl w:val="0"/>
          <w:numId w:val="13"/>
        </w:numPr>
        <w:spacing w:after="0"/>
        <w:rPr>
          <w:b/>
          <w:bCs/>
        </w:rPr>
      </w:pPr>
      <w:bookmarkStart w:id="5" w:name="_Hlk35256917"/>
      <w:r w:rsidRPr="00D969FD">
        <w:rPr>
          <w:b/>
          <w:bCs/>
        </w:rPr>
        <w:t xml:space="preserve">Ujednává se, že je-li tato pojistná smlouva uzavírána elektronickými prostředky, musí být podepsána elektronickým podpisem ve smyslu příslušných právních předpisů. Podepíše-li pojistník tuto pojistnou smlouvu jiným elektronickým podpisem než uznávaným elektronickým podpisem </w:t>
      </w:r>
      <w:r w:rsidRPr="00D969FD">
        <w:t>ve smyslu zákona č.</w:t>
      </w:r>
      <w:r w:rsidR="000F12B8" w:rsidRPr="00D969FD">
        <w:t> </w:t>
      </w:r>
      <w:r w:rsidRPr="00D969FD">
        <w:t xml:space="preserve">297/2016 Sb., o službách vytvářejících důvěru pro elektronické transakce, </w:t>
      </w:r>
      <w:r w:rsidRPr="00D969FD">
        <w:rPr>
          <w:b/>
          <w:bCs/>
        </w:rPr>
        <w:t xml:space="preserve">a nezaplatí-li jednorázové pojistné nebo běžné pojistné za první pojistné období </w:t>
      </w:r>
      <w:r w:rsidR="001527A2" w:rsidRPr="00D969FD">
        <w:rPr>
          <w:b/>
          <w:bCs/>
        </w:rPr>
        <w:t xml:space="preserve">řádně a </w:t>
      </w:r>
      <w:r w:rsidRPr="00D969FD">
        <w:rPr>
          <w:b/>
          <w:bCs/>
        </w:rPr>
        <w:t>včas</w:t>
      </w:r>
      <w:r w:rsidR="001527A2" w:rsidRPr="00D969FD">
        <w:rPr>
          <w:b/>
          <w:bCs/>
        </w:rPr>
        <w:t xml:space="preserve">, </w:t>
      </w:r>
      <w:r w:rsidR="00D80159" w:rsidRPr="00D969FD">
        <w:rPr>
          <w:b/>
          <w:bCs/>
        </w:rPr>
        <w:t>pojistná smlouva se od počátku ruší.</w:t>
      </w:r>
    </w:p>
    <w:bookmarkEnd w:id="5"/>
    <w:p w:rsidR="009B22B4" w:rsidRPr="00D969FD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D969FD">
        <w:t>Subjektem věcně příslušným k mimosoudnímu řešení spotřebitelských sporů z tohoto pojištění je Česká obchodní inspekce, Štěpánská 567/15, 120 00 Praha 2, www.coi.cz.</w:t>
      </w:r>
    </w:p>
    <w:p w:rsidR="00C448AC" w:rsidRPr="00D969FD" w:rsidRDefault="00C448AC" w:rsidP="00C448AC">
      <w:pPr>
        <w:pStyle w:val="slovn-rove1-netunb"/>
        <w:numPr>
          <w:ilvl w:val="0"/>
          <w:numId w:val="13"/>
        </w:numPr>
        <w:spacing w:after="0"/>
      </w:pPr>
      <w:bookmarkStart w:id="6" w:name="_Hlk35263904"/>
      <w:bookmarkStart w:id="7" w:name="_Ref489759092"/>
      <w:r w:rsidRPr="00D969FD">
        <w:lastRenderedPageBreak/>
        <w:t>Pojistník</w:t>
      </w:r>
      <w:r w:rsidR="00457031" w:rsidRPr="00D969FD">
        <w:t xml:space="preserve"> i</w:t>
      </w:r>
      <w:r w:rsidRPr="00D969FD">
        <w:t xml:space="preserve"> pojistitel obdrží originál této pojistné smlouvy.</w:t>
      </w:r>
      <w:r w:rsidRPr="00D969FD">
        <w:rPr>
          <w:bCs/>
          <w:color w:val="FF00FF"/>
          <w:szCs w:val="20"/>
        </w:rPr>
        <w:t xml:space="preserve"> </w:t>
      </w:r>
      <w:r w:rsidRPr="00D969FD">
        <w:t xml:space="preserve">Pojistník obdrží </w:t>
      </w:r>
      <w:r w:rsidR="00040A13">
        <w:t>1</w:t>
      </w:r>
      <w:r w:rsidRPr="00D969FD">
        <w:t xml:space="preserve"> stejnopis, pojistitel obdrží </w:t>
      </w:r>
      <w:r w:rsidR="00040A13">
        <w:t>2</w:t>
      </w:r>
      <w:r w:rsidRPr="00D969FD">
        <w:t xml:space="preserve"> stejnopis</w:t>
      </w:r>
      <w:r w:rsidR="00040A13">
        <w:t>y.</w:t>
      </w:r>
    </w:p>
    <w:bookmarkEnd w:id="6"/>
    <w:p w:rsidR="009B22B4" w:rsidRPr="00D969FD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D969FD">
        <w:t xml:space="preserve">Tato pojistná smlouva obsahuje </w:t>
      </w:r>
      <w:r w:rsidR="00040A13">
        <w:t>11</w:t>
      </w:r>
      <w:r w:rsidRPr="00D969FD">
        <w:t xml:space="preserve"> stran a </w:t>
      </w:r>
      <w:r w:rsidR="00040A13">
        <w:t>2</w:t>
      </w:r>
      <w:r w:rsidRPr="00D969FD">
        <w:t xml:space="preserve"> příloh</w:t>
      </w:r>
      <w:bookmarkEnd w:id="7"/>
      <w:r w:rsidR="00040A13">
        <w:t>y</w:t>
      </w:r>
      <w:r w:rsidRPr="00D969FD">
        <w:t>. Její součástí jsou pojistné podmínky pojistitele uvedené v čl. I. této pojistné smlouvy</w:t>
      </w:r>
      <w:r w:rsidR="00EB7368" w:rsidRPr="00D969FD">
        <w:t>.</w:t>
      </w:r>
    </w:p>
    <w:p w:rsidR="009B22B4" w:rsidRPr="00D969FD" w:rsidRDefault="009B22B4" w:rsidP="008F602E">
      <w:pPr>
        <w:spacing w:before="240"/>
      </w:pPr>
      <w:r w:rsidRPr="00D969FD">
        <w:t>Výčet příloh:</w:t>
      </w:r>
      <w:r w:rsidRPr="00D969FD">
        <w:tab/>
      </w:r>
    </w:p>
    <w:p w:rsidR="009B22B4" w:rsidRPr="00D969FD" w:rsidRDefault="009B22B4" w:rsidP="00E41D35">
      <w:r w:rsidRPr="00D969FD">
        <w:t xml:space="preserve">příloha č. 1 </w:t>
      </w:r>
      <w:r w:rsidR="00040A13">
        <w:t>–</w:t>
      </w:r>
      <w:r w:rsidRPr="00D969FD">
        <w:t xml:space="preserve"> </w:t>
      </w:r>
      <w:r w:rsidR="00040A13" w:rsidRPr="00040A13">
        <w:rPr>
          <w:iCs/>
        </w:rPr>
        <w:t>zřizovací listina</w:t>
      </w:r>
    </w:p>
    <w:p w:rsidR="009B22B4" w:rsidRPr="00040A13" w:rsidRDefault="009B22B4" w:rsidP="008F602E">
      <w:pPr>
        <w:spacing w:after="480"/>
        <w:rPr>
          <w:iCs/>
        </w:rPr>
      </w:pPr>
      <w:r w:rsidRPr="00D969FD">
        <w:t xml:space="preserve">příloha č. 2 </w:t>
      </w:r>
      <w:r w:rsidR="00040A13">
        <w:t>–</w:t>
      </w:r>
      <w:r w:rsidRPr="00D969FD">
        <w:t xml:space="preserve"> </w:t>
      </w:r>
      <w:r w:rsidR="00040A13" w:rsidRPr="00040A13">
        <w:rPr>
          <w:iCs/>
        </w:rPr>
        <w:t>seznam vlastních budov a ostatních staveb</w:t>
      </w:r>
    </w:p>
    <w:p w:rsidR="00040A13" w:rsidRDefault="00040A13" w:rsidP="00773912">
      <w:pPr>
        <w:keepNext/>
        <w:keepLines/>
        <w:tabs>
          <w:tab w:val="left" w:pos="3420"/>
          <w:tab w:val="left" w:pos="6549"/>
        </w:tabs>
        <w:spacing w:before="480"/>
      </w:pPr>
    </w:p>
    <w:p w:rsidR="00446DE5" w:rsidRPr="00D969FD" w:rsidRDefault="00446DE5" w:rsidP="00773912">
      <w:pPr>
        <w:keepNext/>
        <w:keepLines/>
        <w:tabs>
          <w:tab w:val="left" w:pos="3420"/>
          <w:tab w:val="left" w:pos="6549"/>
        </w:tabs>
        <w:spacing w:before="480"/>
      </w:pPr>
      <w:r w:rsidRPr="00D969FD">
        <w:tab/>
        <w:t>.</w:t>
      </w:r>
      <w:r w:rsidR="00773912" w:rsidRPr="00D969FD">
        <w:tab/>
        <w:t>.</w:t>
      </w:r>
    </w:p>
    <w:p w:rsidR="008F602E" w:rsidRPr="00D969FD" w:rsidRDefault="00C448AC" w:rsidP="00773912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bookmarkStart w:id="8" w:name="_Hlk35264329"/>
      <w:r w:rsidRPr="00D969FD">
        <w:t>Podepsáno</w:t>
      </w:r>
      <w:r w:rsidR="009B22B4" w:rsidRPr="00D969FD">
        <w:t xml:space="preserve"> dne</w:t>
      </w:r>
      <w:r w:rsidR="00891F45" w:rsidRPr="00D969FD">
        <w:rPr>
          <w:vertAlign w:val="superscript"/>
        </w:rPr>
        <w:t>+</w:t>
      </w:r>
      <w:r w:rsidR="009B22B4" w:rsidRPr="00D969FD">
        <w:t xml:space="preserve"> </w:t>
      </w:r>
      <w:r w:rsidR="003F68EA">
        <w:t>4. 12. 2020</w:t>
      </w:r>
      <w:r w:rsidR="008F602E" w:rsidRPr="00D969FD">
        <w:tab/>
      </w:r>
      <w:r w:rsidR="008F602E" w:rsidRPr="00D969FD">
        <w:tab/>
      </w:r>
      <w:r w:rsidR="008F602E" w:rsidRPr="00D969FD">
        <w:tab/>
      </w:r>
      <w:r w:rsidR="008F602E" w:rsidRPr="00D969FD">
        <w:tab/>
      </w:r>
    </w:p>
    <w:p w:rsidR="009B22B4" w:rsidRPr="00D969FD" w:rsidRDefault="009B22B4" w:rsidP="00773912">
      <w:pPr>
        <w:keepNext/>
        <w:keepLines/>
        <w:tabs>
          <w:tab w:val="center" w:pos="4820"/>
          <w:tab w:val="center" w:pos="7938"/>
        </w:tabs>
        <w:spacing w:after="720"/>
      </w:pPr>
      <w:r w:rsidRPr="00D969FD">
        <w:tab/>
        <w:t>za pojistitele</w:t>
      </w:r>
      <w:r w:rsidRPr="00D969FD">
        <w:tab/>
        <w:t>za pojistitele</w:t>
      </w:r>
    </w:p>
    <w:p w:rsidR="00040A13" w:rsidRDefault="00040A13" w:rsidP="00773912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</w:p>
    <w:p w:rsidR="00040A13" w:rsidRDefault="00040A13" w:rsidP="00773912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</w:p>
    <w:p w:rsidR="008F602E" w:rsidRPr="00D969FD" w:rsidRDefault="00C448AC" w:rsidP="00773912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D969FD">
        <w:t>Podepsáno</w:t>
      </w:r>
      <w:r w:rsidR="008F602E" w:rsidRPr="00D969FD">
        <w:t xml:space="preserve"> dne</w:t>
      </w:r>
      <w:r w:rsidR="00891F45" w:rsidRPr="00D969FD">
        <w:rPr>
          <w:vertAlign w:val="superscript"/>
        </w:rPr>
        <w:t>+</w:t>
      </w:r>
      <w:r w:rsidR="008F602E" w:rsidRPr="00D969FD">
        <w:t xml:space="preserve"> ............................</w:t>
      </w:r>
      <w:r w:rsidR="008F602E" w:rsidRPr="00D969FD">
        <w:tab/>
      </w:r>
      <w:r w:rsidR="008F602E" w:rsidRPr="00D969FD">
        <w:tab/>
      </w:r>
    </w:p>
    <w:p w:rsidR="009B22B4" w:rsidRPr="00D969FD" w:rsidRDefault="008F602E" w:rsidP="00773912">
      <w:pPr>
        <w:keepNext/>
        <w:keepLines/>
        <w:tabs>
          <w:tab w:val="center" w:pos="4820"/>
          <w:tab w:val="center" w:pos="7938"/>
        </w:tabs>
        <w:spacing w:after="480"/>
      </w:pPr>
      <w:r w:rsidRPr="00D969FD">
        <w:tab/>
      </w:r>
      <w:r w:rsidR="009B22B4" w:rsidRPr="00D969FD">
        <w:t>za pojistníka</w:t>
      </w:r>
      <w:r w:rsidR="00C1165B" w:rsidRPr="00D969FD">
        <w:rPr>
          <w:vertAlign w:val="superscript"/>
        </w:rPr>
        <w:t>++</w:t>
      </w:r>
    </w:p>
    <w:p w:rsidR="00040A13" w:rsidRDefault="00040A13" w:rsidP="002C7FCA">
      <w:pPr>
        <w:rPr>
          <w:sz w:val="16"/>
          <w:szCs w:val="16"/>
          <w:vertAlign w:val="superscript"/>
        </w:rPr>
      </w:pPr>
      <w:bookmarkStart w:id="9" w:name="_Hlk25570604"/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040A13" w:rsidRDefault="00040A13" w:rsidP="002C7FCA">
      <w:pPr>
        <w:rPr>
          <w:sz w:val="16"/>
          <w:szCs w:val="16"/>
          <w:vertAlign w:val="superscript"/>
        </w:rPr>
      </w:pPr>
    </w:p>
    <w:p w:rsidR="00C448AC" w:rsidRPr="00D969FD" w:rsidRDefault="00891F45" w:rsidP="002C7FCA">
      <w:pPr>
        <w:rPr>
          <w:sz w:val="16"/>
          <w:szCs w:val="16"/>
        </w:rPr>
      </w:pPr>
      <w:r w:rsidRPr="00D969FD">
        <w:rPr>
          <w:sz w:val="16"/>
          <w:szCs w:val="16"/>
          <w:vertAlign w:val="superscript"/>
        </w:rPr>
        <w:t xml:space="preserve">+ </w:t>
      </w:r>
      <w:r w:rsidR="00C448AC" w:rsidRPr="00D969FD">
        <w:rPr>
          <w:sz w:val="16"/>
          <w:szCs w:val="16"/>
        </w:rPr>
        <w:t>Je-li tato pojistná smlouva podepsána uznávaným elektronickým podpisem, je okamžik podpisu vždy obsažen v tomto podpisu.</w:t>
      </w:r>
    </w:p>
    <w:p w:rsidR="002B1FF9" w:rsidRPr="00D969FD" w:rsidRDefault="00C1165B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D969FD">
        <w:rPr>
          <w:sz w:val="16"/>
          <w:szCs w:val="16"/>
          <w:vertAlign w:val="superscript"/>
        </w:rPr>
        <w:t>++</w:t>
      </w:r>
      <w:r w:rsidR="00A71913" w:rsidRPr="00D969FD">
        <w:rPr>
          <w:sz w:val="16"/>
          <w:szCs w:val="16"/>
        </w:rPr>
        <w:tab/>
      </w:r>
      <w:r w:rsidR="002B1FF9" w:rsidRPr="00D969FD">
        <w:rPr>
          <w:sz w:val="16"/>
          <w:szCs w:val="16"/>
        </w:rPr>
        <w:t xml:space="preserve">a) </w:t>
      </w:r>
      <w:r w:rsidR="00A71913" w:rsidRPr="00D969FD">
        <w:rPr>
          <w:sz w:val="16"/>
          <w:szCs w:val="16"/>
        </w:rPr>
        <w:tab/>
      </w:r>
      <w:r w:rsidR="002B1FF9" w:rsidRPr="00D969FD">
        <w:rPr>
          <w:sz w:val="16"/>
          <w:szCs w:val="16"/>
        </w:rPr>
        <w:t xml:space="preserve">Je-li tato pojistná smlouva </w:t>
      </w:r>
      <w:r w:rsidR="00FD7A6C" w:rsidRPr="00D969FD">
        <w:rPr>
          <w:sz w:val="16"/>
          <w:szCs w:val="16"/>
        </w:rPr>
        <w:t xml:space="preserve">pojistitelem vyhotovena v listinné podobě a </w:t>
      </w:r>
      <w:r w:rsidR="002B1FF9" w:rsidRPr="00D969FD">
        <w:rPr>
          <w:sz w:val="16"/>
          <w:szCs w:val="16"/>
        </w:rPr>
        <w:t xml:space="preserve">podepsána </w:t>
      </w:r>
      <w:r w:rsidR="00FD7A6C" w:rsidRPr="00D969FD">
        <w:rPr>
          <w:sz w:val="16"/>
          <w:szCs w:val="16"/>
        </w:rPr>
        <w:t xml:space="preserve">za něj </w:t>
      </w:r>
      <w:r w:rsidR="002B1FF9" w:rsidRPr="00D969FD">
        <w:rPr>
          <w:sz w:val="16"/>
          <w:szCs w:val="16"/>
        </w:rPr>
        <w:t xml:space="preserve">vlastnoručně, uveďte jméno, příjmení a funkci </w:t>
      </w:r>
      <w:r w:rsidR="00FD7A6C" w:rsidRPr="00D969FD">
        <w:rPr>
          <w:sz w:val="16"/>
          <w:szCs w:val="16"/>
        </w:rPr>
        <w:t xml:space="preserve">osob/y </w:t>
      </w:r>
      <w:r w:rsidR="002B1FF9" w:rsidRPr="00D969FD">
        <w:rPr>
          <w:sz w:val="16"/>
          <w:szCs w:val="16"/>
        </w:rPr>
        <w:t xml:space="preserve">podepisující/ch </w:t>
      </w:r>
      <w:r w:rsidR="00FD7A6C" w:rsidRPr="00D969FD">
        <w:rPr>
          <w:sz w:val="16"/>
          <w:szCs w:val="16"/>
        </w:rPr>
        <w:t>za pojistníka</w:t>
      </w:r>
      <w:r w:rsidR="002B1FF9" w:rsidRPr="00D969FD">
        <w:rPr>
          <w:sz w:val="16"/>
          <w:szCs w:val="16"/>
        </w:rPr>
        <w:t>, jejich vlastnoruční podpis/y a případně též otisk razítka a doručte pojistiteli takto podepsaný stejnopis pojistné smlouvy</w:t>
      </w:r>
      <w:r w:rsidR="00FD7A6C" w:rsidRPr="00D969FD">
        <w:rPr>
          <w:sz w:val="16"/>
          <w:szCs w:val="16"/>
        </w:rPr>
        <w:t xml:space="preserve"> v listinné podobě</w:t>
      </w:r>
      <w:r w:rsidR="002B1FF9" w:rsidRPr="00D969FD">
        <w:rPr>
          <w:sz w:val="16"/>
          <w:szCs w:val="16"/>
        </w:rPr>
        <w:t>.</w:t>
      </w:r>
    </w:p>
    <w:p w:rsidR="00675B1F" w:rsidRPr="00D969FD" w:rsidRDefault="00A71913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D969FD">
        <w:rPr>
          <w:sz w:val="16"/>
          <w:szCs w:val="16"/>
        </w:rPr>
        <w:tab/>
      </w:r>
      <w:r w:rsidR="002B1FF9" w:rsidRPr="00D969FD">
        <w:rPr>
          <w:sz w:val="16"/>
          <w:szCs w:val="16"/>
        </w:rPr>
        <w:t xml:space="preserve">b) </w:t>
      </w:r>
      <w:r w:rsidRPr="00D969FD">
        <w:rPr>
          <w:sz w:val="16"/>
          <w:szCs w:val="16"/>
        </w:rPr>
        <w:tab/>
      </w:r>
      <w:r w:rsidR="002B1FF9" w:rsidRPr="00D969FD">
        <w:rPr>
          <w:sz w:val="16"/>
          <w:szCs w:val="16"/>
        </w:rPr>
        <w:t xml:space="preserve">Je-li tato pojistná smlouva pojistitelem </w:t>
      </w:r>
      <w:r w:rsidR="00FD7A6C" w:rsidRPr="00D969FD">
        <w:rPr>
          <w:sz w:val="16"/>
          <w:szCs w:val="16"/>
        </w:rPr>
        <w:t xml:space="preserve">vyhotovena v elektronické podobě a </w:t>
      </w:r>
      <w:r w:rsidR="002B1FF9" w:rsidRPr="00D969FD">
        <w:rPr>
          <w:sz w:val="16"/>
          <w:szCs w:val="16"/>
        </w:rPr>
        <w:t xml:space="preserve">podepsána </w:t>
      </w:r>
      <w:r w:rsidR="00FD7A6C" w:rsidRPr="00D969FD">
        <w:rPr>
          <w:sz w:val="16"/>
          <w:szCs w:val="16"/>
        </w:rPr>
        <w:t xml:space="preserve">za něj </w:t>
      </w:r>
      <w:r w:rsidR="002B1FF9" w:rsidRPr="00D969FD">
        <w:rPr>
          <w:sz w:val="16"/>
          <w:szCs w:val="16"/>
        </w:rPr>
        <w:t>uznávaným elektronickým podpisem, p</w:t>
      </w:r>
      <w:r w:rsidR="00675B1F" w:rsidRPr="00D969FD">
        <w:rPr>
          <w:sz w:val="16"/>
          <w:szCs w:val="16"/>
        </w:rPr>
        <w:t xml:space="preserve">oužijte </w:t>
      </w:r>
      <w:r w:rsidR="002B1FF9" w:rsidRPr="00D969FD">
        <w:rPr>
          <w:sz w:val="16"/>
          <w:szCs w:val="16"/>
        </w:rPr>
        <w:t xml:space="preserve">též </w:t>
      </w:r>
      <w:r w:rsidR="00675B1F" w:rsidRPr="00D969FD">
        <w:rPr>
          <w:sz w:val="16"/>
          <w:szCs w:val="16"/>
        </w:rPr>
        <w:t>uznávaný elektronický podpis/y</w:t>
      </w:r>
      <w:r w:rsidR="00FD7A6C" w:rsidRPr="00D969FD">
        <w:rPr>
          <w:sz w:val="16"/>
          <w:szCs w:val="16"/>
        </w:rPr>
        <w:t xml:space="preserve"> osob/y podepisující/ch za pojistníka</w:t>
      </w:r>
      <w:r w:rsidR="00675B1F" w:rsidRPr="00D969FD">
        <w:rPr>
          <w:sz w:val="16"/>
          <w:szCs w:val="16"/>
        </w:rPr>
        <w:t>, nebo</w:t>
      </w:r>
      <w:r w:rsidR="002B1FF9" w:rsidRPr="00D969FD">
        <w:rPr>
          <w:sz w:val="16"/>
          <w:szCs w:val="16"/>
        </w:rPr>
        <w:t xml:space="preserve"> </w:t>
      </w:r>
      <w:r w:rsidR="00675B1F" w:rsidRPr="00D969FD">
        <w:rPr>
          <w:sz w:val="16"/>
          <w:szCs w:val="16"/>
        </w:rPr>
        <w:t>v případě použití elektronického podpisu jiného než uznávaného</w:t>
      </w:r>
      <w:r w:rsidR="002B1FF9" w:rsidRPr="00D969FD">
        <w:rPr>
          <w:sz w:val="16"/>
          <w:szCs w:val="16"/>
        </w:rPr>
        <w:t xml:space="preserve"> </w:t>
      </w:r>
      <w:r w:rsidR="00675B1F" w:rsidRPr="00D969FD">
        <w:rPr>
          <w:sz w:val="16"/>
          <w:szCs w:val="16"/>
        </w:rPr>
        <w:t>vložte jméno, příjmení a funkci podepisující/ch osob/y do poznámky tohoto elektronického dokumentu, včetně uvedení data podpisu</w:t>
      </w:r>
      <w:r w:rsidR="002B1FF9" w:rsidRPr="00D969FD">
        <w:rPr>
          <w:sz w:val="16"/>
          <w:szCs w:val="16"/>
        </w:rPr>
        <w:t>.</w:t>
      </w:r>
      <w:r w:rsidR="00B2284E" w:rsidRPr="00D969FD">
        <w:rPr>
          <w:sz w:val="16"/>
          <w:szCs w:val="16"/>
        </w:rPr>
        <w:t xml:space="preserve"> Takto tento elektronickým podpisem podepsaný elektronický dokument doručte pojistiteli elektronickým prostředkem.</w:t>
      </w:r>
    </w:p>
    <w:bookmarkEnd w:id="8"/>
    <w:bookmarkEnd w:id="9"/>
    <w:p w:rsidR="009B22B4" w:rsidRPr="00D969FD" w:rsidRDefault="009B22B4" w:rsidP="00DF62A5">
      <w:pPr>
        <w:spacing w:before="480"/>
      </w:pPr>
      <w:r w:rsidRPr="00D969FD">
        <w:t>Pojistnou smlouvu vypracoval</w:t>
      </w:r>
      <w:r w:rsidR="00DF62A5" w:rsidRPr="00D969FD">
        <w:t>a</w:t>
      </w:r>
      <w:r w:rsidRPr="00D969FD">
        <w:t xml:space="preserve">: </w:t>
      </w:r>
      <w:r w:rsidR="00040A13">
        <w:t>Magdaléna Potměšilová</w:t>
      </w:r>
      <w:r w:rsidR="00DF62A5" w:rsidRPr="00D969FD">
        <w:t>,</w:t>
      </w:r>
      <w:r w:rsidRPr="00D969FD">
        <w:t xml:space="preserve"> </w:t>
      </w:r>
      <w:r w:rsidR="00DF62A5" w:rsidRPr="00D969FD">
        <w:t xml:space="preserve">tel. </w:t>
      </w:r>
      <w:r w:rsidR="00040A13">
        <w:t>956 420 743</w:t>
      </w:r>
    </w:p>
    <w:p w:rsidR="009B22B4" w:rsidRPr="00D969FD" w:rsidRDefault="009B22B4" w:rsidP="00FA4C01"/>
    <w:p w:rsidR="009B22B4" w:rsidRPr="001E6722" w:rsidRDefault="009B22B4" w:rsidP="00DF62A5">
      <w:pPr>
        <w:rPr>
          <w:b/>
          <w:i/>
          <w:color w:val="1BC404"/>
        </w:rPr>
      </w:pPr>
    </w:p>
    <w:p w:rsidR="00820AB4" w:rsidRPr="00FA4C01" w:rsidRDefault="00820AB4" w:rsidP="00FA4C01"/>
    <w:sectPr w:rsidR="00820AB4" w:rsidRPr="00FA4C01" w:rsidSect="00040A13">
      <w:footerReference w:type="default" r:id="rId14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33" w:rsidRDefault="00B46C33" w:rsidP="00FF471C">
      <w:r>
        <w:separator/>
      </w:r>
    </w:p>
    <w:p w:rsidR="00B46C33" w:rsidRDefault="00B46C33"/>
  </w:endnote>
  <w:endnote w:type="continuationSeparator" w:id="0">
    <w:p w:rsidR="00B46C33" w:rsidRDefault="00B46C33" w:rsidP="00FF471C">
      <w:r>
        <w:continuationSeparator/>
      </w:r>
    </w:p>
    <w:p w:rsidR="00B46C33" w:rsidRDefault="00B46C3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panose1 w:val="02000503000000020003"/>
    <w:charset w:val="EE"/>
    <w:family w:val="auto"/>
    <w:pitch w:val="variable"/>
    <w:sig w:usb0="00000001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48432"/>
      <w:docPartObj>
        <w:docPartGallery w:val="Page Numbers (Bottom of Page)"/>
        <w:docPartUnique/>
      </w:docPartObj>
    </w:sdtPr>
    <w:sdtContent>
      <w:p w:rsidR="00040A13" w:rsidRDefault="00392165">
        <w:pPr>
          <w:pStyle w:val="Zpat"/>
          <w:jc w:val="center"/>
        </w:pPr>
        <w:r>
          <w:fldChar w:fldCharType="begin"/>
        </w:r>
        <w:r w:rsidR="00040A13">
          <w:instrText>PAGE   \* MERGEFORMAT</w:instrText>
        </w:r>
        <w:r>
          <w:fldChar w:fldCharType="separate"/>
        </w:r>
        <w:r w:rsidR="00BF5B44">
          <w:rPr>
            <w:noProof/>
          </w:rPr>
          <w:t>2</w:t>
        </w:r>
        <w:r>
          <w:fldChar w:fldCharType="end"/>
        </w:r>
      </w:p>
    </w:sdtContent>
  </w:sdt>
  <w:p w:rsidR="00457031" w:rsidRPr="00877EFF" w:rsidRDefault="00457031">
    <w:pPr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33" w:rsidRDefault="00B46C33" w:rsidP="00FF471C">
      <w:r>
        <w:separator/>
      </w:r>
    </w:p>
    <w:p w:rsidR="00B46C33" w:rsidRDefault="00B46C33"/>
  </w:footnote>
  <w:footnote w:type="continuationSeparator" w:id="0">
    <w:p w:rsidR="00B46C33" w:rsidRDefault="00B46C33" w:rsidP="00FF471C">
      <w:r>
        <w:continuationSeparator/>
      </w:r>
    </w:p>
    <w:p w:rsidR="00B46C33" w:rsidRDefault="00B46C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>
    <w:nsid w:val="01392313"/>
    <w:multiLevelType w:val="hybridMultilevel"/>
    <w:tmpl w:val="B678993E"/>
    <w:lvl w:ilvl="0" w:tplc="4F52532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BD34DE4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E41AC"/>
    <w:multiLevelType w:val="hybridMultilevel"/>
    <w:tmpl w:val="1526D05C"/>
    <w:lvl w:ilvl="0" w:tplc="11BE1DBE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933A5"/>
    <w:multiLevelType w:val="hybridMultilevel"/>
    <w:tmpl w:val="046C1864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6797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202C6E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C476A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A6778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F0746"/>
    <w:multiLevelType w:val="hybridMultilevel"/>
    <w:tmpl w:val="6D027D4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>
    <w:nsid w:val="3D7D198D"/>
    <w:multiLevelType w:val="hybridMultilevel"/>
    <w:tmpl w:val="663CA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40431585"/>
    <w:multiLevelType w:val="hybridMultilevel"/>
    <w:tmpl w:val="63F2D362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D2BE1"/>
    <w:multiLevelType w:val="hybridMultilevel"/>
    <w:tmpl w:val="F5C8A456"/>
    <w:lvl w:ilvl="0" w:tplc="1A76A24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1501A8"/>
    <w:multiLevelType w:val="hybridMultilevel"/>
    <w:tmpl w:val="16EC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C7C6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B6ADF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93895"/>
    <w:multiLevelType w:val="multilevel"/>
    <w:tmpl w:val="CE7E4F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6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9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057F0A"/>
    <w:multiLevelType w:val="hybridMultilevel"/>
    <w:tmpl w:val="28383AD6"/>
    <w:lvl w:ilvl="0" w:tplc="A7C0DAD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92F9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30B74"/>
    <w:multiLevelType w:val="hybridMultilevel"/>
    <w:tmpl w:val="6F323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3"/>
  </w:num>
  <w:num w:numId="4">
    <w:abstractNumId w:val="18"/>
  </w:num>
  <w:num w:numId="5">
    <w:abstractNumId w:val="12"/>
  </w:num>
  <w:num w:numId="6">
    <w:abstractNumId w:val="2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7"/>
  </w:num>
  <w:num w:numId="16">
    <w:abstractNumId w:val="3"/>
  </w:num>
  <w:num w:numId="17">
    <w:abstractNumId w:val="21"/>
  </w:num>
  <w:num w:numId="18">
    <w:abstractNumId w:val="23"/>
  </w:num>
  <w:num w:numId="19">
    <w:abstractNumId w:val="14"/>
  </w:num>
  <w:num w:numId="20">
    <w:abstractNumId w:val="20"/>
  </w:num>
  <w:num w:numId="21">
    <w:abstractNumId w:val="31"/>
  </w:num>
  <w:num w:numId="22">
    <w:abstractNumId w:val="22"/>
  </w:num>
  <w:num w:numId="23">
    <w:abstractNumId w:val="6"/>
  </w:num>
  <w:num w:numId="24">
    <w:abstractNumId w:val="5"/>
  </w:num>
  <w:num w:numId="25">
    <w:abstractNumId w:val="2"/>
  </w:num>
  <w:num w:numId="26">
    <w:abstractNumId w:val="10"/>
  </w:num>
  <w:num w:numId="27">
    <w:abstractNumId w:val="24"/>
  </w:num>
  <w:num w:numId="28">
    <w:abstractNumId w:val="26"/>
  </w:num>
  <w:num w:numId="29">
    <w:abstractNumId w:val="1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7"/>
  </w:num>
  <w:num w:numId="33">
    <w:abstractNumId w:val="4"/>
  </w:num>
  <w:num w:numId="34">
    <w:abstractNumId w:val="34"/>
  </w:num>
  <w:num w:numId="35">
    <w:abstractNumId w:val="7"/>
  </w:num>
  <w:num w:numId="36">
    <w:abstractNumId w:val="19"/>
  </w:num>
  <w:num w:numId="37">
    <w:abstractNumId w:val="28"/>
  </w:num>
  <w:num w:numId="38">
    <w:abstractNumId w:val="33"/>
  </w:num>
  <w:num w:numId="39">
    <w:abstractNumId w:val="30"/>
  </w:num>
  <w:num w:numId="40">
    <w:abstractNumId w:val="4"/>
  </w:num>
  <w:num w:numId="41">
    <w:abstractNumId w:val="1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9"/>
  </w:num>
  <w:num w:numId="45">
    <w:abstractNumId w:val="25"/>
  </w:num>
  <w:num w:numId="46">
    <w:abstractNumId w:val="1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hyphenationZone w:val="425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9B22B4"/>
    <w:rsid w:val="0000031A"/>
    <w:rsid w:val="00000829"/>
    <w:rsid w:val="00000DF1"/>
    <w:rsid w:val="000039D2"/>
    <w:rsid w:val="00007AA8"/>
    <w:rsid w:val="00007CE7"/>
    <w:rsid w:val="00012E40"/>
    <w:rsid w:val="0001462A"/>
    <w:rsid w:val="000214B8"/>
    <w:rsid w:val="000220ED"/>
    <w:rsid w:val="00024476"/>
    <w:rsid w:val="000364C7"/>
    <w:rsid w:val="000400E7"/>
    <w:rsid w:val="000403E9"/>
    <w:rsid w:val="00040A13"/>
    <w:rsid w:val="000411A9"/>
    <w:rsid w:val="0004281A"/>
    <w:rsid w:val="00044839"/>
    <w:rsid w:val="00045CF0"/>
    <w:rsid w:val="00047384"/>
    <w:rsid w:val="000476E6"/>
    <w:rsid w:val="000505F9"/>
    <w:rsid w:val="000508EE"/>
    <w:rsid w:val="00050F2F"/>
    <w:rsid w:val="000512D2"/>
    <w:rsid w:val="00053062"/>
    <w:rsid w:val="0006168A"/>
    <w:rsid w:val="00062E67"/>
    <w:rsid w:val="00065B96"/>
    <w:rsid w:val="00066D92"/>
    <w:rsid w:val="00070CE3"/>
    <w:rsid w:val="000723D1"/>
    <w:rsid w:val="0007248A"/>
    <w:rsid w:val="00073CF2"/>
    <w:rsid w:val="00075B5B"/>
    <w:rsid w:val="0008042C"/>
    <w:rsid w:val="00080CF5"/>
    <w:rsid w:val="000824F1"/>
    <w:rsid w:val="00087A45"/>
    <w:rsid w:val="00090CCF"/>
    <w:rsid w:val="00092141"/>
    <w:rsid w:val="00093452"/>
    <w:rsid w:val="000969FB"/>
    <w:rsid w:val="00096C8B"/>
    <w:rsid w:val="00097838"/>
    <w:rsid w:val="000A0408"/>
    <w:rsid w:val="000A1566"/>
    <w:rsid w:val="000A4067"/>
    <w:rsid w:val="000A6D49"/>
    <w:rsid w:val="000A73AE"/>
    <w:rsid w:val="000B3B40"/>
    <w:rsid w:val="000B78EC"/>
    <w:rsid w:val="000C085F"/>
    <w:rsid w:val="000C17EA"/>
    <w:rsid w:val="000C7550"/>
    <w:rsid w:val="000D0067"/>
    <w:rsid w:val="000D0856"/>
    <w:rsid w:val="000D2A28"/>
    <w:rsid w:val="000D40D6"/>
    <w:rsid w:val="000D6965"/>
    <w:rsid w:val="000E196C"/>
    <w:rsid w:val="000F12B8"/>
    <w:rsid w:val="000F3A50"/>
    <w:rsid w:val="000F4CDE"/>
    <w:rsid w:val="000F4DA6"/>
    <w:rsid w:val="000F4F19"/>
    <w:rsid w:val="000F650D"/>
    <w:rsid w:val="00100BFE"/>
    <w:rsid w:val="00100CC9"/>
    <w:rsid w:val="00101FEA"/>
    <w:rsid w:val="00107106"/>
    <w:rsid w:val="0011033A"/>
    <w:rsid w:val="0011594E"/>
    <w:rsid w:val="00115E08"/>
    <w:rsid w:val="001160C6"/>
    <w:rsid w:val="00117B8C"/>
    <w:rsid w:val="00120049"/>
    <w:rsid w:val="001202DB"/>
    <w:rsid w:val="0012225A"/>
    <w:rsid w:val="00122398"/>
    <w:rsid w:val="00127D09"/>
    <w:rsid w:val="00133663"/>
    <w:rsid w:val="00135CAC"/>
    <w:rsid w:val="00142897"/>
    <w:rsid w:val="00142CDD"/>
    <w:rsid w:val="00150363"/>
    <w:rsid w:val="001505A8"/>
    <w:rsid w:val="001518EF"/>
    <w:rsid w:val="001527A2"/>
    <w:rsid w:val="00152EE6"/>
    <w:rsid w:val="00156F32"/>
    <w:rsid w:val="001600C3"/>
    <w:rsid w:val="0016123E"/>
    <w:rsid w:val="001617F8"/>
    <w:rsid w:val="00162CA8"/>
    <w:rsid w:val="0016645E"/>
    <w:rsid w:val="0016737E"/>
    <w:rsid w:val="00170C0B"/>
    <w:rsid w:val="00174646"/>
    <w:rsid w:val="001803F1"/>
    <w:rsid w:val="0018046F"/>
    <w:rsid w:val="001808A3"/>
    <w:rsid w:val="001829F0"/>
    <w:rsid w:val="00183C97"/>
    <w:rsid w:val="00184E09"/>
    <w:rsid w:val="001865F3"/>
    <w:rsid w:val="00186B3D"/>
    <w:rsid w:val="0019116A"/>
    <w:rsid w:val="001922CC"/>
    <w:rsid w:val="00193697"/>
    <w:rsid w:val="001A3629"/>
    <w:rsid w:val="001A4D06"/>
    <w:rsid w:val="001B0445"/>
    <w:rsid w:val="001B170A"/>
    <w:rsid w:val="001B1F2E"/>
    <w:rsid w:val="001B50D5"/>
    <w:rsid w:val="001B5584"/>
    <w:rsid w:val="001B6506"/>
    <w:rsid w:val="001C278B"/>
    <w:rsid w:val="001C2AD6"/>
    <w:rsid w:val="001C4D34"/>
    <w:rsid w:val="001C517F"/>
    <w:rsid w:val="001D25A8"/>
    <w:rsid w:val="001D4A1A"/>
    <w:rsid w:val="001D5138"/>
    <w:rsid w:val="001D5B57"/>
    <w:rsid w:val="001D6AC7"/>
    <w:rsid w:val="001E5C9C"/>
    <w:rsid w:val="001E6722"/>
    <w:rsid w:val="001F2AA2"/>
    <w:rsid w:val="001F64D0"/>
    <w:rsid w:val="001F7BD6"/>
    <w:rsid w:val="00204E38"/>
    <w:rsid w:val="0020536F"/>
    <w:rsid w:val="002068B0"/>
    <w:rsid w:val="002155DD"/>
    <w:rsid w:val="002247BA"/>
    <w:rsid w:val="002251C8"/>
    <w:rsid w:val="002267E8"/>
    <w:rsid w:val="0023465B"/>
    <w:rsid w:val="002361D4"/>
    <w:rsid w:val="0024467F"/>
    <w:rsid w:val="002465EE"/>
    <w:rsid w:val="002474F1"/>
    <w:rsid w:val="00252E31"/>
    <w:rsid w:val="00254175"/>
    <w:rsid w:val="0025417A"/>
    <w:rsid w:val="00255904"/>
    <w:rsid w:val="00256014"/>
    <w:rsid w:val="00261E14"/>
    <w:rsid w:val="002650F5"/>
    <w:rsid w:val="002670F5"/>
    <w:rsid w:val="0027036F"/>
    <w:rsid w:val="00276EBD"/>
    <w:rsid w:val="00277386"/>
    <w:rsid w:val="00280823"/>
    <w:rsid w:val="0028198F"/>
    <w:rsid w:val="00282E24"/>
    <w:rsid w:val="002842A7"/>
    <w:rsid w:val="00287F7C"/>
    <w:rsid w:val="002918B2"/>
    <w:rsid w:val="002928E0"/>
    <w:rsid w:val="00292C60"/>
    <w:rsid w:val="00294BD2"/>
    <w:rsid w:val="002A12A2"/>
    <w:rsid w:val="002A47C0"/>
    <w:rsid w:val="002A5A97"/>
    <w:rsid w:val="002B1FF9"/>
    <w:rsid w:val="002B4055"/>
    <w:rsid w:val="002B4072"/>
    <w:rsid w:val="002C2977"/>
    <w:rsid w:val="002C7D2F"/>
    <w:rsid w:val="002C7FCA"/>
    <w:rsid w:val="002D2C34"/>
    <w:rsid w:val="002D3E27"/>
    <w:rsid w:val="002D6EF7"/>
    <w:rsid w:val="002E12BD"/>
    <w:rsid w:val="002E3FE9"/>
    <w:rsid w:val="002E6859"/>
    <w:rsid w:val="002E752C"/>
    <w:rsid w:val="002F2C04"/>
    <w:rsid w:val="002F5C72"/>
    <w:rsid w:val="002F668C"/>
    <w:rsid w:val="0030285D"/>
    <w:rsid w:val="00304A0D"/>
    <w:rsid w:val="003054D6"/>
    <w:rsid w:val="0030644A"/>
    <w:rsid w:val="0030713E"/>
    <w:rsid w:val="0031355F"/>
    <w:rsid w:val="00313AA3"/>
    <w:rsid w:val="003148D8"/>
    <w:rsid w:val="00314AC7"/>
    <w:rsid w:val="00315799"/>
    <w:rsid w:val="003206F6"/>
    <w:rsid w:val="003213ED"/>
    <w:rsid w:val="00322649"/>
    <w:rsid w:val="003239B9"/>
    <w:rsid w:val="0032643A"/>
    <w:rsid w:val="003269E6"/>
    <w:rsid w:val="003302A4"/>
    <w:rsid w:val="00330BA5"/>
    <w:rsid w:val="0033271C"/>
    <w:rsid w:val="0033271D"/>
    <w:rsid w:val="00334B4B"/>
    <w:rsid w:val="003356F0"/>
    <w:rsid w:val="00336F1D"/>
    <w:rsid w:val="00340030"/>
    <w:rsid w:val="00340CD6"/>
    <w:rsid w:val="00343E2D"/>
    <w:rsid w:val="00346255"/>
    <w:rsid w:val="00346305"/>
    <w:rsid w:val="00346AB2"/>
    <w:rsid w:val="00346D8E"/>
    <w:rsid w:val="00350DF8"/>
    <w:rsid w:val="00354B2A"/>
    <w:rsid w:val="003561BF"/>
    <w:rsid w:val="00371F82"/>
    <w:rsid w:val="00373B1B"/>
    <w:rsid w:val="00375986"/>
    <w:rsid w:val="00385BD4"/>
    <w:rsid w:val="003909E6"/>
    <w:rsid w:val="00392165"/>
    <w:rsid w:val="003925B1"/>
    <w:rsid w:val="003933D3"/>
    <w:rsid w:val="0039487B"/>
    <w:rsid w:val="00394D0C"/>
    <w:rsid w:val="00395194"/>
    <w:rsid w:val="00397F8A"/>
    <w:rsid w:val="003A680A"/>
    <w:rsid w:val="003B0339"/>
    <w:rsid w:val="003B1FEA"/>
    <w:rsid w:val="003C0442"/>
    <w:rsid w:val="003C290F"/>
    <w:rsid w:val="003C4C9E"/>
    <w:rsid w:val="003D1AF4"/>
    <w:rsid w:val="003D60A3"/>
    <w:rsid w:val="003E0CF5"/>
    <w:rsid w:val="003E5536"/>
    <w:rsid w:val="003E7853"/>
    <w:rsid w:val="003E7EB8"/>
    <w:rsid w:val="003F198D"/>
    <w:rsid w:val="003F1DF6"/>
    <w:rsid w:val="003F4040"/>
    <w:rsid w:val="003F4AF7"/>
    <w:rsid w:val="003F68EA"/>
    <w:rsid w:val="00403F6D"/>
    <w:rsid w:val="004053E5"/>
    <w:rsid w:val="00405963"/>
    <w:rsid w:val="00412BD5"/>
    <w:rsid w:val="00413E27"/>
    <w:rsid w:val="004142EF"/>
    <w:rsid w:val="0041475F"/>
    <w:rsid w:val="00414B37"/>
    <w:rsid w:val="004174D7"/>
    <w:rsid w:val="00423DEC"/>
    <w:rsid w:val="00425AA6"/>
    <w:rsid w:val="00426193"/>
    <w:rsid w:val="004263D4"/>
    <w:rsid w:val="004277BA"/>
    <w:rsid w:val="004324A5"/>
    <w:rsid w:val="0043372E"/>
    <w:rsid w:val="004401CA"/>
    <w:rsid w:val="004424BC"/>
    <w:rsid w:val="00445D99"/>
    <w:rsid w:val="00446DE5"/>
    <w:rsid w:val="00456A83"/>
    <w:rsid w:val="00457031"/>
    <w:rsid w:val="004618B2"/>
    <w:rsid w:val="00464D1B"/>
    <w:rsid w:val="004658D7"/>
    <w:rsid w:val="00465EA2"/>
    <w:rsid w:val="00473347"/>
    <w:rsid w:val="00473878"/>
    <w:rsid w:val="004768DA"/>
    <w:rsid w:val="00476C08"/>
    <w:rsid w:val="004822F6"/>
    <w:rsid w:val="0048272F"/>
    <w:rsid w:val="0048418A"/>
    <w:rsid w:val="00486022"/>
    <w:rsid w:val="004903F5"/>
    <w:rsid w:val="00493EF7"/>
    <w:rsid w:val="004944B7"/>
    <w:rsid w:val="0049458B"/>
    <w:rsid w:val="00496C95"/>
    <w:rsid w:val="004A0208"/>
    <w:rsid w:val="004A10B2"/>
    <w:rsid w:val="004A223A"/>
    <w:rsid w:val="004A2932"/>
    <w:rsid w:val="004B2794"/>
    <w:rsid w:val="004B34C1"/>
    <w:rsid w:val="004B4C91"/>
    <w:rsid w:val="004B4DC7"/>
    <w:rsid w:val="004B647F"/>
    <w:rsid w:val="004B6F18"/>
    <w:rsid w:val="004B7118"/>
    <w:rsid w:val="004C1D47"/>
    <w:rsid w:val="004C4D1B"/>
    <w:rsid w:val="004D2453"/>
    <w:rsid w:val="004D7CDC"/>
    <w:rsid w:val="004E48FE"/>
    <w:rsid w:val="004F17EE"/>
    <w:rsid w:val="004F1E5C"/>
    <w:rsid w:val="004F3C16"/>
    <w:rsid w:val="004F6C60"/>
    <w:rsid w:val="005031FD"/>
    <w:rsid w:val="00511C6E"/>
    <w:rsid w:val="00512455"/>
    <w:rsid w:val="005141DD"/>
    <w:rsid w:val="00516565"/>
    <w:rsid w:val="00521E2A"/>
    <w:rsid w:val="00521E53"/>
    <w:rsid w:val="005229B9"/>
    <w:rsid w:val="0053514D"/>
    <w:rsid w:val="005374F9"/>
    <w:rsid w:val="00540B08"/>
    <w:rsid w:val="00541E4F"/>
    <w:rsid w:val="00542FE9"/>
    <w:rsid w:val="005547AD"/>
    <w:rsid w:val="0055766F"/>
    <w:rsid w:val="00561D4F"/>
    <w:rsid w:val="00562632"/>
    <w:rsid w:val="00562759"/>
    <w:rsid w:val="00564B1C"/>
    <w:rsid w:val="00566FAD"/>
    <w:rsid w:val="00571ACF"/>
    <w:rsid w:val="005721C6"/>
    <w:rsid w:val="0057758A"/>
    <w:rsid w:val="00577730"/>
    <w:rsid w:val="00582ED0"/>
    <w:rsid w:val="0058331E"/>
    <w:rsid w:val="0058517B"/>
    <w:rsid w:val="005857C0"/>
    <w:rsid w:val="0058612C"/>
    <w:rsid w:val="00590C73"/>
    <w:rsid w:val="0059142D"/>
    <w:rsid w:val="005A1D2E"/>
    <w:rsid w:val="005A7A50"/>
    <w:rsid w:val="005B15BF"/>
    <w:rsid w:val="005B4B6A"/>
    <w:rsid w:val="005B4C2E"/>
    <w:rsid w:val="005B61DF"/>
    <w:rsid w:val="005C000C"/>
    <w:rsid w:val="005C0764"/>
    <w:rsid w:val="005C19E4"/>
    <w:rsid w:val="005C42B5"/>
    <w:rsid w:val="005C45BC"/>
    <w:rsid w:val="005C6173"/>
    <w:rsid w:val="005D05B5"/>
    <w:rsid w:val="005D20DC"/>
    <w:rsid w:val="005D6278"/>
    <w:rsid w:val="005E0C81"/>
    <w:rsid w:val="005E5A8D"/>
    <w:rsid w:val="005E6D93"/>
    <w:rsid w:val="005E7E4F"/>
    <w:rsid w:val="005F302D"/>
    <w:rsid w:val="005F3154"/>
    <w:rsid w:val="006009E9"/>
    <w:rsid w:val="00602109"/>
    <w:rsid w:val="0060444C"/>
    <w:rsid w:val="00616482"/>
    <w:rsid w:val="00623E58"/>
    <w:rsid w:val="00630C6F"/>
    <w:rsid w:val="00631177"/>
    <w:rsid w:val="00631371"/>
    <w:rsid w:val="0063247E"/>
    <w:rsid w:val="006352F6"/>
    <w:rsid w:val="006367EA"/>
    <w:rsid w:val="00640B01"/>
    <w:rsid w:val="006443B3"/>
    <w:rsid w:val="006456FC"/>
    <w:rsid w:val="00647D3A"/>
    <w:rsid w:val="006543D2"/>
    <w:rsid w:val="00657A9F"/>
    <w:rsid w:val="00657F64"/>
    <w:rsid w:val="006600BE"/>
    <w:rsid w:val="00667AED"/>
    <w:rsid w:val="006718E4"/>
    <w:rsid w:val="00672A9C"/>
    <w:rsid w:val="00674013"/>
    <w:rsid w:val="00674AD2"/>
    <w:rsid w:val="00674C9C"/>
    <w:rsid w:val="00675B1F"/>
    <w:rsid w:val="00681118"/>
    <w:rsid w:val="00684AF3"/>
    <w:rsid w:val="006851D7"/>
    <w:rsid w:val="00687EF7"/>
    <w:rsid w:val="00690EB7"/>
    <w:rsid w:val="0069207B"/>
    <w:rsid w:val="00694E7B"/>
    <w:rsid w:val="006957C3"/>
    <w:rsid w:val="00695B6C"/>
    <w:rsid w:val="00695BCE"/>
    <w:rsid w:val="00697228"/>
    <w:rsid w:val="00697BED"/>
    <w:rsid w:val="006A0307"/>
    <w:rsid w:val="006A3D39"/>
    <w:rsid w:val="006A531B"/>
    <w:rsid w:val="006B0468"/>
    <w:rsid w:val="006B09D8"/>
    <w:rsid w:val="006B453D"/>
    <w:rsid w:val="006B487D"/>
    <w:rsid w:val="006B74C7"/>
    <w:rsid w:val="006C3703"/>
    <w:rsid w:val="006D3D06"/>
    <w:rsid w:val="006D70FC"/>
    <w:rsid w:val="006E12DD"/>
    <w:rsid w:val="006E5684"/>
    <w:rsid w:val="006E5C2D"/>
    <w:rsid w:val="006F0CCD"/>
    <w:rsid w:val="006F50A6"/>
    <w:rsid w:val="0070463E"/>
    <w:rsid w:val="0070483D"/>
    <w:rsid w:val="00705D2B"/>
    <w:rsid w:val="00711922"/>
    <w:rsid w:val="00711945"/>
    <w:rsid w:val="007222D4"/>
    <w:rsid w:val="0072347C"/>
    <w:rsid w:val="007270A8"/>
    <w:rsid w:val="007318DB"/>
    <w:rsid w:val="0073198C"/>
    <w:rsid w:val="007322C2"/>
    <w:rsid w:val="0073684F"/>
    <w:rsid w:val="00741740"/>
    <w:rsid w:val="00741785"/>
    <w:rsid w:val="00745D8B"/>
    <w:rsid w:val="00746694"/>
    <w:rsid w:val="00746BC8"/>
    <w:rsid w:val="00750E64"/>
    <w:rsid w:val="0075314C"/>
    <w:rsid w:val="007545B9"/>
    <w:rsid w:val="00757668"/>
    <w:rsid w:val="00761C64"/>
    <w:rsid w:val="00765000"/>
    <w:rsid w:val="007666F9"/>
    <w:rsid w:val="00771F7E"/>
    <w:rsid w:val="007732A6"/>
    <w:rsid w:val="00773912"/>
    <w:rsid w:val="00773E80"/>
    <w:rsid w:val="00773EB9"/>
    <w:rsid w:val="00775B6B"/>
    <w:rsid w:val="0077726A"/>
    <w:rsid w:val="00780BFE"/>
    <w:rsid w:val="00781027"/>
    <w:rsid w:val="00782049"/>
    <w:rsid w:val="00782181"/>
    <w:rsid w:val="007830CB"/>
    <w:rsid w:val="007861A3"/>
    <w:rsid w:val="00786C69"/>
    <w:rsid w:val="0079074F"/>
    <w:rsid w:val="00791FC2"/>
    <w:rsid w:val="00794C61"/>
    <w:rsid w:val="00796E02"/>
    <w:rsid w:val="007A457F"/>
    <w:rsid w:val="007A5F49"/>
    <w:rsid w:val="007A661E"/>
    <w:rsid w:val="007B194E"/>
    <w:rsid w:val="007B6250"/>
    <w:rsid w:val="007C18DC"/>
    <w:rsid w:val="007C1E63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088F"/>
    <w:rsid w:val="007F161E"/>
    <w:rsid w:val="007F3099"/>
    <w:rsid w:val="007F3AF7"/>
    <w:rsid w:val="007F59DD"/>
    <w:rsid w:val="007F6574"/>
    <w:rsid w:val="00800634"/>
    <w:rsid w:val="00800BE6"/>
    <w:rsid w:val="00801660"/>
    <w:rsid w:val="0080630F"/>
    <w:rsid w:val="008066EF"/>
    <w:rsid w:val="00807DB0"/>
    <w:rsid w:val="00810BC5"/>
    <w:rsid w:val="00811187"/>
    <w:rsid w:val="008119AB"/>
    <w:rsid w:val="00812950"/>
    <w:rsid w:val="00820AB4"/>
    <w:rsid w:val="00821BCD"/>
    <w:rsid w:val="008225F6"/>
    <w:rsid w:val="00822B14"/>
    <w:rsid w:val="008277B4"/>
    <w:rsid w:val="00832DDD"/>
    <w:rsid w:val="0083612F"/>
    <w:rsid w:val="0083635A"/>
    <w:rsid w:val="0084603E"/>
    <w:rsid w:val="0084798F"/>
    <w:rsid w:val="00850E1D"/>
    <w:rsid w:val="00851B84"/>
    <w:rsid w:val="00852EA0"/>
    <w:rsid w:val="0085348E"/>
    <w:rsid w:val="008607A9"/>
    <w:rsid w:val="00861AAB"/>
    <w:rsid w:val="00862700"/>
    <w:rsid w:val="00863E02"/>
    <w:rsid w:val="00863F90"/>
    <w:rsid w:val="008644B4"/>
    <w:rsid w:val="00865504"/>
    <w:rsid w:val="00865EEC"/>
    <w:rsid w:val="00867686"/>
    <w:rsid w:val="00873C2F"/>
    <w:rsid w:val="0087405A"/>
    <w:rsid w:val="008832BB"/>
    <w:rsid w:val="008838CD"/>
    <w:rsid w:val="00886F29"/>
    <w:rsid w:val="00890ED9"/>
    <w:rsid w:val="00891F45"/>
    <w:rsid w:val="008A12D8"/>
    <w:rsid w:val="008A2DAA"/>
    <w:rsid w:val="008A33FB"/>
    <w:rsid w:val="008B02FF"/>
    <w:rsid w:val="008B3DBA"/>
    <w:rsid w:val="008B5DA2"/>
    <w:rsid w:val="008B7028"/>
    <w:rsid w:val="008C004D"/>
    <w:rsid w:val="008C1DD9"/>
    <w:rsid w:val="008C2074"/>
    <w:rsid w:val="008C2488"/>
    <w:rsid w:val="008C34A6"/>
    <w:rsid w:val="008C34FF"/>
    <w:rsid w:val="008C7B9E"/>
    <w:rsid w:val="008D1245"/>
    <w:rsid w:val="008D4BCE"/>
    <w:rsid w:val="008E0983"/>
    <w:rsid w:val="008E0F31"/>
    <w:rsid w:val="008E1480"/>
    <w:rsid w:val="008E402D"/>
    <w:rsid w:val="008E470D"/>
    <w:rsid w:val="008E5597"/>
    <w:rsid w:val="008F010C"/>
    <w:rsid w:val="008F2721"/>
    <w:rsid w:val="008F37DF"/>
    <w:rsid w:val="008F48B8"/>
    <w:rsid w:val="008F4B7C"/>
    <w:rsid w:val="008F5003"/>
    <w:rsid w:val="008F5A8E"/>
    <w:rsid w:val="008F5AF9"/>
    <w:rsid w:val="008F602E"/>
    <w:rsid w:val="008F77D1"/>
    <w:rsid w:val="00900F5F"/>
    <w:rsid w:val="00902081"/>
    <w:rsid w:val="00910D56"/>
    <w:rsid w:val="00912A8F"/>
    <w:rsid w:val="00914BEE"/>
    <w:rsid w:val="00916676"/>
    <w:rsid w:val="00920622"/>
    <w:rsid w:val="00923C73"/>
    <w:rsid w:val="00925605"/>
    <w:rsid w:val="00927C7B"/>
    <w:rsid w:val="00936528"/>
    <w:rsid w:val="0094214D"/>
    <w:rsid w:val="009421A5"/>
    <w:rsid w:val="0094395E"/>
    <w:rsid w:val="00946103"/>
    <w:rsid w:val="009470A2"/>
    <w:rsid w:val="009476EA"/>
    <w:rsid w:val="00947858"/>
    <w:rsid w:val="009501FE"/>
    <w:rsid w:val="00950DA9"/>
    <w:rsid w:val="0095132D"/>
    <w:rsid w:val="00951F46"/>
    <w:rsid w:val="0095418B"/>
    <w:rsid w:val="009544C3"/>
    <w:rsid w:val="00954678"/>
    <w:rsid w:val="009558F1"/>
    <w:rsid w:val="00957760"/>
    <w:rsid w:val="00981556"/>
    <w:rsid w:val="009837B9"/>
    <w:rsid w:val="00986E73"/>
    <w:rsid w:val="009905CC"/>
    <w:rsid w:val="00992571"/>
    <w:rsid w:val="00994092"/>
    <w:rsid w:val="0099627C"/>
    <w:rsid w:val="009966F7"/>
    <w:rsid w:val="009A1676"/>
    <w:rsid w:val="009A3796"/>
    <w:rsid w:val="009A6480"/>
    <w:rsid w:val="009A680F"/>
    <w:rsid w:val="009B05C4"/>
    <w:rsid w:val="009B22B4"/>
    <w:rsid w:val="009B3746"/>
    <w:rsid w:val="009B4286"/>
    <w:rsid w:val="009B710D"/>
    <w:rsid w:val="009C0F40"/>
    <w:rsid w:val="009C390F"/>
    <w:rsid w:val="009C428B"/>
    <w:rsid w:val="009D07E4"/>
    <w:rsid w:val="009D3FA8"/>
    <w:rsid w:val="009E3A15"/>
    <w:rsid w:val="009E4D9D"/>
    <w:rsid w:val="009E708F"/>
    <w:rsid w:val="009F0F7B"/>
    <w:rsid w:val="009F44F3"/>
    <w:rsid w:val="009F5BAA"/>
    <w:rsid w:val="009F7805"/>
    <w:rsid w:val="009F785C"/>
    <w:rsid w:val="00A05D83"/>
    <w:rsid w:val="00A06F56"/>
    <w:rsid w:val="00A1079E"/>
    <w:rsid w:val="00A10D0D"/>
    <w:rsid w:val="00A10FA1"/>
    <w:rsid w:val="00A13C43"/>
    <w:rsid w:val="00A16284"/>
    <w:rsid w:val="00A1790F"/>
    <w:rsid w:val="00A205B7"/>
    <w:rsid w:val="00A229B0"/>
    <w:rsid w:val="00A32127"/>
    <w:rsid w:val="00A33132"/>
    <w:rsid w:val="00A37F76"/>
    <w:rsid w:val="00A420A4"/>
    <w:rsid w:val="00A4286B"/>
    <w:rsid w:val="00A4374B"/>
    <w:rsid w:val="00A44751"/>
    <w:rsid w:val="00A4763E"/>
    <w:rsid w:val="00A50107"/>
    <w:rsid w:val="00A55A8A"/>
    <w:rsid w:val="00A55AB8"/>
    <w:rsid w:val="00A654E4"/>
    <w:rsid w:val="00A705B4"/>
    <w:rsid w:val="00A71913"/>
    <w:rsid w:val="00A7212E"/>
    <w:rsid w:val="00A72E68"/>
    <w:rsid w:val="00A73413"/>
    <w:rsid w:val="00A73CBD"/>
    <w:rsid w:val="00A747FD"/>
    <w:rsid w:val="00A74E6A"/>
    <w:rsid w:val="00A779BE"/>
    <w:rsid w:val="00A90139"/>
    <w:rsid w:val="00A9134D"/>
    <w:rsid w:val="00A9650D"/>
    <w:rsid w:val="00AA266C"/>
    <w:rsid w:val="00AA5813"/>
    <w:rsid w:val="00AA6A28"/>
    <w:rsid w:val="00AA737A"/>
    <w:rsid w:val="00AA7B3F"/>
    <w:rsid w:val="00AB10E8"/>
    <w:rsid w:val="00AB1243"/>
    <w:rsid w:val="00AB1498"/>
    <w:rsid w:val="00AC4C57"/>
    <w:rsid w:val="00AC5813"/>
    <w:rsid w:val="00AD76D2"/>
    <w:rsid w:val="00AE6E36"/>
    <w:rsid w:val="00AE7B11"/>
    <w:rsid w:val="00AF15CA"/>
    <w:rsid w:val="00AF5EDE"/>
    <w:rsid w:val="00AF6720"/>
    <w:rsid w:val="00AF72DA"/>
    <w:rsid w:val="00B01403"/>
    <w:rsid w:val="00B05CAC"/>
    <w:rsid w:val="00B0677C"/>
    <w:rsid w:val="00B12B36"/>
    <w:rsid w:val="00B12D70"/>
    <w:rsid w:val="00B14CB9"/>
    <w:rsid w:val="00B17E38"/>
    <w:rsid w:val="00B204C3"/>
    <w:rsid w:val="00B22504"/>
    <w:rsid w:val="00B2284E"/>
    <w:rsid w:val="00B23B16"/>
    <w:rsid w:val="00B24018"/>
    <w:rsid w:val="00B2622D"/>
    <w:rsid w:val="00B31BFF"/>
    <w:rsid w:val="00B328A7"/>
    <w:rsid w:val="00B328CB"/>
    <w:rsid w:val="00B3345F"/>
    <w:rsid w:val="00B35984"/>
    <w:rsid w:val="00B35C15"/>
    <w:rsid w:val="00B36EEE"/>
    <w:rsid w:val="00B37A37"/>
    <w:rsid w:val="00B410FE"/>
    <w:rsid w:val="00B452D8"/>
    <w:rsid w:val="00B456B7"/>
    <w:rsid w:val="00B46C33"/>
    <w:rsid w:val="00B4735A"/>
    <w:rsid w:val="00B47985"/>
    <w:rsid w:val="00B54DCB"/>
    <w:rsid w:val="00B5761C"/>
    <w:rsid w:val="00B60D74"/>
    <w:rsid w:val="00B60E4C"/>
    <w:rsid w:val="00B61638"/>
    <w:rsid w:val="00B6405F"/>
    <w:rsid w:val="00B7101A"/>
    <w:rsid w:val="00B760DA"/>
    <w:rsid w:val="00B77C7F"/>
    <w:rsid w:val="00B77F6A"/>
    <w:rsid w:val="00B8160D"/>
    <w:rsid w:val="00B86723"/>
    <w:rsid w:val="00B90DE5"/>
    <w:rsid w:val="00B9180C"/>
    <w:rsid w:val="00BA119D"/>
    <w:rsid w:val="00BA4D04"/>
    <w:rsid w:val="00BB2646"/>
    <w:rsid w:val="00BB2A89"/>
    <w:rsid w:val="00BB6D8E"/>
    <w:rsid w:val="00BB7594"/>
    <w:rsid w:val="00BB7EC5"/>
    <w:rsid w:val="00BC0C92"/>
    <w:rsid w:val="00BC0FDF"/>
    <w:rsid w:val="00BD06B5"/>
    <w:rsid w:val="00BD3B20"/>
    <w:rsid w:val="00BE28D4"/>
    <w:rsid w:val="00BE4DE7"/>
    <w:rsid w:val="00BE6DF8"/>
    <w:rsid w:val="00BE7A66"/>
    <w:rsid w:val="00BF13C4"/>
    <w:rsid w:val="00BF5B44"/>
    <w:rsid w:val="00BF6932"/>
    <w:rsid w:val="00C02FA3"/>
    <w:rsid w:val="00C0343C"/>
    <w:rsid w:val="00C05209"/>
    <w:rsid w:val="00C0786E"/>
    <w:rsid w:val="00C1165B"/>
    <w:rsid w:val="00C1252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4934"/>
    <w:rsid w:val="00C35B1B"/>
    <w:rsid w:val="00C40903"/>
    <w:rsid w:val="00C4268E"/>
    <w:rsid w:val="00C448AC"/>
    <w:rsid w:val="00C44CAA"/>
    <w:rsid w:val="00C46EDB"/>
    <w:rsid w:val="00C4742F"/>
    <w:rsid w:val="00C4743B"/>
    <w:rsid w:val="00C51587"/>
    <w:rsid w:val="00C57461"/>
    <w:rsid w:val="00C576C3"/>
    <w:rsid w:val="00C57992"/>
    <w:rsid w:val="00C603E3"/>
    <w:rsid w:val="00C70336"/>
    <w:rsid w:val="00C71DE4"/>
    <w:rsid w:val="00C72F98"/>
    <w:rsid w:val="00C74C65"/>
    <w:rsid w:val="00C765F6"/>
    <w:rsid w:val="00C7664D"/>
    <w:rsid w:val="00C80978"/>
    <w:rsid w:val="00C82221"/>
    <w:rsid w:val="00C82991"/>
    <w:rsid w:val="00C862EF"/>
    <w:rsid w:val="00C86E6E"/>
    <w:rsid w:val="00C87150"/>
    <w:rsid w:val="00C87335"/>
    <w:rsid w:val="00C93528"/>
    <w:rsid w:val="00C93BDD"/>
    <w:rsid w:val="00C94DE2"/>
    <w:rsid w:val="00CA017D"/>
    <w:rsid w:val="00CA4137"/>
    <w:rsid w:val="00CA584D"/>
    <w:rsid w:val="00CA7135"/>
    <w:rsid w:val="00CB0D2D"/>
    <w:rsid w:val="00CB2A97"/>
    <w:rsid w:val="00CB4A53"/>
    <w:rsid w:val="00CB5FEE"/>
    <w:rsid w:val="00CB6822"/>
    <w:rsid w:val="00CC08FD"/>
    <w:rsid w:val="00CC22CF"/>
    <w:rsid w:val="00CD1796"/>
    <w:rsid w:val="00CD5D6B"/>
    <w:rsid w:val="00CD7873"/>
    <w:rsid w:val="00CE0327"/>
    <w:rsid w:val="00CE07DF"/>
    <w:rsid w:val="00CE2C15"/>
    <w:rsid w:val="00CE37C6"/>
    <w:rsid w:val="00CE58AF"/>
    <w:rsid w:val="00CF48C7"/>
    <w:rsid w:val="00CF725D"/>
    <w:rsid w:val="00D0308B"/>
    <w:rsid w:val="00D05D80"/>
    <w:rsid w:val="00D104A7"/>
    <w:rsid w:val="00D1452D"/>
    <w:rsid w:val="00D145AD"/>
    <w:rsid w:val="00D1768F"/>
    <w:rsid w:val="00D20A66"/>
    <w:rsid w:val="00D2104F"/>
    <w:rsid w:val="00D212AA"/>
    <w:rsid w:val="00D212D5"/>
    <w:rsid w:val="00D279EE"/>
    <w:rsid w:val="00D335D2"/>
    <w:rsid w:val="00D36F62"/>
    <w:rsid w:val="00D4174F"/>
    <w:rsid w:val="00D44DD5"/>
    <w:rsid w:val="00D50E95"/>
    <w:rsid w:val="00D54E9A"/>
    <w:rsid w:val="00D5603A"/>
    <w:rsid w:val="00D6073C"/>
    <w:rsid w:val="00D63E7A"/>
    <w:rsid w:val="00D65982"/>
    <w:rsid w:val="00D678E9"/>
    <w:rsid w:val="00D67DFE"/>
    <w:rsid w:val="00D70E93"/>
    <w:rsid w:val="00D71CC8"/>
    <w:rsid w:val="00D734AB"/>
    <w:rsid w:val="00D73531"/>
    <w:rsid w:val="00D73577"/>
    <w:rsid w:val="00D75784"/>
    <w:rsid w:val="00D77A4D"/>
    <w:rsid w:val="00D77BE9"/>
    <w:rsid w:val="00D80159"/>
    <w:rsid w:val="00D848A1"/>
    <w:rsid w:val="00D84A03"/>
    <w:rsid w:val="00D86F9E"/>
    <w:rsid w:val="00D871FD"/>
    <w:rsid w:val="00D91B8A"/>
    <w:rsid w:val="00D934EA"/>
    <w:rsid w:val="00D94E2A"/>
    <w:rsid w:val="00D96417"/>
    <w:rsid w:val="00D969FD"/>
    <w:rsid w:val="00DA183D"/>
    <w:rsid w:val="00DB0CAA"/>
    <w:rsid w:val="00DB239C"/>
    <w:rsid w:val="00DB3B70"/>
    <w:rsid w:val="00DB50B3"/>
    <w:rsid w:val="00DB7140"/>
    <w:rsid w:val="00DC698D"/>
    <w:rsid w:val="00DC75AA"/>
    <w:rsid w:val="00DD0659"/>
    <w:rsid w:val="00DD55C5"/>
    <w:rsid w:val="00DD6D73"/>
    <w:rsid w:val="00DE3558"/>
    <w:rsid w:val="00DF62A5"/>
    <w:rsid w:val="00E0129C"/>
    <w:rsid w:val="00E05D5D"/>
    <w:rsid w:val="00E11C51"/>
    <w:rsid w:val="00E12ECF"/>
    <w:rsid w:val="00E17861"/>
    <w:rsid w:val="00E20621"/>
    <w:rsid w:val="00E21D4F"/>
    <w:rsid w:val="00E258AE"/>
    <w:rsid w:val="00E3410D"/>
    <w:rsid w:val="00E34A51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7688"/>
    <w:rsid w:val="00E47AD4"/>
    <w:rsid w:val="00E53E3E"/>
    <w:rsid w:val="00E55778"/>
    <w:rsid w:val="00E56483"/>
    <w:rsid w:val="00E64EBC"/>
    <w:rsid w:val="00E6665B"/>
    <w:rsid w:val="00E67795"/>
    <w:rsid w:val="00E67FE5"/>
    <w:rsid w:val="00E7190C"/>
    <w:rsid w:val="00E74844"/>
    <w:rsid w:val="00E74871"/>
    <w:rsid w:val="00E75F3F"/>
    <w:rsid w:val="00E75FBB"/>
    <w:rsid w:val="00E76F41"/>
    <w:rsid w:val="00E812E0"/>
    <w:rsid w:val="00E8247A"/>
    <w:rsid w:val="00E86375"/>
    <w:rsid w:val="00E92338"/>
    <w:rsid w:val="00E937DA"/>
    <w:rsid w:val="00EA09EA"/>
    <w:rsid w:val="00EA0B4C"/>
    <w:rsid w:val="00EA6FE7"/>
    <w:rsid w:val="00EA76AC"/>
    <w:rsid w:val="00EB199D"/>
    <w:rsid w:val="00EB5475"/>
    <w:rsid w:val="00EB7368"/>
    <w:rsid w:val="00EC04E5"/>
    <w:rsid w:val="00EC38BC"/>
    <w:rsid w:val="00EC6A37"/>
    <w:rsid w:val="00ED3462"/>
    <w:rsid w:val="00ED3C85"/>
    <w:rsid w:val="00ED73ED"/>
    <w:rsid w:val="00EE163F"/>
    <w:rsid w:val="00EE2B81"/>
    <w:rsid w:val="00EE4DB1"/>
    <w:rsid w:val="00EE5005"/>
    <w:rsid w:val="00EE6424"/>
    <w:rsid w:val="00EE7D42"/>
    <w:rsid w:val="00EE7EB5"/>
    <w:rsid w:val="00EF1421"/>
    <w:rsid w:val="00EF2569"/>
    <w:rsid w:val="00EF52E7"/>
    <w:rsid w:val="00F01C32"/>
    <w:rsid w:val="00F03D81"/>
    <w:rsid w:val="00F071FF"/>
    <w:rsid w:val="00F110AA"/>
    <w:rsid w:val="00F14109"/>
    <w:rsid w:val="00F161E1"/>
    <w:rsid w:val="00F1724E"/>
    <w:rsid w:val="00F23022"/>
    <w:rsid w:val="00F235FE"/>
    <w:rsid w:val="00F248E0"/>
    <w:rsid w:val="00F26672"/>
    <w:rsid w:val="00F309B8"/>
    <w:rsid w:val="00F3180F"/>
    <w:rsid w:val="00F32EDB"/>
    <w:rsid w:val="00F34F4F"/>
    <w:rsid w:val="00F425A6"/>
    <w:rsid w:val="00F437FB"/>
    <w:rsid w:val="00F577F6"/>
    <w:rsid w:val="00F6170F"/>
    <w:rsid w:val="00F61AC5"/>
    <w:rsid w:val="00F65538"/>
    <w:rsid w:val="00F661EC"/>
    <w:rsid w:val="00F72086"/>
    <w:rsid w:val="00F72466"/>
    <w:rsid w:val="00F72F67"/>
    <w:rsid w:val="00F736B6"/>
    <w:rsid w:val="00F753E2"/>
    <w:rsid w:val="00F7590E"/>
    <w:rsid w:val="00F75E9F"/>
    <w:rsid w:val="00F7776F"/>
    <w:rsid w:val="00F82ACC"/>
    <w:rsid w:val="00F8384F"/>
    <w:rsid w:val="00F84B82"/>
    <w:rsid w:val="00F90247"/>
    <w:rsid w:val="00F94F7B"/>
    <w:rsid w:val="00F962A1"/>
    <w:rsid w:val="00FA0553"/>
    <w:rsid w:val="00FA2377"/>
    <w:rsid w:val="00FA2C72"/>
    <w:rsid w:val="00FA4C01"/>
    <w:rsid w:val="00FA4E84"/>
    <w:rsid w:val="00FA6CD9"/>
    <w:rsid w:val="00FB2BBD"/>
    <w:rsid w:val="00FB3710"/>
    <w:rsid w:val="00FB41A7"/>
    <w:rsid w:val="00FB6FE2"/>
    <w:rsid w:val="00FB7CF7"/>
    <w:rsid w:val="00FC0C07"/>
    <w:rsid w:val="00FC1336"/>
    <w:rsid w:val="00FC2383"/>
    <w:rsid w:val="00FC60F7"/>
    <w:rsid w:val="00FD4477"/>
    <w:rsid w:val="00FD78C2"/>
    <w:rsid w:val="00FD7A6C"/>
    <w:rsid w:val="00FE0ECD"/>
    <w:rsid w:val="00FF0552"/>
    <w:rsid w:val="00FF145A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F2E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392165"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92165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2165"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4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0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6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7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5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C4743B"/>
    <w:pPr>
      <w:tabs>
        <w:tab w:val="left" w:pos="426"/>
      </w:tabs>
      <w:ind w:left="459" w:hanging="33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70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703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3703"/>
    <w:rPr>
      <w:vertAlign w:val="superscript"/>
    </w:rPr>
  </w:style>
  <w:style w:type="paragraph" w:customStyle="1" w:styleId="Zkladntext31">
    <w:name w:val="Základní text 31"/>
    <w:basedOn w:val="Normln"/>
    <w:rsid w:val="00315799"/>
    <w:pPr>
      <w:tabs>
        <w:tab w:val="left" w:pos="-720"/>
      </w:tabs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lnek1VPP">
    <w:name w:val="Článek 1. VPP"/>
    <w:next w:val="Normln"/>
    <w:rsid w:val="003157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o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462E0661056428CB444720F27A109" ma:contentTypeVersion="1" ma:contentTypeDescription="Vytvoří nový dokument" ma:contentTypeScope="" ma:versionID="bce5224f24a58908826d6899f7a20760">
  <xsd:schema xmlns:xsd="http://www.w3.org/2001/XMLSchema" xmlns:xs="http://www.w3.org/2001/XMLSchema" xmlns:p="http://schemas.microsoft.com/office/2006/metadata/properties" xmlns:ns2="78e1c05a-7334-4a25-a9a6-d513c3a67836" targetNamespace="http://schemas.microsoft.com/office/2006/metadata/properties" ma:root="true" ma:fieldsID="d83ab1cda0849006f5dbdb03b78c28fb" ns2:_="">
    <xsd:import namespace="78e1c05a-7334-4a25-a9a6-d513c3a6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c05a-7334-4a25-a9a6-d513c3a6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C998-ADCE-49CD-A850-DA08F385E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FB5A4-57DE-4C79-97EC-1853045A8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75BFD-036A-4D69-B351-9A0F864DD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c05a-7334-4a25-a9a6-d513c3a6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B8F40-F691-49CF-82F8-B0A6C272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4375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30131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mdufek</cp:lastModifiedBy>
  <cp:revision>3</cp:revision>
  <cp:lastPrinted>2020-03-20T09:07:00Z</cp:lastPrinted>
  <dcterms:created xsi:type="dcterms:W3CDTF">2021-02-10T09:53:00Z</dcterms:created>
  <dcterms:modified xsi:type="dcterms:W3CDTF">2021-02-10T09:54:00Z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0x010100A59462E0661056428CB444720F27A109</vt:lpwstr>
  </property>
</Properties>
</file>