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1986" w14:textId="77777777" w:rsidR="00620C19" w:rsidRPr="00B361C9" w:rsidRDefault="00620C19" w:rsidP="00620C19">
      <w:pPr>
        <w:pStyle w:val="Normln1"/>
        <w:jc w:val="center"/>
        <w:rPr>
          <w:rFonts w:ascii="Calibri" w:hAnsi="Calibri"/>
          <w:b/>
          <w:color w:val="auto"/>
          <w:sz w:val="28"/>
          <w:szCs w:val="28"/>
        </w:rPr>
      </w:pPr>
      <w:r w:rsidRPr="00B361C9">
        <w:rPr>
          <w:rFonts w:ascii="Calibri" w:hAnsi="Calibri"/>
          <w:b/>
          <w:color w:val="auto"/>
          <w:sz w:val="28"/>
          <w:szCs w:val="28"/>
        </w:rPr>
        <w:t>Smlouva o dodávce elektřiny</w:t>
      </w:r>
    </w:p>
    <w:p w14:paraId="7ADE0098" w14:textId="77777777" w:rsidR="00620C19" w:rsidRPr="00B361C9" w:rsidRDefault="00620C19" w:rsidP="00620C19">
      <w:pPr>
        <w:pStyle w:val="Normln1"/>
        <w:jc w:val="center"/>
        <w:rPr>
          <w:rFonts w:ascii="Calibri" w:hAnsi="Calibri"/>
          <w:b/>
          <w:color w:val="auto"/>
          <w:sz w:val="28"/>
          <w:szCs w:val="28"/>
        </w:rPr>
      </w:pPr>
      <w:r w:rsidRPr="00B361C9">
        <w:rPr>
          <w:rFonts w:ascii="Calibri" w:hAnsi="Calibri"/>
          <w:b/>
          <w:color w:val="auto"/>
          <w:sz w:val="28"/>
          <w:szCs w:val="28"/>
        </w:rPr>
        <w:t>s převzetím závazku dodat elektřinu do elektrizační soustavy</w:t>
      </w:r>
    </w:p>
    <w:p w14:paraId="31C9BC08" w14:textId="77777777" w:rsidR="00620C19" w:rsidRPr="00B361C9" w:rsidRDefault="00620C19" w:rsidP="00620C19">
      <w:pPr>
        <w:pStyle w:val="Normln1"/>
        <w:rPr>
          <w:rFonts w:ascii="Calibri" w:hAnsi="Calibri"/>
          <w:b/>
          <w:color w:val="auto"/>
          <w:sz w:val="28"/>
          <w:szCs w:val="28"/>
        </w:rPr>
      </w:pPr>
    </w:p>
    <w:p w14:paraId="233F5FA4" w14:textId="1B8760AA" w:rsidR="00620C19" w:rsidRPr="00B361C9" w:rsidRDefault="00620C19" w:rsidP="00620C19">
      <w:pPr>
        <w:pStyle w:val="Normln1"/>
        <w:ind w:left="284" w:hanging="284"/>
        <w:jc w:val="center"/>
        <w:rPr>
          <w:rFonts w:ascii="Calibri" w:hAnsi="Calibri"/>
          <w:color w:val="auto"/>
          <w:sz w:val="18"/>
          <w:szCs w:val="18"/>
        </w:rPr>
      </w:pPr>
      <w:r w:rsidRPr="00B361C9">
        <w:rPr>
          <w:rFonts w:ascii="Calibri" w:hAnsi="Calibri"/>
          <w:color w:val="auto"/>
          <w:sz w:val="18"/>
          <w:szCs w:val="18"/>
        </w:rPr>
        <w:t>Uzavřená v souladu se zákonem č. 458/2000 Sb., energetický zákon, v platném znění, zák. č. 89/2012 Sb., občanský zákoník, v platném znění, a vyhláškou</w:t>
      </w:r>
      <w:r w:rsidR="006B6BBE">
        <w:rPr>
          <w:rFonts w:ascii="Calibri" w:hAnsi="Calibri"/>
          <w:color w:val="auto"/>
          <w:sz w:val="18"/>
          <w:szCs w:val="18"/>
        </w:rPr>
        <w:t xml:space="preserve"> č. 408/2015 Sb., o Pravidlech trhu</w:t>
      </w:r>
      <w:r w:rsidRPr="00B361C9">
        <w:rPr>
          <w:rFonts w:ascii="Calibri" w:hAnsi="Calibri"/>
          <w:color w:val="auto"/>
          <w:sz w:val="18"/>
          <w:szCs w:val="18"/>
        </w:rPr>
        <w:t>.</w:t>
      </w:r>
    </w:p>
    <w:p w14:paraId="5144DD29" w14:textId="77777777" w:rsidR="00620C19" w:rsidRPr="00B361C9" w:rsidRDefault="00620C19" w:rsidP="00620C19">
      <w:pPr>
        <w:pStyle w:val="Normln1"/>
        <w:rPr>
          <w:rFonts w:ascii="Calibri" w:hAnsi="Calibri"/>
        </w:rPr>
      </w:pPr>
    </w:p>
    <w:p w14:paraId="59E54BC7" w14:textId="32DB1A16" w:rsidR="00620C19" w:rsidRPr="00333654"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line="240" w:lineRule="auto"/>
        <w:jc w:val="both"/>
        <w:rPr>
          <w:rFonts w:ascii="Calibri" w:hAnsi="Calibri"/>
        </w:rPr>
      </w:pPr>
      <w:r w:rsidRPr="00333654">
        <w:rPr>
          <w:rFonts w:ascii="Calibri" w:hAnsi="Calibri"/>
        </w:rPr>
        <w:t xml:space="preserve">Číslo smlouvy: </w:t>
      </w:r>
      <w:r w:rsidR="00D34972" w:rsidRPr="00D34972">
        <w:rPr>
          <w:rFonts w:ascii="Calibri" w:hAnsi="Calibri"/>
        </w:rPr>
        <w:t>ASA50008250</w:t>
      </w:r>
    </w:p>
    <w:p w14:paraId="4C9901FC" w14:textId="11C585AE" w:rsidR="00620C19" w:rsidRPr="00333654"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line="240" w:lineRule="auto"/>
        <w:jc w:val="both"/>
        <w:rPr>
          <w:rFonts w:ascii="Calibri" w:hAnsi="Calibri"/>
        </w:rPr>
      </w:pPr>
      <w:r w:rsidRPr="00333654">
        <w:rPr>
          <w:rFonts w:ascii="Calibri" w:hAnsi="Calibri"/>
        </w:rPr>
        <w:t xml:space="preserve">ID: </w:t>
      </w:r>
      <w:r w:rsidR="0002588F" w:rsidRPr="0002588F">
        <w:rPr>
          <w:rFonts w:ascii="Calibri" w:hAnsi="Calibri"/>
        </w:rPr>
        <w:t>EN-02804-02</w:t>
      </w:r>
    </w:p>
    <w:p w14:paraId="24EE0195" w14:textId="77777777" w:rsidR="00620C19" w:rsidRPr="00333654" w:rsidRDefault="00620C19" w:rsidP="00620C19">
      <w:pPr>
        <w:pStyle w:val="Normln1"/>
        <w:ind w:left="284" w:hanging="284"/>
        <w:rPr>
          <w:rFonts w:ascii="Calibri" w:hAnsi="Calibri"/>
          <w:color w:val="auto"/>
          <w:sz w:val="22"/>
          <w:szCs w:val="22"/>
        </w:rPr>
      </w:pPr>
    </w:p>
    <w:p w14:paraId="59BF6D38" w14:textId="77777777" w:rsidR="00620C19" w:rsidRPr="00333654" w:rsidRDefault="00620C19" w:rsidP="00620C19">
      <w:pPr>
        <w:pStyle w:val="Normln1"/>
        <w:ind w:left="284" w:hanging="284"/>
        <w:rPr>
          <w:rFonts w:ascii="Calibri" w:hAnsi="Calibri"/>
          <w:color w:val="auto"/>
          <w:sz w:val="22"/>
          <w:szCs w:val="22"/>
        </w:rPr>
      </w:pPr>
    </w:p>
    <w:p w14:paraId="1FCDF11C" w14:textId="77777777"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Uzavřená mezi výrobcem elektřiny</w:t>
      </w:r>
    </w:p>
    <w:p w14:paraId="3AA78B00" w14:textId="77777777" w:rsidR="00620C19" w:rsidRPr="000B2352" w:rsidRDefault="00620C19" w:rsidP="00620C19">
      <w:pPr>
        <w:pStyle w:val="Normln1"/>
        <w:ind w:left="284" w:hanging="284"/>
        <w:rPr>
          <w:rFonts w:ascii="Calibri" w:hAnsi="Calibri"/>
          <w:color w:val="auto"/>
          <w:sz w:val="22"/>
          <w:szCs w:val="22"/>
        </w:rPr>
      </w:pPr>
    </w:p>
    <w:p w14:paraId="488C51F2" w14:textId="61594D94"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r>
      <w:r w:rsidR="00021091" w:rsidRPr="00021091">
        <w:rPr>
          <w:rFonts w:ascii="Calibri" w:hAnsi="Calibri"/>
          <w:b/>
          <w:color w:val="auto"/>
          <w:sz w:val="22"/>
          <w:szCs w:val="22"/>
        </w:rPr>
        <w:t>KV Arena, s.r.o.</w:t>
      </w:r>
    </w:p>
    <w:p w14:paraId="4A308DAD" w14:textId="18C57CA1"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 xml:space="preserve">              Se sídlem: </w:t>
      </w:r>
      <w:r w:rsidR="00021091">
        <w:rPr>
          <w:rFonts w:ascii="Verdana" w:hAnsi="Verdana"/>
          <w:color w:val="333333"/>
          <w:sz w:val="18"/>
          <w:szCs w:val="18"/>
          <w:shd w:val="clear" w:color="auto" w:fill="FFFFFF"/>
        </w:rPr>
        <w:t>Západní 1812/73, 360 01 Karlovy Vary</w:t>
      </w:r>
    </w:p>
    <w:p w14:paraId="43B7FABE" w14:textId="0709FE77"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IČ:</w:t>
      </w:r>
      <w:r w:rsidR="00021091" w:rsidRPr="00021091">
        <w:rPr>
          <w:rFonts w:ascii="Verdana" w:hAnsi="Verdana"/>
          <w:color w:val="333333"/>
          <w:sz w:val="18"/>
          <w:szCs w:val="18"/>
          <w:shd w:val="clear" w:color="auto" w:fill="FFFFFF"/>
        </w:rPr>
        <w:t xml:space="preserve"> </w:t>
      </w:r>
      <w:r w:rsidR="00021091">
        <w:rPr>
          <w:rFonts w:ascii="Verdana" w:hAnsi="Verdana"/>
          <w:color w:val="333333"/>
          <w:sz w:val="18"/>
          <w:szCs w:val="18"/>
          <w:shd w:val="clear" w:color="auto" w:fill="FFFFFF"/>
        </w:rPr>
        <w:t>27968561</w:t>
      </w:r>
    </w:p>
    <w:p w14:paraId="041B1D26" w14:textId="46D1FDA8"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DIČ:</w:t>
      </w:r>
      <w:r w:rsidR="00021091">
        <w:rPr>
          <w:rFonts w:ascii="Calibri" w:hAnsi="Calibri"/>
          <w:color w:val="auto"/>
          <w:sz w:val="22"/>
          <w:szCs w:val="22"/>
        </w:rPr>
        <w:t xml:space="preserve"> </w:t>
      </w:r>
      <w:r w:rsidR="00021091" w:rsidRPr="009B7658">
        <w:rPr>
          <w:rFonts w:ascii="Calibri" w:hAnsi="Calibri"/>
          <w:color w:val="auto"/>
          <w:sz w:val="22"/>
          <w:szCs w:val="22"/>
        </w:rPr>
        <w:t>CZ</w:t>
      </w:r>
      <w:r w:rsidR="00021091" w:rsidRPr="009B7658">
        <w:rPr>
          <w:rFonts w:ascii="Verdana" w:hAnsi="Verdana"/>
          <w:color w:val="auto"/>
          <w:sz w:val="18"/>
          <w:szCs w:val="18"/>
          <w:shd w:val="clear" w:color="auto" w:fill="FFFFFF"/>
        </w:rPr>
        <w:t xml:space="preserve"> 27968561 </w:t>
      </w:r>
      <w:r w:rsidRPr="009B7658">
        <w:rPr>
          <w:rFonts w:ascii="Calibri" w:hAnsi="Calibri"/>
          <w:color w:val="auto"/>
          <w:sz w:val="22"/>
          <w:szCs w:val="22"/>
        </w:rPr>
        <w:t xml:space="preserve">              </w:t>
      </w:r>
    </w:p>
    <w:p w14:paraId="0CEA0CA9" w14:textId="289CC82F" w:rsidR="00620C19"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 xml:space="preserve">Číslo účtu: </w:t>
      </w:r>
      <w:r w:rsidR="009B7658" w:rsidRPr="009B7658">
        <w:rPr>
          <w:rFonts w:ascii="Verdana" w:hAnsi="Verdana"/>
          <w:color w:val="333333"/>
          <w:sz w:val="18"/>
          <w:szCs w:val="18"/>
          <w:shd w:val="clear" w:color="auto" w:fill="FFFFFF"/>
        </w:rPr>
        <w:t>43-3207660237/0100</w:t>
      </w:r>
    </w:p>
    <w:p w14:paraId="255CFAE6" w14:textId="48AFE12D" w:rsidR="00574EF0" w:rsidRPr="000B2352" w:rsidRDefault="00574EF0" w:rsidP="00620C19">
      <w:pPr>
        <w:pStyle w:val="Normln1"/>
        <w:ind w:left="284" w:hanging="284"/>
        <w:rPr>
          <w:rFonts w:ascii="Calibri" w:hAnsi="Calibri"/>
          <w:color w:val="auto"/>
          <w:sz w:val="22"/>
          <w:szCs w:val="22"/>
        </w:rPr>
      </w:pPr>
      <w:r>
        <w:rPr>
          <w:rFonts w:ascii="Calibri" w:hAnsi="Calibri"/>
          <w:color w:val="auto"/>
          <w:sz w:val="22"/>
          <w:szCs w:val="22"/>
        </w:rPr>
        <w:tab/>
      </w:r>
      <w:r>
        <w:rPr>
          <w:rFonts w:ascii="Calibri" w:hAnsi="Calibri"/>
          <w:color w:val="auto"/>
          <w:sz w:val="22"/>
          <w:szCs w:val="22"/>
        </w:rPr>
        <w:tab/>
        <w:t>Zastoupený:</w:t>
      </w:r>
      <w:r w:rsidR="00021091">
        <w:rPr>
          <w:rFonts w:ascii="Calibri" w:hAnsi="Calibri"/>
          <w:color w:val="auto"/>
          <w:sz w:val="22"/>
          <w:szCs w:val="22"/>
        </w:rPr>
        <w:t xml:space="preserve"> Ing. Romanem </w:t>
      </w:r>
      <w:proofErr w:type="spellStart"/>
      <w:r w:rsidR="00021091">
        <w:rPr>
          <w:rFonts w:ascii="Calibri" w:hAnsi="Calibri"/>
          <w:color w:val="auto"/>
          <w:sz w:val="22"/>
          <w:szCs w:val="22"/>
        </w:rPr>
        <w:t>Rokůskem</w:t>
      </w:r>
      <w:proofErr w:type="spellEnd"/>
    </w:p>
    <w:p w14:paraId="09F45709" w14:textId="7F18E076"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r>
      <w:r w:rsidR="009B7658">
        <w:rPr>
          <w:rFonts w:ascii="Calibri" w:hAnsi="Calibri"/>
          <w:color w:val="auto"/>
          <w:sz w:val="22"/>
          <w:szCs w:val="22"/>
        </w:rPr>
        <w:t xml:space="preserve">Licence </w:t>
      </w:r>
      <w:r w:rsidR="009B7658" w:rsidRPr="009B7658">
        <w:rPr>
          <w:rFonts w:ascii="Calibri" w:hAnsi="Calibri"/>
          <w:color w:val="auto"/>
          <w:sz w:val="22"/>
          <w:szCs w:val="22"/>
        </w:rPr>
        <w:t>111012694, skupina 11</w:t>
      </w:r>
    </w:p>
    <w:p w14:paraId="7DBBAB1D" w14:textId="59AE7656"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 xml:space="preserve">Kontaktní osoba: </w:t>
      </w:r>
      <w:r w:rsidR="00021091">
        <w:rPr>
          <w:rFonts w:ascii="Calibri" w:hAnsi="Calibri"/>
          <w:color w:val="auto"/>
          <w:sz w:val="22"/>
          <w:szCs w:val="22"/>
        </w:rPr>
        <w:t xml:space="preserve">Petr </w:t>
      </w:r>
      <w:proofErr w:type="spellStart"/>
      <w:r w:rsidR="00021091">
        <w:rPr>
          <w:rFonts w:ascii="Calibri" w:hAnsi="Calibri"/>
          <w:color w:val="auto"/>
          <w:sz w:val="22"/>
          <w:szCs w:val="22"/>
        </w:rPr>
        <w:t>Koldinský</w:t>
      </w:r>
      <w:proofErr w:type="spellEnd"/>
    </w:p>
    <w:p w14:paraId="23A0763E" w14:textId="3D9C2136"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 xml:space="preserve">Kontaktní telefon: </w:t>
      </w:r>
      <w:r w:rsidR="00021091" w:rsidRPr="00021091">
        <w:rPr>
          <w:rFonts w:ascii="Calibri" w:hAnsi="Calibri"/>
          <w:color w:val="auto"/>
          <w:sz w:val="22"/>
          <w:szCs w:val="22"/>
        </w:rPr>
        <w:t>725 500 293</w:t>
      </w:r>
    </w:p>
    <w:p w14:paraId="5DE4E1FE" w14:textId="55B4A684" w:rsidR="00620C19" w:rsidRPr="000B2352" w:rsidRDefault="00620C19" w:rsidP="00620C19">
      <w:pPr>
        <w:pStyle w:val="Normln1"/>
        <w:ind w:left="284" w:hanging="284"/>
        <w:rPr>
          <w:rFonts w:ascii="Calibri" w:hAnsi="Calibri"/>
          <w:color w:val="auto"/>
          <w:sz w:val="22"/>
          <w:szCs w:val="22"/>
        </w:rPr>
      </w:pPr>
      <w:r w:rsidRPr="000B2352">
        <w:rPr>
          <w:rFonts w:ascii="Calibri" w:hAnsi="Calibri"/>
          <w:color w:val="auto"/>
          <w:sz w:val="22"/>
          <w:szCs w:val="22"/>
        </w:rPr>
        <w:tab/>
      </w:r>
      <w:r w:rsidRPr="000B2352">
        <w:rPr>
          <w:rFonts w:ascii="Calibri" w:hAnsi="Calibri"/>
          <w:color w:val="auto"/>
          <w:sz w:val="22"/>
          <w:szCs w:val="22"/>
        </w:rPr>
        <w:tab/>
        <w:t xml:space="preserve">Kontaktní email: </w:t>
      </w:r>
      <w:hyperlink r:id="rId7" w:history="1">
        <w:r w:rsidR="00021091" w:rsidRPr="00021091">
          <w:rPr>
            <w:rFonts w:ascii="Calibri" w:hAnsi="Calibri"/>
            <w:color w:val="auto"/>
            <w:sz w:val="22"/>
            <w:szCs w:val="22"/>
          </w:rPr>
          <w:t>koldinsky@kvarena.cz</w:t>
        </w:r>
      </w:hyperlink>
    </w:p>
    <w:p w14:paraId="30BEB354" w14:textId="77777777" w:rsidR="00620C19" w:rsidRPr="000B2352" w:rsidRDefault="00620C19" w:rsidP="00620C19">
      <w:pPr>
        <w:pStyle w:val="Normln1"/>
        <w:ind w:left="284" w:hanging="284"/>
        <w:rPr>
          <w:rFonts w:ascii="Calibri" w:hAnsi="Calibri"/>
          <w:color w:val="auto"/>
          <w:sz w:val="22"/>
          <w:szCs w:val="22"/>
        </w:rPr>
      </w:pPr>
    </w:p>
    <w:p w14:paraId="1EF26021" w14:textId="77777777" w:rsidR="00620C19" w:rsidRPr="000B2352" w:rsidRDefault="00620C19" w:rsidP="00620C19">
      <w:pPr>
        <w:pStyle w:val="Normln1"/>
        <w:ind w:left="284" w:hanging="284"/>
        <w:rPr>
          <w:rFonts w:ascii="Calibri" w:hAnsi="Calibri"/>
          <w:color w:val="auto"/>
          <w:sz w:val="22"/>
          <w:szCs w:val="22"/>
        </w:rPr>
      </w:pPr>
      <w:r w:rsidRPr="005950D5">
        <w:rPr>
          <w:rFonts w:ascii="Calibri" w:hAnsi="Calibri"/>
          <w:color w:val="auto"/>
          <w:sz w:val="22"/>
          <w:szCs w:val="22"/>
        </w:rPr>
        <w:tab/>
      </w:r>
      <w:r>
        <w:rPr>
          <w:rFonts w:ascii="Calibri" w:hAnsi="Calibri"/>
          <w:color w:val="auto"/>
          <w:sz w:val="22"/>
          <w:szCs w:val="22"/>
        </w:rPr>
        <w:tab/>
        <w:t>(</w:t>
      </w:r>
      <w:r w:rsidRPr="005950D5">
        <w:rPr>
          <w:rFonts w:ascii="Calibri" w:hAnsi="Calibri"/>
          <w:color w:val="auto"/>
          <w:sz w:val="22"/>
          <w:szCs w:val="22"/>
        </w:rPr>
        <w:t>dále jen „výrobce“</w:t>
      </w:r>
      <w:r>
        <w:rPr>
          <w:rFonts w:ascii="Calibri" w:hAnsi="Calibri"/>
          <w:color w:val="auto"/>
          <w:sz w:val="22"/>
          <w:szCs w:val="22"/>
        </w:rPr>
        <w:t>)</w:t>
      </w:r>
    </w:p>
    <w:p w14:paraId="535E97D2" w14:textId="77777777" w:rsidR="00620C19" w:rsidRDefault="00620C19" w:rsidP="00620C19">
      <w:pPr>
        <w:pStyle w:val="Normln1"/>
        <w:ind w:left="284" w:hanging="284"/>
        <w:rPr>
          <w:rFonts w:ascii="Calibri" w:hAnsi="Calibri"/>
          <w:color w:val="auto"/>
          <w:sz w:val="22"/>
          <w:szCs w:val="22"/>
        </w:rPr>
      </w:pPr>
    </w:p>
    <w:p w14:paraId="6EF33837" w14:textId="77777777" w:rsidR="00620C19" w:rsidRPr="005950D5" w:rsidRDefault="00620C19" w:rsidP="00620C19">
      <w:pPr>
        <w:pStyle w:val="Normln1"/>
        <w:ind w:left="284" w:hanging="284"/>
        <w:rPr>
          <w:rFonts w:ascii="Calibri" w:hAnsi="Calibri"/>
          <w:color w:val="auto"/>
          <w:sz w:val="22"/>
          <w:szCs w:val="22"/>
        </w:rPr>
      </w:pPr>
      <w:r w:rsidRPr="005950D5">
        <w:rPr>
          <w:rFonts w:ascii="Calibri" w:hAnsi="Calibri"/>
          <w:color w:val="auto"/>
          <w:sz w:val="22"/>
          <w:szCs w:val="22"/>
        </w:rPr>
        <w:t>a obchodníkem s elektřinou</w:t>
      </w:r>
    </w:p>
    <w:p w14:paraId="03C08986" w14:textId="77777777" w:rsidR="00620C19" w:rsidRPr="005950D5" w:rsidRDefault="00620C19" w:rsidP="00620C19">
      <w:pPr>
        <w:pStyle w:val="Normln1"/>
        <w:ind w:left="284" w:hanging="284"/>
        <w:rPr>
          <w:rFonts w:ascii="Calibri" w:hAnsi="Calibri"/>
          <w:color w:val="auto"/>
          <w:sz w:val="22"/>
          <w:szCs w:val="22"/>
        </w:rPr>
      </w:pPr>
    </w:p>
    <w:p w14:paraId="0C6890C1" w14:textId="77777777" w:rsidR="00620C19" w:rsidRPr="005950D5" w:rsidRDefault="00620C19" w:rsidP="00620C19">
      <w:pPr>
        <w:pStyle w:val="Normln1"/>
        <w:ind w:left="284" w:hanging="284"/>
        <w:jc w:val="both"/>
        <w:rPr>
          <w:rFonts w:ascii="Calibri" w:hAnsi="Calibri"/>
          <w:b/>
          <w:color w:val="auto"/>
          <w:sz w:val="22"/>
          <w:szCs w:val="22"/>
        </w:rPr>
      </w:pPr>
      <w:r w:rsidRPr="005950D5">
        <w:rPr>
          <w:rFonts w:ascii="Calibri" w:hAnsi="Calibri"/>
          <w:color w:val="auto"/>
          <w:sz w:val="22"/>
          <w:szCs w:val="22"/>
        </w:rPr>
        <w:tab/>
      </w:r>
      <w:r w:rsidRPr="005950D5">
        <w:rPr>
          <w:rFonts w:ascii="Calibri" w:hAnsi="Calibri"/>
          <w:color w:val="auto"/>
          <w:sz w:val="22"/>
          <w:szCs w:val="22"/>
        </w:rPr>
        <w:tab/>
      </w:r>
      <w:r w:rsidRPr="005950D5">
        <w:rPr>
          <w:rFonts w:ascii="Calibri" w:hAnsi="Calibri"/>
          <w:b/>
          <w:color w:val="auto"/>
          <w:sz w:val="22"/>
          <w:szCs w:val="22"/>
        </w:rPr>
        <w:t>Amper Market, a.s.</w:t>
      </w:r>
    </w:p>
    <w:p w14:paraId="228602FF" w14:textId="77777777" w:rsidR="00620C19" w:rsidRPr="005950D5"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rPr>
      </w:pPr>
      <w:r w:rsidRPr="005950D5">
        <w:rPr>
          <w:rFonts w:ascii="Calibri" w:hAnsi="Calibri"/>
        </w:rPr>
        <w:tab/>
        <w:t xml:space="preserve">Se sídlem: Na Poříčí 1046/24, 110 </w:t>
      </w:r>
      <w:proofErr w:type="gramStart"/>
      <w:r w:rsidRPr="005950D5">
        <w:rPr>
          <w:rFonts w:ascii="Calibri" w:hAnsi="Calibri"/>
        </w:rPr>
        <w:t>00  Praha</w:t>
      </w:r>
      <w:proofErr w:type="gramEnd"/>
      <w:r w:rsidRPr="005950D5">
        <w:rPr>
          <w:rFonts w:ascii="Calibri" w:hAnsi="Calibri"/>
        </w:rPr>
        <w:t xml:space="preserve"> 1</w:t>
      </w:r>
    </w:p>
    <w:p w14:paraId="0A2DC409" w14:textId="77777777" w:rsidR="00620C19" w:rsidRPr="005950D5" w:rsidRDefault="00620C19" w:rsidP="00620C19">
      <w:pPr>
        <w:pStyle w:val="Normln1"/>
        <w:ind w:left="284" w:hanging="284"/>
        <w:jc w:val="both"/>
        <w:rPr>
          <w:rFonts w:ascii="Calibri" w:hAnsi="Calibri"/>
          <w:color w:val="auto"/>
          <w:sz w:val="22"/>
          <w:szCs w:val="22"/>
        </w:rPr>
      </w:pPr>
      <w:r w:rsidRPr="005950D5">
        <w:rPr>
          <w:rFonts w:ascii="Calibri" w:hAnsi="Calibri"/>
          <w:color w:val="auto"/>
          <w:sz w:val="22"/>
          <w:szCs w:val="22"/>
        </w:rPr>
        <w:tab/>
      </w:r>
      <w:r w:rsidRPr="005950D5">
        <w:rPr>
          <w:rFonts w:ascii="Calibri" w:hAnsi="Calibri"/>
          <w:color w:val="auto"/>
          <w:sz w:val="22"/>
          <w:szCs w:val="22"/>
        </w:rPr>
        <w:tab/>
        <w:t>IČ: 241 28 376</w:t>
      </w:r>
    </w:p>
    <w:p w14:paraId="18C6471E" w14:textId="77777777" w:rsidR="00620C19" w:rsidRPr="005950D5" w:rsidRDefault="00620C19" w:rsidP="00620C19">
      <w:pPr>
        <w:pStyle w:val="Normln1"/>
        <w:ind w:left="284" w:hanging="284"/>
        <w:jc w:val="both"/>
        <w:rPr>
          <w:rFonts w:ascii="Calibri" w:hAnsi="Calibri"/>
          <w:color w:val="auto"/>
          <w:sz w:val="22"/>
          <w:szCs w:val="22"/>
        </w:rPr>
      </w:pPr>
      <w:r w:rsidRPr="005950D5">
        <w:rPr>
          <w:rFonts w:ascii="Calibri" w:hAnsi="Calibri"/>
          <w:color w:val="auto"/>
          <w:sz w:val="22"/>
          <w:szCs w:val="22"/>
        </w:rPr>
        <w:tab/>
      </w:r>
      <w:r w:rsidRPr="005950D5">
        <w:rPr>
          <w:rFonts w:ascii="Calibri" w:hAnsi="Calibri"/>
          <w:color w:val="auto"/>
          <w:sz w:val="22"/>
          <w:szCs w:val="22"/>
        </w:rPr>
        <w:tab/>
        <w:t xml:space="preserve">DIČ: CZ241 28 376 </w:t>
      </w:r>
    </w:p>
    <w:p w14:paraId="09A30612" w14:textId="77777777" w:rsidR="00620C19" w:rsidRPr="005950D5" w:rsidRDefault="00620C19" w:rsidP="00620C19">
      <w:pPr>
        <w:pStyle w:val="Normln1"/>
        <w:ind w:left="284" w:firstLine="424"/>
        <w:jc w:val="both"/>
        <w:rPr>
          <w:rFonts w:ascii="Calibri" w:hAnsi="Calibri"/>
          <w:sz w:val="22"/>
          <w:szCs w:val="22"/>
        </w:rPr>
      </w:pPr>
      <w:r w:rsidRPr="005950D5">
        <w:rPr>
          <w:rFonts w:ascii="Calibri" w:hAnsi="Calibri"/>
          <w:sz w:val="22"/>
          <w:szCs w:val="22"/>
        </w:rPr>
        <w:t xml:space="preserve">Zapsaná v obch. rejstříku vedeném Městským soudem v Praze, odd. B, </w:t>
      </w:r>
      <w:proofErr w:type="spellStart"/>
      <w:r w:rsidRPr="005950D5">
        <w:rPr>
          <w:rFonts w:ascii="Calibri" w:hAnsi="Calibri"/>
          <w:sz w:val="22"/>
          <w:szCs w:val="22"/>
        </w:rPr>
        <w:t>vl</w:t>
      </w:r>
      <w:proofErr w:type="spellEnd"/>
      <w:r w:rsidRPr="005950D5">
        <w:rPr>
          <w:rFonts w:ascii="Calibri" w:hAnsi="Calibri"/>
          <w:sz w:val="22"/>
          <w:szCs w:val="22"/>
        </w:rPr>
        <w:t>. 17267</w:t>
      </w:r>
    </w:p>
    <w:p w14:paraId="4E2C8E8B" w14:textId="77777777" w:rsidR="00620C19" w:rsidRPr="005950D5" w:rsidRDefault="00620C19" w:rsidP="00620C19">
      <w:pPr>
        <w:pStyle w:val="Normln1"/>
        <w:ind w:left="284" w:firstLine="424"/>
        <w:jc w:val="both"/>
        <w:rPr>
          <w:rFonts w:ascii="Calibri" w:hAnsi="Calibri"/>
          <w:color w:val="auto"/>
          <w:sz w:val="22"/>
          <w:szCs w:val="22"/>
        </w:rPr>
      </w:pPr>
      <w:r w:rsidRPr="005950D5">
        <w:rPr>
          <w:rFonts w:ascii="Calibri" w:hAnsi="Calibri"/>
          <w:sz w:val="22"/>
          <w:szCs w:val="22"/>
        </w:rPr>
        <w:t xml:space="preserve">Zastoupená na základě plné moci Ing. Viliamem </w:t>
      </w:r>
      <w:proofErr w:type="spellStart"/>
      <w:r w:rsidRPr="005950D5">
        <w:rPr>
          <w:rFonts w:ascii="Calibri" w:hAnsi="Calibri"/>
          <w:sz w:val="22"/>
          <w:szCs w:val="22"/>
        </w:rPr>
        <w:t>Gráczem</w:t>
      </w:r>
      <w:proofErr w:type="spellEnd"/>
      <w:r w:rsidRPr="005950D5">
        <w:rPr>
          <w:rFonts w:ascii="Calibri" w:hAnsi="Calibri"/>
          <w:sz w:val="22"/>
          <w:szCs w:val="22"/>
        </w:rPr>
        <w:t xml:space="preserve"> nebo Ing. Liborem Holubem</w:t>
      </w:r>
    </w:p>
    <w:p w14:paraId="1E655891" w14:textId="77777777" w:rsidR="00620C19" w:rsidRPr="005950D5" w:rsidRDefault="00620C19" w:rsidP="00620C19">
      <w:pPr>
        <w:pStyle w:val="Normln1"/>
        <w:ind w:left="284" w:hanging="284"/>
        <w:jc w:val="both"/>
        <w:rPr>
          <w:rFonts w:ascii="Calibri" w:hAnsi="Calibri"/>
          <w:color w:val="auto"/>
          <w:sz w:val="22"/>
          <w:szCs w:val="22"/>
        </w:rPr>
      </w:pPr>
      <w:r w:rsidRPr="005950D5">
        <w:rPr>
          <w:rFonts w:ascii="Calibri" w:hAnsi="Calibri"/>
          <w:color w:val="auto"/>
          <w:sz w:val="22"/>
          <w:szCs w:val="22"/>
        </w:rPr>
        <w:tab/>
      </w:r>
      <w:r w:rsidRPr="005950D5">
        <w:rPr>
          <w:rFonts w:ascii="Calibri" w:hAnsi="Calibri"/>
          <w:color w:val="auto"/>
          <w:sz w:val="22"/>
          <w:szCs w:val="22"/>
        </w:rPr>
        <w:tab/>
        <w:t>Číslo účtu: 5050013734/5500</w:t>
      </w:r>
    </w:p>
    <w:p w14:paraId="310385FF" w14:textId="77777777" w:rsidR="00620C19" w:rsidRPr="005950D5" w:rsidRDefault="00620C19" w:rsidP="00620C19">
      <w:pPr>
        <w:pStyle w:val="Normln1"/>
        <w:ind w:left="284" w:hanging="284"/>
        <w:jc w:val="both"/>
        <w:rPr>
          <w:rFonts w:ascii="Calibri" w:hAnsi="Calibri"/>
          <w:color w:val="auto"/>
          <w:sz w:val="22"/>
          <w:szCs w:val="22"/>
        </w:rPr>
      </w:pPr>
      <w:r w:rsidRPr="005950D5">
        <w:rPr>
          <w:rFonts w:ascii="Calibri" w:hAnsi="Calibri"/>
          <w:color w:val="auto"/>
          <w:sz w:val="22"/>
          <w:szCs w:val="22"/>
        </w:rPr>
        <w:tab/>
      </w:r>
      <w:r w:rsidRPr="005950D5">
        <w:rPr>
          <w:rFonts w:ascii="Calibri" w:hAnsi="Calibri"/>
          <w:color w:val="auto"/>
          <w:sz w:val="22"/>
          <w:szCs w:val="22"/>
        </w:rPr>
        <w:tab/>
        <w:t>Licence č.: 141118584, skupina 14</w:t>
      </w:r>
    </w:p>
    <w:p w14:paraId="6F3860E0" w14:textId="77777777" w:rsidR="00620C19" w:rsidRPr="009C79AB" w:rsidRDefault="00620C19" w:rsidP="00620C19">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hanging="709"/>
        <w:jc w:val="both"/>
        <w:rPr>
          <w:rFonts w:ascii="Calibri" w:hAnsi="Calibri"/>
          <w:b/>
          <w:bCs/>
        </w:rPr>
      </w:pPr>
      <w:r w:rsidRPr="009C79AB">
        <w:rPr>
          <w:rFonts w:ascii="Calibri" w:hAnsi="Calibri"/>
          <w:b/>
          <w:bCs/>
        </w:rPr>
        <w:t>Zákaznická linka: 800 701 313, e</w:t>
      </w:r>
      <w:r>
        <w:rPr>
          <w:rFonts w:ascii="Calibri" w:hAnsi="Calibri"/>
          <w:b/>
          <w:bCs/>
        </w:rPr>
        <w:t>-</w:t>
      </w:r>
      <w:r w:rsidRPr="009C79AB">
        <w:rPr>
          <w:rFonts w:ascii="Calibri" w:hAnsi="Calibri"/>
          <w:b/>
          <w:bCs/>
        </w:rPr>
        <w:t xml:space="preserve">mail: </w:t>
      </w:r>
      <w:r>
        <w:rPr>
          <w:rFonts w:ascii="Calibri" w:hAnsi="Calibri"/>
          <w:b/>
          <w:bCs/>
        </w:rPr>
        <w:t>vyrobci</w:t>
      </w:r>
      <w:r w:rsidRPr="009C79AB">
        <w:rPr>
          <w:rFonts w:ascii="Calibri" w:hAnsi="Calibri"/>
          <w:b/>
          <w:bCs/>
        </w:rPr>
        <w:t>@ampermarket.cz</w:t>
      </w:r>
    </w:p>
    <w:p w14:paraId="60E95806" w14:textId="61FC2B13" w:rsidR="00620C19" w:rsidRPr="00CC52B9"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1418" w:hanging="709"/>
        <w:jc w:val="both"/>
        <w:rPr>
          <w:rFonts w:ascii="Calibri" w:hAnsi="Calibri"/>
        </w:rPr>
      </w:pPr>
      <w:r w:rsidRPr="00CC52B9">
        <w:rPr>
          <w:rFonts w:ascii="Calibri" w:hAnsi="Calibri"/>
        </w:rPr>
        <w:t xml:space="preserve">Kontaktní osoba: </w:t>
      </w:r>
      <w:r w:rsidR="00A551E7">
        <w:rPr>
          <w:rFonts w:ascii="Calibri" w:hAnsi="Calibri"/>
        </w:rPr>
        <w:t>Mgr. Milan Soukup</w:t>
      </w:r>
    </w:p>
    <w:p w14:paraId="72E2D8AF" w14:textId="5ECDD868" w:rsidR="00620C19" w:rsidRPr="00CC52B9"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1"/>
        <w:jc w:val="both"/>
        <w:rPr>
          <w:rFonts w:ascii="Calibri" w:hAnsi="Calibri"/>
        </w:rPr>
      </w:pPr>
      <w:r w:rsidRPr="00CC52B9">
        <w:rPr>
          <w:rFonts w:ascii="Calibri" w:hAnsi="Calibri"/>
        </w:rPr>
        <w:t>Kontaktní e</w:t>
      </w:r>
      <w:r>
        <w:rPr>
          <w:rFonts w:ascii="Calibri" w:hAnsi="Calibri"/>
        </w:rPr>
        <w:t>-</w:t>
      </w:r>
      <w:r w:rsidRPr="00CC52B9">
        <w:rPr>
          <w:rFonts w:ascii="Calibri" w:hAnsi="Calibri"/>
        </w:rPr>
        <w:t xml:space="preserve">mail: </w:t>
      </w:r>
      <w:r w:rsidR="00A551E7">
        <w:rPr>
          <w:rFonts w:ascii="Calibri" w:hAnsi="Calibri"/>
        </w:rPr>
        <w:t>soukup@ampermarket.cz</w:t>
      </w:r>
    </w:p>
    <w:p w14:paraId="039FB11B" w14:textId="4185B067" w:rsidR="00620C19" w:rsidRPr="00CC52B9"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1"/>
        <w:jc w:val="both"/>
        <w:rPr>
          <w:rFonts w:ascii="Calibri" w:hAnsi="Calibri"/>
        </w:rPr>
      </w:pPr>
      <w:r w:rsidRPr="00CC52B9">
        <w:rPr>
          <w:rFonts w:ascii="Calibri" w:hAnsi="Calibri"/>
        </w:rPr>
        <w:t xml:space="preserve">Kontaktní telefon: </w:t>
      </w:r>
      <w:r w:rsidR="00A551E7">
        <w:rPr>
          <w:rFonts w:ascii="Calibri" w:hAnsi="Calibri"/>
        </w:rPr>
        <w:t>602 782 499</w:t>
      </w:r>
    </w:p>
    <w:p w14:paraId="205A1248" w14:textId="77777777" w:rsidR="00620C19" w:rsidRPr="005950D5" w:rsidRDefault="00620C19" w:rsidP="00620C19">
      <w:pPr>
        <w:pStyle w:val="Normln1"/>
        <w:ind w:left="284" w:hanging="284"/>
        <w:jc w:val="both"/>
        <w:rPr>
          <w:rFonts w:ascii="Calibri" w:hAnsi="Calibri"/>
          <w:color w:val="auto"/>
          <w:sz w:val="22"/>
          <w:szCs w:val="22"/>
        </w:rPr>
      </w:pPr>
    </w:p>
    <w:p w14:paraId="3A7C13D9" w14:textId="77777777" w:rsidR="00620C19" w:rsidRPr="005950D5" w:rsidRDefault="00620C19" w:rsidP="00620C19">
      <w:pPr>
        <w:pStyle w:val="Normln1"/>
        <w:ind w:left="284" w:hanging="284"/>
        <w:jc w:val="both"/>
        <w:rPr>
          <w:rFonts w:ascii="Calibri" w:hAnsi="Calibri"/>
          <w:color w:val="auto"/>
          <w:sz w:val="22"/>
          <w:szCs w:val="22"/>
        </w:rPr>
      </w:pPr>
      <w:r w:rsidRPr="005950D5">
        <w:rPr>
          <w:rFonts w:ascii="Calibri" w:hAnsi="Calibri"/>
          <w:color w:val="auto"/>
          <w:sz w:val="22"/>
          <w:szCs w:val="22"/>
        </w:rPr>
        <w:tab/>
      </w:r>
      <w:r w:rsidRPr="005950D5">
        <w:rPr>
          <w:rFonts w:ascii="Calibri" w:hAnsi="Calibri"/>
          <w:color w:val="auto"/>
          <w:sz w:val="22"/>
          <w:szCs w:val="22"/>
        </w:rPr>
        <w:tab/>
      </w:r>
      <w:r>
        <w:rPr>
          <w:rFonts w:ascii="Calibri" w:hAnsi="Calibri"/>
          <w:color w:val="auto"/>
          <w:sz w:val="22"/>
          <w:szCs w:val="22"/>
        </w:rPr>
        <w:t>(</w:t>
      </w:r>
      <w:r w:rsidRPr="005950D5">
        <w:rPr>
          <w:rFonts w:ascii="Calibri" w:hAnsi="Calibri"/>
          <w:color w:val="auto"/>
          <w:sz w:val="22"/>
          <w:szCs w:val="22"/>
        </w:rPr>
        <w:t>dále jen „kupující“</w:t>
      </w:r>
      <w:r>
        <w:rPr>
          <w:rFonts w:ascii="Calibri" w:hAnsi="Calibri"/>
          <w:color w:val="auto"/>
          <w:sz w:val="22"/>
          <w:szCs w:val="22"/>
        </w:rPr>
        <w:t>)</w:t>
      </w:r>
    </w:p>
    <w:p w14:paraId="45122E71" w14:textId="77777777" w:rsidR="00620C19" w:rsidRPr="005950D5" w:rsidRDefault="00620C19" w:rsidP="00620C19">
      <w:pPr>
        <w:pStyle w:val="Normln1"/>
        <w:ind w:left="284" w:hanging="284"/>
        <w:jc w:val="both"/>
        <w:rPr>
          <w:rFonts w:ascii="Calibri" w:hAnsi="Calibri"/>
          <w:color w:val="auto"/>
          <w:sz w:val="22"/>
          <w:szCs w:val="22"/>
        </w:rPr>
      </w:pPr>
    </w:p>
    <w:p w14:paraId="658C913F" w14:textId="77777777" w:rsidR="00620C19" w:rsidRPr="003B5030" w:rsidRDefault="00620C19" w:rsidP="00620C19">
      <w:pPr>
        <w:pStyle w:val="Normln1"/>
        <w:ind w:left="284" w:hanging="284"/>
        <w:jc w:val="both"/>
        <w:rPr>
          <w:rFonts w:ascii="Calibri" w:hAnsi="Calibri"/>
          <w:color w:val="auto"/>
          <w:sz w:val="22"/>
          <w:szCs w:val="22"/>
        </w:rPr>
      </w:pPr>
      <w:r w:rsidRPr="003B5030">
        <w:rPr>
          <w:rFonts w:ascii="Calibri" w:hAnsi="Calibri"/>
          <w:color w:val="auto"/>
          <w:sz w:val="22"/>
          <w:szCs w:val="22"/>
        </w:rPr>
        <w:tab/>
      </w:r>
      <w:r w:rsidRPr="003B5030">
        <w:rPr>
          <w:rFonts w:ascii="Calibri" w:hAnsi="Calibri"/>
          <w:color w:val="auto"/>
          <w:sz w:val="22"/>
          <w:szCs w:val="22"/>
        </w:rPr>
        <w:tab/>
      </w:r>
      <w:r w:rsidRPr="003B5030">
        <w:rPr>
          <w:rFonts w:ascii="Calibri" w:hAnsi="Calibri"/>
          <w:sz w:val="22"/>
          <w:szCs w:val="22"/>
        </w:rPr>
        <w:t>(společně jako „smluvní strany“)</w:t>
      </w:r>
    </w:p>
    <w:p w14:paraId="5CAD02D0" w14:textId="6C564823" w:rsidR="00620C19" w:rsidRDefault="00620C19" w:rsidP="00620C19">
      <w:pPr>
        <w:pStyle w:val="Normln1"/>
        <w:ind w:left="284" w:hanging="284"/>
        <w:jc w:val="both"/>
        <w:rPr>
          <w:rFonts w:ascii="Calibri" w:hAnsi="Calibri"/>
          <w:color w:val="auto"/>
          <w:sz w:val="22"/>
          <w:szCs w:val="22"/>
        </w:rPr>
      </w:pPr>
    </w:p>
    <w:p w14:paraId="451A4C8B" w14:textId="77777777" w:rsidR="00574EF0" w:rsidRPr="00B361C9" w:rsidRDefault="00574EF0" w:rsidP="00620C19">
      <w:pPr>
        <w:pStyle w:val="Normln1"/>
        <w:ind w:left="284" w:hanging="284"/>
        <w:jc w:val="both"/>
        <w:rPr>
          <w:rFonts w:ascii="Calibri" w:hAnsi="Calibri"/>
          <w:color w:val="auto"/>
          <w:sz w:val="22"/>
          <w:szCs w:val="22"/>
        </w:rPr>
      </w:pPr>
    </w:p>
    <w:p w14:paraId="7451D919" w14:textId="77777777" w:rsidR="00620C19" w:rsidRPr="00B361C9" w:rsidRDefault="00620C19" w:rsidP="00620C19">
      <w:pPr>
        <w:pStyle w:val="Normln1"/>
        <w:jc w:val="both"/>
        <w:rPr>
          <w:rFonts w:ascii="Calibri" w:hAnsi="Calibri"/>
          <w:color w:val="4A5A60"/>
          <w:sz w:val="22"/>
        </w:rPr>
      </w:pPr>
    </w:p>
    <w:p w14:paraId="030297BC"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lastRenderedPageBreak/>
        <w:t>I.</w:t>
      </w:r>
    </w:p>
    <w:p w14:paraId="1583C052"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Úvodní ustanovení a odpovědnost za odchylku</w:t>
      </w:r>
    </w:p>
    <w:p w14:paraId="7A75C608" w14:textId="77777777" w:rsidR="00620C19" w:rsidRPr="00B361C9" w:rsidRDefault="00620C19" w:rsidP="00620C19">
      <w:pPr>
        <w:pStyle w:val="Normln1"/>
        <w:numPr>
          <w:ilvl w:val="0"/>
          <w:numId w:val="8"/>
        </w:numPr>
        <w:jc w:val="both"/>
        <w:rPr>
          <w:rFonts w:ascii="Calibri" w:hAnsi="Calibri"/>
          <w:color w:val="auto"/>
          <w:sz w:val="22"/>
          <w:szCs w:val="22"/>
        </w:rPr>
      </w:pPr>
      <w:r w:rsidRPr="00B361C9">
        <w:rPr>
          <w:rFonts w:ascii="Calibri" w:hAnsi="Calibri"/>
          <w:color w:val="auto"/>
          <w:sz w:val="22"/>
          <w:szCs w:val="22"/>
        </w:rPr>
        <w:t>Smluvní strany prohlašují, že mají veškerá veřejnoprávní a soukromoprávní oprávnění, povolení a souhlasy, které jsou nezbytné k plnění jejích závazků podle této smlouvy. Smluvní strany přistupují k uzavření této smlouvy s prohlášením, že jsou v souladu s platnými a účinnými předpisy účastníky trhu s elektřinou s právem regulovaného přístupu k přenosové soustavě, distribučním soustavám, a že budou uskutečňovat obchody s elektřinou v režimu přenesené odpovědnosti za odchylku.</w:t>
      </w:r>
    </w:p>
    <w:p w14:paraId="133B1340" w14:textId="77777777" w:rsidR="00620C19" w:rsidRPr="00B361C9" w:rsidRDefault="00620C19" w:rsidP="00620C19">
      <w:pPr>
        <w:pStyle w:val="Normln1"/>
        <w:jc w:val="both"/>
        <w:rPr>
          <w:rFonts w:ascii="Calibri" w:hAnsi="Calibri"/>
          <w:color w:val="4A5A60"/>
          <w:sz w:val="22"/>
        </w:rPr>
      </w:pPr>
    </w:p>
    <w:p w14:paraId="5C5E38EB"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II.</w:t>
      </w:r>
    </w:p>
    <w:p w14:paraId="25BA71D4"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Předmět smlouvy a dodávané množství elektřiny a další závazky smluvních stran</w:t>
      </w:r>
    </w:p>
    <w:p w14:paraId="7CAD9F6A"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se zavazuje kupujícímu dodat veškeré množství jím vyrobené elektřiny, bez elektřiny určené pro vlastní spotřebu a převést na kupujícího vlastnické právo k takto vyrobené a dodané elektřině. Kupující se zavazuje, že výrobcem dodané množství elektřiny odebere a zaplatí za ně způsobem podle čl. VI. této smlouvy kupní cenu určenou podle čl. IV. této smlouvy.</w:t>
      </w:r>
    </w:p>
    <w:p w14:paraId="2BC997B3"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ke dni podpisu této smlouvy prohlašuje, že je provozovatelem výrobny elektřiny, specifikované v článku III. této smlouvy (dále jen „</w:t>
      </w:r>
      <w:r w:rsidRPr="000478D9">
        <w:rPr>
          <w:rFonts w:ascii="Calibri" w:hAnsi="Calibri"/>
          <w:b/>
          <w:bCs/>
          <w:i/>
          <w:iCs/>
          <w:color w:val="auto"/>
          <w:sz w:val="22"/>
          <w:szCs w:val="22"/>
        </w:rPr>
        <w:t>zdroj</w:t>
      </w:r>
      <w:r w:rsidRPr="00B361C9">
        <w:rPr>
          <w:rFonts w:ascii="Calibri" w:hAnsi="Calibri"/>
          <w:color w:val="auto"/>
          <w:sz w:val="22"/>
          <w:szCs w:val="22"/>
        </w:rPr>
        <w:t>“).  a připojené k distribuční soustavě místně příslušného provozovatele distribuční soustavy (dále jen „</w:t>
      </w:r>
      <w:r w:rsidRPr="000478D9">
        <w:rPr>
          <w:rFonts w:ascii="Calibri" w:hAnsi="Calibri"/>
          <w:b/>
          <w:bCs/>
          <w:i/>
          <w:iCs/>
          <w:color w:val="auto"/>
          <w:sz w:val="22"/>
          <w:szCs w:val="22"/>
        </w:rPr>
        <w:t>provozovatel DS</w:t>
      </w:r>
      <w:r w:rsidRPr="00B361C9">
        <w:rPr>
          <w:rFonts w:ascii="Calibri" w:hAnsi="Calibri"/>
          <w:color w:val="auto"/>
          <w:sz w:val="22"/>
          <w:szCs w:val="22"/>
        </w:rPr>
        <w:t>“) v předávacím místě dále uvedeném v článku V. této smlouvy. Výrobce je povinen kupujícímu včas, nejpozději však tři měsíce před takovou změnou, oznámit, že skončí provozování zdroje.</w:t>
      </w:r>
    </w:p>
    <w:p w14:paraId="6FCD80F8"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se zavazuje dodávat veškerou elektřinu vyrobenou ve zdroji (s výjimkou elektřiny určené pro vlastní spotřebu) a vyvedenou v předávacích místech podle této smlouvy výhradně kupujícímu.</w:t>
      </w:r>
    </w:p>
    <w:p w14:paraId="39D9AD38"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Kupující se zavazuje dodanou elektřinu odebrat a za dodanou elektřinu řádně a včas zaplatit výrobci kupní cenu určenou podle této smlouvy.</w:t>
      </w:r>
    </w:p>
    <w:p w14:paraId="6ED71263"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Touto smlouvou kupující, jakožto subjekt zúčtování, přebírá závazek výrobce dodat elektřinu do elektrizační soustavy a zároveň za výrobce přebírá odpovědnost za odchylku ohledně elektřiny dodané na základě této smlouvy do elektrizační soustavy.</w:t>
      </w:r>
    </w:p>
    <w:p w14:paraId="4BE94006"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4A5A60"/>
          <w:sz w:val="22"/>
        </w:rPr>
      </w:pPr>
      <w:r w:rsidRPr="00B361C9">
        <w:rPr>
          <w:rFonts w:ascii="Calibri" w:hAnsi="Calibri"/>
          <w:color w:val="auto"/>
          <w:sz w:val="22"/>
          <w:szCs w:val="22"/>
        </w:rPr>
        <w:t>Smluvní strany vymezují předběžná množství elektřiny vyráběná výrobcem ve zdroji a dodávaná kupujícímu podle této smlouvy pro běžný rok takto:</w:t>
      </w:r>
    </w:p>
    <w:tbl>
      <w:tblPr>
        <w:tblW w:w="0" w:type="auto"/>
        <w:tblInd w:w="108" w:type="dxa"/>
        <w:shd w:val="clear" w:color="auto" w:fill="FFFFFF"/>
        <w:tblLayout w:type="fixed"/>
        <w:tblLook w:val="0000" w:firstRow="0" w:lastRow="0" w:firstColumn="0" w:lastColumn="0" w:noHBand="0" w:noVBand="0"/>
      </w:tblPr>
      <w:tblGrid>
        <w:gridCol w:w="948"/>
        <w:gridCol w:w="2955"/>
        <w:gridCol w:w="21"/>
        <w:gridCol w:w="4644"/>
      </w:tblGrid>
      <w:tr w:rsidR="00620C19" w:rsidRPr="00B361C9" w14:paraId="0D7CD5EA" w14:textId="77777777" w:rsidTr="00B208CE">
        <w:trPr>
          <w:cantSplit/>
          <w:trHeight w:val="330"/>
        </w:trPr>
        <w:tc>
          <w:tcPr>
            <w:tcW w:w="948" w:type="dxa"/>
            <w:tcBorders>
              <w:top w:val="none" w:sz="4" w:space="0" w:color="4A5A60"/>
              <w:left w:val="none" w:sz="4" w:space="0" w:color="4A5A60"/>
              <w:bottom w:val="single" w:sz="4" w:space="0" w:color="4A5A60"/>
              <w:right w:val="single" w:sz="4" w:space="0" w:color="4A5A60"/>
            </w:tcBorders>
            <w:shd w:val="clear" w:color="auto" w:fill="FFFFFF"/>
            <w:tcMar>
              <w:top w:w="0" w:type="dxa"/>
              <w:left w:w="0" w:type="dxa"/>
              <w:bottom w:w="0" w:type="dxa"/>
              <w:right w:w="0" w:type="dxa"/>
            </w:tcMar>
          </w:tcPr>
          <w:p w14:paraId="4E49FAEC" w14:textId="77777777" w:rsidR="00620C19" w:rsidRPr="00B361C9" w:rsidRDefault="00620C19" w:rsidP="00B208CE">
            <w:pPr>
              <w:pStyle w:val="TableNormalParagraph"/>
              <w:tabs>
                <w:tab w:val="left" w:pos="708"/>
              </w:tabs>
              <w:jc w:val="both"/>
              <w:rPr>
                <w:rFonts w:ascii="Calibri" w:hAnsi="Calibri"/>
              </w:rPr>
            </w:pPr>
          </w:p>
        </w:tc>
        <w:tc>
          <w:tcPr>
            <w:tcW w:w="2976" w:type="dxa"/>
            <w:gridSpan w:val="2"/>
            <w:tcBorders>
              <w:top w:val="none" w:sz="4" w:space="0" w:color="4A5A60"/>
              <w:left w:val="single" w:sz="4" w:space="0" w:color="4A5A60"/>
              <w:bottom w:val="single" w:sz="4" w:space="0" w:color="4A5A60"/>
              <w:right w:val="single" w:sz="4" w:space="0" w:color="4A5A60"/>
            </w:tcBorders>
            <w:shd w:val="clear" w:color="auto" w:fill="0E1F4B"/>
            <w:tcMar>
              <w:top w:w="0" w:type="dxa"/>
              <w:left w:w="0" w:type="dxa"/>
              <w:bottom w:w="0" w:type="dxa"/>
              <w:right w:w="0" w:type="dxa"/>
            </w:tcMar>
            <w:vAlign w:val="center"/>
          </w:tcPr>
          <w:p w14:paraId="072C1A49" w14:textId="77777777" w:rsidR="00620C19" w:rsidRPr="00B361C9" w:rsidRDefault="00620C19" w:rsidP="00B208CE">
            <w:pPr>
              <w:pStyle w:val="TableNormalParagraph"/>
              <w:tabs>
                <w:tab w:val="left" w:pos="708"/>
                <w:tab w:val="left" w:pos="1416"/>
                <w:tab w:val="left" w:pos="2124"/>
                <w:tab w:val="left" w:pos="2832"/>
              </w:tabs>
              <w:jc w:val="center"/>
              <w:rPr>
                <w:rFonts w:ascii="Calibri" w:hAnsi="Calibri"/>
                <w:color w:val="FFFFFF"/>
                <w:sz w:val="22"/>
              </w:rPr>
            </w:pPr>
            <w:r w:rsidRPr="00B361C9">
              <w:rPr>
                <w:rFonts w:ascii="Calibri" w:hAnsi="Calibri"/>
                <w:color w:val="FFFFFF"/>
                <w:sz w:val="22"/>
              </w:rPr>
              <w:t>Měsíc</w:t>
            </w:r>
          </w:p>
        </w:tc>
        <w:tc>
          <w:tcPr>
            <w:tcW w:w="4644" w:type="dxa"/>
            <w:tcBorders>
              <w:top w:val="none" w:sz="4" w:space="0" w:color="4A5A60"/>
              <w:left w:val="single" w:sz="4" w:space="0" w:color="4A5A60"/>
              <w:bottom w:val="single" w:sz="4" w:space="0" w:color="4A5A60"/>
              <w:right w:val="none" w:sz="4" w:space="0" w:color="4A5A60"/>
            </w:tcBorders>
            <w:shd w:val="clear" w:color="auto" w:fill="0E1F4B"/>
            <w:tcMar>
              <w:top w:w="0" w:type="dxa"/>
              <w:left w:w="0" w:type="dxa"/>
              <w:bottom w:w="0" w:type="dxa"/>
              <w:right w:w="0" w:type="dxa"/>
            </w:tcMar>
            <w:vAlign w:val="center"/>
          </w:tcPr>
          <w:p w14:paraId="41F9213C" w14:textId="77777777" w:rsidR="00620C19" w:rsidRPr="00B361C9" w:rsidRDefault="00620C19" w:rsidP="00B208CE">
            <w:pPr>
              <w:pStyle w:val="TableNormalParagraph"/>
              <w:tabs>
                <w:tab w:val="left" w:pos="708"/>
                <w:tab w:val="left" w:pos="1416"/>
                <w:tab w:val="left" w:pos="2124"/>
                <w:tab w:val="left" w:pos="2832"/>
                <w:tab w:val="left" w:pos="3540"/>
                <w:tab w:val="left" w:pos="4248"/>
              </w:tabs>
              <w:jc w:val="center"/>
              <w:rPr>
                <w:rFonts w:ascii="Calibri" w:hAnsi="Calibri"/>
                <w:color w:val="FFFFFF"/>
                <w:sz w:val="22"/>
              </w:rPr>
            </w:pPr>
            <w:r w:rsidRPr="00B361C9">
              <w:rPr>
                <w:rFonts w:ascii="Calibri" w:hAnsi="Calibri"/>
                <w:color w:val="FFFFFF"/>
                <w:sz w:val="22"/>
              </w:rPr>
              <w:t xml:space="preserve">Množství elektřiny v </w:t>
            </w:r>
            <w:proofErr w:type="spellStart"/>
            <w:r w:rsidRPr="00B361C9">
              <w:rPr>
                <w:rFonts w:ascii="Calibri" w:hAnsi="Calibri"/>
                <w:color w:val="FFFFFF"/>
                <w:sz w:val="22"/>
              </w:rPr>
              <w:t>MWh</w:t>
            </w:r>
            <w:proofErr w:type="spellEnd"/>
          </w:p>
        </w:tc>
      </w:tr>
      <w:tr w:rsidR="00620C19" w:rsidRPr="00B361C9" w14:paraId="7B59CA0B"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092720B1"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1</w:t>
            </w:r>
          </w:p>
        </w:tc>
        <w:tc>
          <w:tcPr>
            <w:tcW w:w="2955" w:type="dxa"/>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3D1DDFFF"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Leden</w:t>
            </w:r>
          </w:p>
        </w:tc>
        <w:tc>
          <w:tcPr>
            <w:tcW w:w="4665" w:type="dxa"/>
            <w:gridSpan w:val="2"/>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vAlign w:val="center"/>
          </w:tcPr>
          <w:p w14:paraId="3E270E3B" w14:textId="700971B7" w:rsidR="00620C19" w:rsidRPr="00B361C9" w:rsidRDefault="00863A8D" w:rsidP="00B208CE">
            <w:pPr>
              <w:pStyle w:val="TableNormalParagraph"/>
              <w:tabs>
                <w:tab w:val="left" w:pos="708"/>
                <w:tab w:val="left" w:pos="1416"/>
                <w:tab w:val="left" w:pos="2124"/>
                <w:tab w:val="left" w:pos="2832"/>
                <w:tab w:val="left" w:pos="3540"/>
                <w:tab w:val="left" w:pos="4248"/>
              </w:tabs>
              <w:jc w:val="both"/>
              <w:rPr>
                <w:rFonts w:ascii="Calibri" w:eastAsiaTheme="minorHAnsi" w:hAnsi="Calibri" w:cstheme="minorBidi"/>
                <w:color w:val="auto"/>
                <w:sz w:val="22"/>
                <w:szCs w:val="22"/>
                <w:lang w:eastAsia="en-US"/>
              </w:rPr>
            </w:pPr>
            <w:r>
              <w:rPr>
                <w:rFonts w:ascii="Calibri" w:eastAsiaTheme="minorHAnsi" w:hAnsi="Calibri" w:cstheme="minorBidi"/>
                <w:color w:val="auto"/>
                <w:sz w:val="22"/>
                <w:szCs w:val="22"/>
                <w:lang w:eastAsia="en-US"/>
              </w:rPr>
              <w:t xml:space="preserve">                                   </w:t>
            </w:r>
            <w:r w:rsidR="008A1977">
              <w:rPr>
                <w:rFonts w:ascii="Calibri" w:eastAsiaTheme="minorHAnsi" w:hAnsi="Calibri" w:cstheme="minorBidi"/>
                <w:color w:val="auto"/>
                <w:sz w:val="22"/>
                <w:szCs w:val="22"/>
                <w:lang w:eastAsia="en-US"/>
              </w:rPr>
              <w:t>8</w:t>
            </w:r>
          </w:p>
        </w:tc>
      </w:tr>
      <w:tr w:rsidR="00620C19" w:rsidRPr="00B361C9" w14:paraId="7312B389" w14:textId="77777777" w:rsidTr="00B208CE">
        <w:trPr>
          <w:cantSplit/>
          <w:trHeight w:val="337"/>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3EA8F551"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2</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72D7FEDD"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Únor</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63594757" w14:textId="33B2CE91" w:rsidR="00620C19" w:rsidRPr="00B361C9" w:rsidRDefault="00863A8D" w:rsidP="00B208CE">
            <w:pPr>
              <w:rPr>
                <w:rFonts w:ascii="Calibri" w:hAnsi="Calibri"/>
              </w:rPr>
            </w:pPr>
            <w:r>
              <w:rPr>
                <w:rFonts w:ascii="Calibri" w:hAnsi="Calibri"/>
              </w:rPr>
              <w:t xml:space="preserve">                                   </w:t>
            </w:r>
            <w:r w:rsidR="008A1977">
              <w:rPr>
                <w:rFonts w:ascii="Calibri" w:hAnsi="Calibri"/>
              </w:rPr>
              <w:t>8</w:t>
            </w:r>
          </w:p>
        </w:tc>
      </w:tr>
      <w:tr w:rsidR="00620C19" w:rsidRPr="00B361C9" w14:paraId="6D4AA0A4"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2F7E944B"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3</w:t>
            </w:r>
          </w:p>
        </w:tc>
        <w:tc>
          <w:tcPr>
            <w:tcW w:w="2955" w:type="dxa"/>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260BCF19"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Březen</w:t>
            </w:r>
          </w:p>
        </w:tc>
        <w:tc>
          <w:tcPr>
            <w:tcW w:w="4665" w:type="dxa"/>
            <w:gridSpan w:val="2"/>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2E14C15C" w14:textId="277887C9" w:rsidR="00620C19" w:rsidRPr="00B361C9" w:rsidRDefault="00863A8D" w:rsidP="00B208CE">
            <w:pPr>
              <w:rPr>
                <w:rFonts w:ascii="Calibri" w:hAnsi="Calibri"/>
              </w:rPr>
            </w:pPr>
            <w:r>
              <w:rPr>
                <w:rFonts w:ascii="Calibri" w:hAnsi="Calibri"/>
              </w:rPr>
              <w:t xml:space="preserve">                                   7  </w:t>
            </w:r>
          </w:p>
        </w:tc>
      </w:tr>
      <w:tr w:rsidR="00620C19" w:rsidRPr="00B361C9" w14:paraId="727334AE"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63019296"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4</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4E616A9E"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Duben</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0A441F58" w14:textId="32992E3F" w:rsidR="00620C19" w:rsidRPr="00B361C9" w:rsidRDefault="00863A8D" w:rsidP="00B208CE">
            <w:pPr>
              <w:rPr>
                <w:rFonts w:ascii="Calibri" w:hAnsi="Calibri"/>
              </w:rPr>
            </w:pPr>
            <w:r>
              <w:rPr>
                <w:rFonts w:ascii="Calibri" w:hAnsi="Calibri"/>
              </w:rPr>
              <w:t xml:space="preserve">                                   7</w:t>
            </w:r>
          </w:p>
        </w:tc>
      </w:tr>
      <w:tr w:rsidR="00620C19" w:rsidRPr="00B361C9" w14:paraId="076E6808"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48B8DC84"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5</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76F07D9B"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Květen</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vAlign w:val="center"/>
          </w:tcPr>
          <w:p w14:paraId="030F925B" w14:textId="33FF752D" w:rsidR="00620C19" w:rsidRPr="00B361C9" w:rsidRDefault="00863A8D" w:rsidP="00B208CE">
            <w:pPr>
              <w:rPr>
                <w:rFonts w:ascii="Calibri" w:hAnsi="Calibri"/>
              </w:rPr>
            </w:pPr>
            <w:r>
              <w:rPr>
                <w:rFonts w:ascii="Calibri" w:hAnsi="Calibri"/>
              </w:rPr>
              <w:t xml:space="preserve">                                   7</w:t>
            </w:r>
          </w:p>
        </w:tc>
      </w:tr>
      <w:tr w:rsidR="00620C19" w:rsidRPr="00B361C9" w14:paraId="0F64E9AB" w14:textId="77777777" w:rsidTr="00B208CE">
        <w:trPr>
          <w:cantSplit/>
          <w:trHeight w:val="378"/>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3199AC83"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6</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6F7BF17F"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Červen</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00EC96E1" w14:textId="79286065" w:rsidR="00620C19" w:rsidRPr="00B361C9" w:rsidRDefault="00863A8D" w:rsidP="00B208CE">
            <w:pPr>
              <w:rPr>
                <w:rFonts w:ascii="Calibri" w:hAnsi="Calibri"/>
              </w:rPr>
            </w:pPr>
            <w:r>
              <w:rPr>
                <w:rFonts w:ascii="Calibri" w:hAnsi="Calibri"/>
              </w:rPr>
              <w:t xml:space="preserve">                                   7</w:t>
            </w:r>
          </w:p>
        </w:tc>
      </w:tr>
      <w:tr w:rsidR="00620C19" w:rsidRPr="00B361C9" w14:paraId="7CE96007" w14:textId="77777777" w:rsidTr="00B208CE">
        <w:trPr>
          <w:cantSplit/>
          <w:trHeight w:val="364"/>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2D64F3E1"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7</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14ECCAE8"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Červenec</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5B30DF0A" w14:textId="5714EDF3" w:rsidR="00620C19" w:rsidRPr="00B361C9" w:rsidRDefault="00863A8D" w:rsidP="00B208CE">
            <w:pPr>
              <w:rPr>
                <w:rFonts w:ascii="Calibri" w:hAnsi="Calibri"/>
              </w:rPr>
            </w:pPr>
            <w:r>
              <w:rPr>
                <w:rFonts w:ascii="Calibri" w:hAnsi="Calibri"/>
              </w:rPr>
              <w:t xml:space="preserve">                                   7</w:t>
            </w:r>
          </w:p>
        </w:tc>
      </w:tr>
      <w:tr w:rsidR="00620C19" w:rsidRPr="00B361C9" w14:paraId="1F2B9A9D"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2015E987"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8</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03AC92A0"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Srpen</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0E81A88B" w14:textId="32466FC0" w:rsidR="00620C19" w:rsidRPr="00B361C9" w:rsidRDefault="00863A8D" w:rsidP="00B208CE">
            <w:pPr>
              <w:rPr>
                <w:rFonts w:ascii="Calibri" w:hAnsi="Calibri"/>
              </w:rPr>
            </w:pPr>
            <w:r>
              <w:rPr>
                <w:rFonts w:ascii="Calibri" w:hAnsi="Calibri"/>
              </w:rPr>
              <w:t xml:space="preserve">                                    7</w:t>
            </w:r>
          </w:p>
        </w:tc>
      </w:tr>
      <w:tr w:rsidR="00620C19" w:rsidRPr="00B361C9" w14:paraId="1AA97E88"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66D742C3"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9</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6B2928D9"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Září</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vAlign w:val="center"/>
          </w:tcPr>
          <w:p w14:paraId="25111042" w14:textId="01B4A878" w:rsidR="00620C19" w:rsidRPr="00B361C9" w:rsidRDefault="00863A8D" w:rsidP="00B208CE">
            <w:pPr>
              <w:rPr>
                <w:rFonts w:ascii="Calibri" w:hAnsi="Calibri"/>
              </w:rPr>
            </w:pPr>
            <w:r>
              <w:rPr>
                <w:rFonts w:ascii="Calibri" w:hAnsi="Calibri"/>
              </w:rPr>
              <w:t xml:space="preserve">                                    7</w:t>
            </w:r>
          </w:p>
        </w:tc>
      </w:tr>
      <w:tr w:rsidR="00620C19" w:rsidRPr="00B361C9" w14:paraId="0F476E00"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7367F6FA"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10</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767AD146"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Říjen</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60BB5F64" w14:textId="20FE51BD" w:rsidR="00620C19" w:rsidRPr="00B361C9" w:rsidRDefault="00863A8D" w:rsidP="00B208CE">
            <w:pPr>
              <w:rPr>
                <w:rFonts w:ascii="Calibri" w:hAnsi="Calibri"/>
              </w:rPr>
            </w:pPr>
            <w:r>
              <w:rPr>
                <w:rFonts w:ascii="Calibri" w:hAnsi="Calibri"/>
              </w:rPr>
              <w:t xml:space="preserve">                                    7</w:t>
            </w:r>
          </w:p>
        </w:tc>
      </w:tr>
      <w:tr w:rsidR="00620C19" w:rsidRPr="00B361C9" w14:paraId="43FE4862" w14:textId="77777777" w:rsidTr="00B208CE">
        <w:trPr>
          <w:cantSplit/>
          <w:trHeight w:val="396"/>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4253B457"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lastRenderedPageBreak/>
              <w:t>11</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203A4C3E"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Listopad</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vAlign w:val="center"/>
          </w:tcPr>
          <w:p w14:paraId="778BA9CE" w14:textId="654BC206" w:rsidR="00620C19" w:rsidRPr="00B361C9" w:rsidRDefault="00620C19" w:rsidP="00B208CE">
            <w:pPr>
              <w:rPr>
                <w:rFonts w:ascii="Calibri" w:hAnsi="Calibri"/>
              </w:rPr>
            </w:pPr>
            <w:r w:rsidRPr="00B361C9">
              <w:rPr>
                <w:rFonts w:ascii="Calibri" w:hAnsi="Calibri"/>
              </w:rPr>
              <w:t xml:space="preserve"> </w:t>
            </w:r>
            <w:r w:rsidR="00863A8D">
              <w:rPr>
                <w:rFonts w:ascii="Calibri" w:hAnsi="Calibri"/>
              </w:rPr>
              <w:t xml:space="preserve">                                         7</w:t>
            </w:r>
          </w:p>
        </w:tc>
      </w:tr>
      <w:tr w:rsidR="00620C19" w:rsidRPr="00B361C9" w14:paraId="6A46FC77" w14:textId="77777777" w:rsidTr="00B208CE">
        <w:trPr>
          <w:cantSplit/>
          <w:trHeight w:val="330"/>
        </w:trPr>
        <w:tc>
          <w:tcPr>
            <w:tcW w:w="948" w:type="dxa"/>
            <w:tcBorders>
              <w:top w:val="single" w:sz="4" w:space="0" w:color="4A5A60"/>
              <w:left w:val="none" w:sz="4" w:space="0" w:color="4A5A60"/>
              <w:bottom w:val="single" w:sz="4" w:space="0" w:color="4A5A60"/>
              <w:right w:val="single" w:sz="4" w:space="0" w:color="4A5A60"/>
            </w:tcBorders>
            <w:shd w:val="clear" w:color="auto" w:fill="4A5A60"/>
            <w:tcMar>
              <w:top w:w="0" w:type="dxa"/>
              <w:left w:w="0" w:type="dxa"/>
              <w:bottom w:w="0" w:type="dxa"/>
              <w:right w:w="0" w:type="dxa"/>
            </w:tcMar>
            <w:vAlign w:val="center"/>
          </w:tcPr>
          <w:p w14:paraId="0D2BBDE2" w14:textId="77777777" w:rsidR="00620C19" w:rsidRPr="00B361C9" w:rsidRDefault="00620C19" w:rsidP="00B208CE">
            <w:pPr>
              <w:pStyle w:val="TableNormalParagraph"/>
              <w:tabs>
                <w:tab w:val="left" w:pos="708"/>
              </w:tabs>
              <w:ind w:left="113" w:hanging="113"/>
              <w:jc w:val="center"/>
              <w:rPr>
                <w:rFonts w:ascii="Calibri" w:hAnsi="Calibri"/>
                <w:color w:val="FFFFFF"/>
                <w:sz w:val="22"/>
              </w:rPr>
            </w:pPr>
            <w:r w:rsidRPr="00B361C9">
              <w:rPr>
                <w:rFonts w:ascii="Calibri" w:hAnsi="Calibri"/>
                <w:color w:val="FFFFFF"/>
                <w:sz w:val="22"/>
              </w:rPr>
              <w:t>12</w:t>
            </w:r>
          </w:p>
        </w:tc>
        <w:tc>
          <w:tcPr>
            <w:tcW w:w="2976" w:type="dxa"/>
            <w:gridSpan w:val="2"/>
            <w:tcBorders>
              <w:top w:val="single" w:sz="4" w:space="0" w:color="4A5A60"/>
              <w:left w:val="single" w:sz="4" w:space="0" w:color="4A5A60"/>
              <w:bottom w:val="single" w:sz="4" w:space="0" w:color="4A5A60"/>
              <w:right w:val="single" w:sz="4" w:space="0" w:color="4A5A60"/>
            </w:tcBorders>
            <w:shd w:val="clear" w:color="auto" w:fill="FFFFFF"/>
            <w:tcMar>
              <w:top w:w="0" w:type="dxa"/>
              <w:left w:w="0" w:type="dxa"/>
              <w:bottom w:w="0" w:type="dxa"/>
              <w:right w:w="0" w:type="dxa"/>
            </w:tcMar>
            <w:vAlign w:val="center"/>
          </w:tcPr>
          <w:p w14:paraId="62203841" w14:textId="77777777" w:rsidR="00620C19" w:rsidRPr="00B361C9" w:rsidRDefault="00620C19" w:rsidP="00B208CE">
            <w:pPr>
              <w:pStyle w:val="TableNormalParagraph"/>
              <w:tabs>
                <w:tab w:val="left" w:pos="708"/>
                <w:tab w:val="left" w:pos="1416"/>
                <w:tab w:val="left" w:pos="2124"/>
                <w:tab w:val="left" w:pos="2832"/>
              </w:tabs>
              <w:ind w:left="113" w:hanging="113"/>
              <w:rPr>
                <w:rFonts w:ascii="Calibri" w:hAnsi="Calibri"/>
                <w:color w:val="4A5A60"/>
                <w:sz w:val="22"/>
              </w:rPr>
            </w:pPr>
            <w:r w:rsidRPr="00B361C9">
              <w:rPr>
                <w:rFonts w:ascii="Calibri" w:hAnsi="Calibri"/>
                <w:color w:val="4A5A60"/>
                <w:sz w:val="22"/>
              </w:rPr>
              <w:t xml:space="preserve"> Prosinec</w:t>
            </w:r>
          </w:p>
        </w:tc>
        <w:tc>
          <w:tcPr>
            <w:tcW w:w="4644" w:type="dxa"/>
            <w:tcBorders>
              <w:top w:val="single" w:sz="4" w:space="0" w:color="4A5A60"/>
              <w:left w:val="single" w:sz="4" w:space="0" w:color="4A5A60"/>
              <w:bottom w:val="single" w:sz="4" w:space="0" w:color="4A5A60"/>
              <w:right w:val="none" w:sz="4" w:space="0" w:color="4A5A60"/>
            </w:tcBorders>
            <w:shd w:val="clear" w:color="auto" w:fill="FFFFFF"/>
            <w:tcMar>
              <w:top w:w="0" w:type="dxa"/>
              <w:left w:w="0" w:type="dxa"/>
              <w:bottom w:w="0" w:type="dxa"/>
              <w:right w:w="0" w:type="dxa"/>
            </w:tcMar>
          </w:tcPr>
          <w:p w14:paraId="091AF573" w14:textId="0D59AACD" w:rsidR="00620C19" w:rsidRPr="00B361C9" w:rsidRDefault="00863A8D" w:rsidP="00B208CE">
            <w:pPr>
              <w:rPr>
                <w:rFonts w:ascii="Calibri" w:hAnsi="Calibri"/>
              </w:rPr>
            </w:pPr>
            <w:r>
              <w:rPr>
                <w:rFonts w:ascii="Calibri" w:hAnsi="Calibri"/>
              </w:rPr>
              <w:t xml:space="preserve">                                          </w:t>
            </w:r>
            <w:r w:rsidR="008A1977">
              <w:rPr>
                <w:rFonts w:ascii="Calibri" w:hAnsi="Calibri"/>
              </w:rPr>
              <w:t>8</w:t>
            </w:r>
          </w:p>
        </w:tc>
      </w:tr>
      <w:tr w:rsidR="00620C19" w:rsidRPr="00B361C9" w14:paraId="006CC5ED" w14:textId="77777777" w:rsidTr="00B208CE">
        <w:trPr>
          <w:cantSplit/>
          <w:trHeight w:val="330"/>
        </w:trPr>
        <w:tc>
          <w:tcPr>
            <w:tcW w:w="3924" w:type="dxa"/>
            <w:gridSpan w:val="3"/>
            <w:tcBorders>
              <w:top w:val="single" w:sz="4" w:space="0" w:color="4A5A60"/>
              <w:left w:val="none" w:sz="4" w:space="0" w:color="4A5A60"/>
              <w:bottom w:val="none" w:sz="4" w:space="0" w:color="4A5A60"/>
              <w:right w:val="single" w:sz="4" w:space="0" w:color="4A5A60"/>
            </w:tcBorders>
            <w:shd w:val="clear" w:color="auto" w:fill="4A5A60"/>
            <w:tcMar>
              <w:top w:w="0" w:type="dxa"/>
              <w:left w:w="0" w:type="dxa"/>
              <w:bottom w:w="0" w:type="dxa"/>
              <w:right w:w="0" w:type="dxa"/>
            </w:tcMar>
            <w:vAlign w:val="center"/>
          </w:tcPr>
          <w:p w14:paraId="40504A35" w14:textId="77777777" w:rsidR="00620C19" w:rsidRPr="00B361C9" w:rsidRDefault="00620C19" w:rsidP="00B208CE">
            <w:pPr>
              <w:pStyle w:val="TableNormalParagraph"/>
              <w:tabs>
                <w:tab w:val="left" w:pos="708"/>
                <w:tab w:val="left" w:pos="1416"/>
                <w:tab w:val="left" w:pos="2124"/>
                <w:tab w:val="left" w:pos="2832"/>
                <w:tab w:val="left" w:pos="3540"/>
              </w:tabs>
              <w:ind w:left="113" w:hanging="113"/>
              <w:rPr>
                <w:rFonts w:ascii="Calibri" w:hAnsi="Calibri"/>
                <w:color w:val="FFFFFF"/>
                <w:sz w:val="22"/>
              </w:rPr>
            </w:pPr>
            <w:r w:rsidRPr="00B361C9">
              <w:rPr>
                <w:rFonts w:ascii="Calibri" w:hAnsi="Calibri"/>
                <w:color w:val="FFFFFF"/>
                <w:sz w:val="22"/>
              </w:rPr>
              <w:t xml:space="preserve"> Celkem </w:t>
            </w:r>
          </w:p>
        </w:tc>
        <w:tc>
          <w:tcPr>
            <w:tcW w:w="4644" w:type="dxa"/>
            <w:tcBorders>
              <w:top w:val="single" w:sz="4" w:space="0" w:color="4A5A60"/>
              <w:left w:val="single" w:sz="4" w:space="0" w:color="4A5A60"/>
              <w:bottom w:val="none" w:sz="4" w:space="0" w:color="4A5A60"/>
              <w:right w:val="none" w:sz="4" w:space="0" w:color="4A5A60"/>
            </w:tcBorders>
            <w:shd w:val="clear" w:color="auto" w:fill="FFFFFF"/>
            <w:tcMar>
              <w:top w:w="0" w:type="dxa"/>
              <w:left w:w="0" w:type="dxa"/>
              <w:bottom w:w="0" w:type="dxa"/>
              <w:right w:w="0" w:type="dxa"/>
            </w:tcMar>
            <w:vAlign w:val="center"/>
          </w:tcPr>
          <w:p w14:paraId="633B9916" w14:textId="0D2C69E8" w:rsidR="00620C19" w:rsidRPr="00B361C9" w:rsidRDefault="008A1977" w:rsidP="00B208CE">
            <w:pPr>
              <w:pStyle w:val="TableNormalParagraph"/>
              <w:tabs>
                <w:tab w:val="left" w:pos="708"/>
                <w:tab w:val="left" w:pos="1416"/>
                <w:tab w:val="left" w:pos="2124"/>
                <w:tab w:val="left" w:pos="2832"/>
                <w:tab w:val="left" w:pos="3540"/>
                <w:tab w:val="left" w:pos="4248"/>
              </w:tabs>
              <w:jc w:val="both"/>
              <w:rPr>
                <w:rFonts w:ascii="Calibri" w:hAnsi="Calibri"/>
              </w:rPr>
            </w:pPr>
            <w:r>
              <w:rPr>
                <w:rFonts w:ascii="Calibri" w:hAnsi="Calibri"/>
              </w:rPr>
              <w:t xml:space="preserve">                                            87  </w:t>
            </w:r>
          </w:p>
        </w:tc>
      </w:tr>
    </w:tbl>
    <w:p w14:paraId="67F1BBE9" w14:textId="77777777" w:rsidR="00620C19" w:rsidRPr="00B361C9"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720"/>
        <w:rPr>
          <w:rFonts w:ascii="Calibri" w:hAnsi="Calibri"/>
          <w:sz w:val="20"/>
        </w:rPr>
      </w:pPr>
    </w:p>
    <w:p w14:paraId="3FC2B6EF"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784EC1">
        <w:rPr>
          <w:rFonts w:ascii="Calibri" w:hAnsi="Calibri"/>
          <w:color w:val="auto"/>
          <w:sz w:val="22"/>
          <w:szCs w:val="22"/>
        </w:rPr>
        <w:t xml:space="preserve">Pokud roční objem výroby přesáhne 1.200 </w:t>
      </w:r>
      <w:proofErr w:type="spellStart"/>
      <w:r w:rsidRPr="00784EC1">
        <w:rPr>
          <w:rFonts w:ascii="Calibri" w:hAnsi="Calibri"/>
          <w:color w:val="auto"/>
          <w:sz w:val="22"/>
          <w:szCs w:val="22"/>
        </w:rPr>
        <w:t>MWh</w:t>
      </w:r>
      <w:proofErr w:type="spellEnd"/>
      <w:r w:rsidRPr="00784EC1">
        <w:rPr>
          <w:rFonts w:ascii="Calibri" w:hAnsi="Calibri"/>
          <w:color w:val="auto"/>
          <w:sz w:val="22"/>
          <w:szCs w:val="22"/>
        </w:rPr>
        <w:t xml:space="preserve">, je výrobce </w:t>
      </w:r>
      <w:r w:rsidRPr="00B361C9">
        <w:rPr>
          <w:rFonts w:ascii="Calibri" w:hAnsi="Calibri"/>
          <w:color w:val="auto"/>
          <w:sz w:val="22"/>
          <w:szCs w:val="22"/>
        </w:rPr>
        <w:t xml:space="preserve">povinen neprodleně upřesňovat kupujícímu předběžné množství elektřiny vyráběné ve zdroji a dodávané podle této smlouvy kupujícímu v případech, kdy je mu známo, že dojde nebo má dojít k omezení výroby ve zdroji o více než </w:t>
      </w:r>
      <w:proofErr w:type="gramStart"/>
      <w:r w:rsidRPr="00B361C9">
        <w:rPr>
          <w:rFonts w:ascii="Calibri" w:hAnsi="Calibri"/>
          <w:color w:val="auto"/>
          <w:sz w:val="22"/>
          <w:szCs w:val="22"/>
        </w:rPr>
        <w:t>15%</w:t>
      </w:r>
      <w:proofErr w:type="gramEnd"/>
      <w:r w:rsidRPr="00B361C9">
        <w:rPr>
          <w:rFonts w:ascii="Calibri" w:hAnsi="Calibri"/>
          <w:color w:val="auto"/>
          <w:sz w:val="22"/>
          <w:szCs w:val="22"/>
        </w:rPr>
        <w:t xml:space="preserve"> v období 8 po sobě jdoucích hodin a více, a to odesláním emailu na adresu trading@ampermarket.cz. Množství elektřiny skutečně dodané na základě této smlouvy výrobcem kupujícímu smluvní strany určují postupem podle čl. V. této smlouvy.</w:t>
      </w:r>
    </w:p>
    <w:p w14:paraId="2BF0B33C" w14:textId="77777777" w:rsidR="00620C19" w:rsidRPr="00B361C9" w:rsidRDefault="00620C19" w:rsidP="00620C19">
      <w:pPr>
        <w:pStyle w:val="Normln1"/>
        <w:numPr>
          <w:ilvl w:val="0"/>
          <w:numId w:val="1"/>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prohlašuje, že jím vyrobená a kupujícímu na základě této smlouvy dodaná elektřina je elektřinou ekologicky šetrnou ve smyslu části 47 zák. č. 261/2007 Sb., v platném znění.</w:t>
      </w:r>
    </w:p>
    <w:p w14:paraId="70334F9E" w14:textId="77777777" w:rsidR="00620C19" w:rsidRPr="00B361C9" w:rsidRDefault="00620C19" w:rsidP="00620C19">
      <w:pPr>
        <w:pStyle w:val="Normln1"/>
        <w:jc w:val="both"/>
        <w:rPr>
          <w:rFonts w:ascii="Calibri" w:hAnsi="Calibri"/>
          <w:color w:val="4A5A60"/>
          <w:sz w:val="22"/>
        </w:rPr>
      </w:pPr>
    </w:p>
    <w:p w14:paraId="7B825CED"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III.</w:t>
      </w:r>
    </w:p>
    <w:p w14:paraId="5333EC1A"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Specifikace výrobny elektřiny, předávací místo</w:t>
      </w:r>
    </w:p>
    <w:p w14:paraId="09F592F7" w14:textId="77777777" w:rsidR="00620C19" w:rsidRPr="00784EC1" w:rsidRDefault="00620C19" w:rsidP="00620C19">
      <w:pPr>
        <w:pStyle w:val="Normln1"/>
        <w:rPr>
          <w:rFonts w:ascii="Calibri" w:hAnsi="Calibri"/>
          <w:b/>
          <w:bCs/>
          <w:color w:val="auto"/>
          <w:sz w:val="22"/>
        </w:rPr>
      </w:pPr>
    </w:p>
    <w:p w14:paraId="2D13C853" w14:textId="77777777" w:rsidR="00620C19" w:rsidRPr="00784EC1" w:rsidRDefault="00620C19" w:rsidP="00620C19">
      <w:pPr>
        <w:pStyle w:val="Normln1"/>
        <w:rPr>
          <w:rFonts w:ascii="Calibri" w:hAnsi="Calibri"/>
          <w:b/>
          <w:bCs/>
          <w:color w:val="auto"/>
          <w:sz w:val="22"/>
        </w:rPr>
      </w:pPr>
      <w:proofErr w:type="gramStart"/>
      <w:r w:rsidRPr="00784EC1">
        <w:rPr>
          <w:rFonts w:ascii="Calibri" w:hAnsi="Calibri"/>
          <w:b/>
          <w:bCs/>
          <w:color w:val="auto"/>
          <w:sz w:val="22"/>
        </w:rPr>
        <w:t>Výrobna - předávací</w:t>
      </w:r>
      <w:proofErr w:type="gramEnd"/>
      <w:r w:rsidRPr="00784EC1">
        <w:rPr>
          <w:rFonts w:ascii="Calibri" w:hAnsi="Calibri"/>
          <w:b/>
          <w:bCs/>
          <w:color w:val="auto"/>
          <w:sz w:val="22"/>
        </w:rPr>
        <w:t xml:space="preserve"> místo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376"/>
      </w:tblGrid>
      <w:tr w:rsidR="00620C19" w:rsidRPr="00B361C9" w14:paraId="1A822CE7" w14:textId="77777777" w:rsidTr="00B208CE">
        <w:trPr>
          <w:trHeight w:val="350"/>
        </w:trPr>
        <w:tc>
          <w:tcPr>
            <w:tcW w:w="4704" w:type="dxa"/>
            <w:shd w:val="clear" w:color="auto" w:fill="1F497D"/>
          </w:tcPr>
          <w:p w14:paraId="6AF8F3A3"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Název</w:t>
            </w:r>
          </w:p>
        </w:tc>
        <w:tc>
          <w:tcPr>
            <w:tcW w:w="4696" w:type="dxa"/>
            <w:shd w:val="clear" w:color="auto" w:fill="auto"/>
          </w:tcPr>
          <w:p w14:paraId="6BA7AC19" w14:textId="19DDC6BB" w:rsidR="00620C19" w:rsidRPr="00B361C9" w:rsidRDefault="009B7658"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KGJ KV Arena</w:t>
            </w:r>
          </w:p>
        </w:tc>
      </w:tr>
      <w:tr w:rsidR="00620C19" w:rsidRPr="00B361C9" w14:paraId="573EAEFC" w14:textId="77777777" w:rsidTr="00B208CE">
        <w:trPr>
          <w:trHeight w:val="309"/>
        </w:trPr>
        <w:tc>
          <w:tcPr>
            <w:tcW w:w="4704" w:type="dxa"/>
            <w:shd w:val="clear" w:color="auto" w:fill="1F497D"/>
          </w:tcPr>
          <w:p w14:paraId="0F014A1A"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Adresa</w:t>
            </w:r>
          </w:p>
        </w:tc>
        <w:tc>
          <w:tcPr>
            <w:tcW w:w="4696" w:type="dxa"/>
            <w:shd w:val="clear" w:color="auto" w:fill="auto"/>
          </w:tcPr>
          <w:p w14:paraId="3F84730E" w14:textId="7FB28B90" w:rsidR="00620C19" w:rsidRPr="00B361C9" w:rsidRDefault="009B7658"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Západní 1812/73, 36001 Karlovy Vary</w:t>
            </w:r>
            <w:r>
              <w:rPr>
                <w:rFonts w:cs="Arial"/>
              </w:rPr>
              <w:t> </w:t>
            </w:r>
          </w:p>
        </w:tc>
      </w:tr>
      <w:tr w:rsidR="00620C19" w:rsidRPr="00B361C9" w14:paraId="047947A1" w14:textId="77777777" w:rsidTr="00B208CE">
        <w:trPr>
          <w:trHeight w:val="322"/>
        </w:trPr>
        <w:tc>
          <w:tcPr>
            <w:tcW w:w="4704" w:type="dxa"/>
            <w:shd w:val="clear" w:color="auto" w:fill="1F497D"/>
          </w:tcPr>
          <w:p w14:paraId="1ACBDDA7"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Instalovaný výkon</w:t>
            </w:r>
          </w:p>
        </w:tc>
        <w:tc>
          <w:tcPr>
            <w:tcW w:w="4696" w:type="dxa"/>
            <w:shd w:val="clear" w:color="auto" w:fill="auto"/>
          </w:tcPr>
          <w:p w14:paraId="1A031CEC" w14:textId="034F09FE" w:rsidR="00620C19" w:rsidRPr="00B361C9" w:rsidRDefault="009B7658"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580 kW</w:t>
            </w:r>
            <w:r>
              <w:rPr>
                <w:rFonts w:cs="Arial"/>
              </w:rPr>
              <w:t> </w:t>
            </w:r>
          </w:p>
        </w:tc>
      </w:tr>
      <w:tr w:rsidR="00620C19" w:rsidRPr="00B361C9" w14:paraId="6A4F29D6" w14:textId="77777777" w:rsidTr="00B208CE">
        <w:tc>
          <w:tcPr>
            <w:tcW w:w="4704" w:type="dxa"/>
            <w:shd w:val="clear" w:color="auto" w:fill="1F497D"/>
          </w:tcPr>
          <w:p w14:paraId="3BBDA050"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Typ</w:t>
            </w:r>
          </w:p>
        </w:tc>
        <w:tc>
          <w:tcPr>
            <w:tcW w:w="4696" w:type="dxa"/>
            <w:shd w:val="clear" w:color="auto" w:fill="auto"/>
          </w:tcPr>
          <w:p w14:paraId="74BBF912" w14:textId="11AE6CDE" w:rsidR="00620C19" w:rsidRPr="00B361C9" w:rsidRDefault="009B7658"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TEDOM D580</w:t>
            </w:r>
          </w:p>
        </w:tc>
      </w:tr>
      <w:tr w:rsidR="00620C19" w:rsidRPr="00B361C9" w14:paraId="34FEA208" w14:textId="77777777" w:rsidTr="00B208CE">
        <w:tc>
          <w:tcPr>
            <w:tcW w:w="4704" w:type="dxa"/>
            <w:shd w:val="clear" w:color="auto" w:fill="1F497D"/>
          </w:tcPr>
          <w:p w14:paraId="7A04F225"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PDS</w:t>
            </w:r>
          </w:p>
        </w:tc>
        <w:tc>
          <w:tcPr>
            <w:tcW w:w="4696" w:type="dxa"/>
            <w:shd w:val="clear" w:color="auto" w:fill="auto"/>
          </w:tcPr>
          <w:p w14:paraId="2ACA7BDD" w14:textId="0ABE74DA" w:rsidR="00620C19" w:rsidRPr="00B361C9" w:rsidRDefault="009B7658"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ČEZ Distribuce</w:t>
            </w:r>
          </w:p>
        </w:tc>
      </w:tr>
      <w:tr w:rsidR="00620C19" w:rsidRPr="00B361C9" w14:paraId="30D23170" w14:textId="77777777" w:rsidTr="00B208CE">
        <w:tc>
          <w:tcPr>
            <w:tcW w:w="4704" w:type="dxa"/>
            <w:shd w:val="clear" w:color="auto" w:fill="1F497D"/>
          </w:tcPr>
          <w:p w14:paraId="279AD118"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EAN</w:t>
            </w:r>
          </w:p>
        </w:tc>
        <w:tc>
          <w:tcPr>
            <w:tcW w:w="4696" w:type="dxa"/>
            <w:shd w:val="clear" w:color="auto" w:fill="auto"/>
          </w:tcPr>
          <w:p w14:paraId="7954446E" w14:textId="158FD892" w:rsidR="00620C19" w:rsidRPr="00B361C9" w:rsidRDefault="009B7658" w:rsidP="009B7658">
            <w:pPr>
              <w:pStyle w:val="Normln1"/>
              <w:rPr>
                <w:rFonts w:ascii="Calibri" w:hAnsi="Calibri"/>
              </w:rPr>
            </w:pPr>
            <w:r w:rsidRPr="009B7658">
              <w:rPr>
                <w:rFonts w:ascii="Calibri" w:hAnsi="Calibri"/>
                <w:color w:val="auto"/>
                <w:sz w:val="22"/>
                <w:szCs w:val="22"/>
              </w:rPr>
              <w:t>859182400800609712</w:t>
            </w:r>
          </w:p>
        </w:tc>
      </w:tr>
      <w:tr w:rsidR="00620C19" w:rsidRPr="00B361C9" w14:paraId="62984FDE" w14:textId="77777777" w:rsidTr="00B208CE">
        <w:trPr>
          <w:trHeight w:val="351"/>
        </w:trPr>
        <w:tc>
          <w:tcPr>
            <w:tcW w:w="4704" w:type="dxa"/>
            <w:shd w:val="clear" w:color="auto" w:fill="1F497D"/>
          </w:tcPr>
          <w:p w14:paraId="0ABF6ABC"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Typ měření</w:t>
            </w:r>
          </w:p>
        </w:tc>
        <w:tc>
          <w:tcPr>
            <w:tcW w:w="4696" w:type="dxa"/>
            <w:shd w:val="clear" w:color="auto" w:fill="auto"/>
          </w:tcPr>
          <w:p w14:paraId="6C6E67FD" w14:textId="692482AD" w:rsidR="00620C19" w:rsidRPr="00B361C9" w:rsidRDefault="009B7658" w:rsidP="00B208CE">
            <w:pPr>
              <w:pStyle w:val="Normln1"/>
              <w:rPr>
                <w:rFonts w:ascii="Calibri" w:eastAsiaTheme="minorHAnsi" w:hAnsi="Calibri" w:cstheme="minorBidi"/>
                <w:color w:val="auto"/>
                <w:sz w:val="22"/>
                <w:szCs w:val="22"/>
                <w:lang w:eastAsia="en-US"/>
              </w:rPr>
            </w:pPr>
            <w:r>
              <w:rPr>
                <w:rFonts w:ascii="Calibri" w:eastAsiaTheme="minorHAnsi" w:hAnsi="Calibri" w:cstheme="minorBidi"/>
                <w:color w:val="auto"/>
                <w:sz w:val="22"/>
                <w:szCs w:val="22"/>
                <w:lang w:eastAsia="en-US"/>
              </w:rPr>
              <w:t>A</w:t>
            </w:r>
          </w:p>
        </w:tc>
      </w:tr>
      <w:tr w:rsidR="00620C19" w:rsidRPr="00B361C9" w14:paraId="4FF508DD" w14:textId="77777777" w:rsidTr="00B208CE">
        <w:trPr>
          <w:trHeight w:val="225"/>
        </w:trPr>
        <w:tc>
          <w:tcPr>
            <w:tcW w:w="4704" w:type="dxa"/>
            <w:shd w:val="clear" w:color="auto" w:fill="1F497D"/>
          </w:tcPr>
          <w:p w14:paraId="083CD457" w14:textId="77777777" w:rsidR="00620C19" w:rsidRPr="00B361C9" w:rsidRDefault="00620C19" w:rsidP="00B208CE">
            <w:pPr>
              <w:pStyle w:val="Normln1"/>
              <w:rPr>
                <w:rFonts w:ascii="Calibri" w:hAnsi="Calibri"/>
                <w:b/>
                <w:color w:val="FFFFFF"/>
                <w:sz w:val="22"/>
              </w:rPr>
            </w:pPr>
            <w:r w:rsidRPr="00B361C9">
              <w:rPr>
                <w:rFonts w:ascii="Calibri" w:hAnsi="Calibri"/>
                <w:b/>
                <w:color w:val="FFFFFF"/>
                <w:sz w:val="22"/>
              </w:rPr>
              <w:t>Předávací místo</w:t>
            </w:r>
          </w:p>
        </w:tc>
        <w:tc>
          <w:tcPr>
            <w:tcW w:w="4696" w:type="dxa"/>
            <w:shd w:val="clear" w:color="auto" w:fill="auto"/>
          </w:tcPr>
          <w:p w14:paraId="20AAB52B" w14:textId="49F5A8B7" w:rsidR="00620C19" w:rsidRPr="00B361C9" w:rsidRDefault="004D2D6F" w:rsidP="00B208CE">
            <w:pPr>
              <w:pStyle w:val="Normln1"/>
              <w:rPr>
                <w:rFonts w:ascii="Calibri" w:eastAsiaTheme="minorHAnsi" w:hAnsi="Calibri" w:cstheme="minorBidi"/>
                <w:color w:val="auto"/>
                <w:sz w:val="22"/>
                <w:szCs w:val="22"/>
                <w:lang w:eastAsia="en-US"/>
              </w:rPr>
            </w:pPr>
            <w:r w:rsidRPr="009B7658">
              <w:rPr>
                <w:rFonts w:ascii="Calibri" w:hAnsi="Calibri"/>
                <w:color w:val="auto"/>
                <w:sz w:val="22"/>
                <w:szCs w:val="22"/>
              </w:rPr>
              <w:t>Západní 1812/73, 36001 Karlovy Vary</w:t>
            </w:r>
            <w:r>
              <w:rPr>
                <w:rFonts w:cs="Arial"/>
              </w:rPr>
              <w:t> </w:t>
            </w:r>
          </w:p>
        </w:tc>
      </w:tr>
    </w:tbl>
    <w:p w14:paraId="0661E2C0" w14:textId="77777777" w:rsidR="00620C19" w:rsidRPr="00B361C9" w:rsidRDefault="00620C19" w:rsidP="00620C19">
      <w:pPr>
        <w:pStyle w:val="Normln1"/>
        <w:jc w:val="both"/>
        <w:rPr>
          <w:rFonts w:ascii="Calibri" w:hAnsi="Calibri"/>
          <w:color w:val="0E1F4B"/>
          <w:sz w:val="22"/>
        </w:rPr>
      </w:pPr>
    </w:p>
    <w:p w14:paraId="744498C4" w14:textId="77777777" w:rsidR="00620C19" w:rsidRPr="00B361C9" w:rsidRDefault="00620C19" w:rsidP="00620C19">
      <w:pPr>
        <w:pStyle w:val="Normln1"/>
        <w:jc w:val="center"/>
        <w:rPr>
          <w:rFonts w:ascii="Calibri" w:hAnsi="Calibri"/>
          <w:color w:val="0E1F4B"/>
          <w:sz w:val="22"/>
        </w:rPr>
      </w:pPr>
    </w:p>
    <w:p w14:paraId="06A5A02D"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IV.</w:t>
      </w:r>
    </w:p>
    <w:p w14:paraId="1AFE9353"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Kupní cena za dodanou elektřinu</w:t>
      </w:r>
    </w:p>
    <w:p w14:paraId="33669ABD" w14:textId="77777777" w:rsidR="00620C19" w:rsidRPr="00B361C9" w:rsidRDefault="00620C19" w:rsidP="00620C19">
      <w:pPr>
        <w:pStyle w:val="Normln1"/>
        <w:jc w:val="center"/>
        <w:rPr>
          <w:rFonts w:ascii="Calibri" w:hAnsi="Calibri"/>
          <w:b/>
          <w:color w:val="auto"/>
          <w:sz w:val="22"/>
          <w:szCs w:val="22"/>
        </w:rPr>
      </w:pPr>
    </w:p>
    <w:p w14:paraId="024B185C" w14:textId="0B03EBA4" w:rsidR="00620C19" w:rsidRPr="00B361C9" w:rsidRDefault="00620C19" w:rsidP="00620C19">
      <w:pPr>
        <w:pStyle w:val="Normln1"/>
        <w:numPr>
          <w:ilvl w:val="0"/>
          <w:numId w:val="2"/>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Kupní cen</w:t>
      </w:r>
      <w:r>
        <w:rPr>
          <w:rFonts w:ascii="Calibri" w:hAnsi="Calibri"/>
          <w:color w:val="auto"/>
          <w:sz w:val="22"/>
          <w:szCs w:val="22"/>
        </w:rPr>
        <w:t>a</w:t>
      </w:r>
      <w:r w:rsidRPr="00B361C9">
        <w:rPr>
          <w:rFonts w:ascii="Calibri" w:hAnsi="Calibri"/>
          <w:color w:val="auto"/>
          <w:sz w:val="22"/>
          <w:szCs w:val="22"/>
        </w:rPr>
        <w:t xml:space="preserve"> za dodanou elektřinu je sjednána smluvními stranami pro rok </w:t>
      </w:r>
      <w:r w:rsidR="006F4E39" w:rsidRPr="006F4E39">
        <w:rPr>
          <w:rFonts w:ascii="Calibri" w:hAnsi="Calibri"/>
          <w:b/>
          <w:bCs/>
          <w:color w:val="auto"/>
          <w:sz w:val="22"/>
          <w:szCs w:val="22"/>
        </w:rPr>
        <w:t>2021</w:t>
      </w:r>
      <w:r w:rsidRPr="00B361C9">
        <w:rPr>
          <w:rFonts w:ascii="Calibri" w:hAnsi="Calibri"/>
          <w:color w:val="auto"/>
          <w:sz w:val="22"/>
          <w:szCs w:val="22"/>
        </w:rPr>
        <w:t xml:space="preserve"> pro každou jednotlivou obchodní hodinu na denním trhu s elektřinou, organizovaným OTE</w:t>
      </w:r>
      <w:r>
        <w:rPr>
          <w:rFonts w:ascii="Calibri" w:hAnsi="Calibri"/>
          <w:color w:val="auto"/>
          <w:sz w:val="22"/>
          <w:szCs w:val="22"/>
        </w:rPr>
        <w:t>,</w:t>
      </w:r>
      <w:r w:rsidRPr="00B361C9">
        <w:rPr>
          <w:rFonts w:ascii="Calibri" w:hAnsi="Calibri"/>
          <w:color w:val="auto"/>
          <w:sz w:val="22"/>
          <w:szCs w:val="22"/>
        </w:rPr>
        <w:t xml:space="preserve"> a.s.</w:t>
      </w:r>
      <w:r>
        <w:rPr>
          <w:rFonts w:ascii="Calibri" w:hAnsi="Calibri"/>
          <w:color w:val="auto"/>
          <w:sz w:val="22"/>
          <w:szCs w:val="22"/>
        </w:rPr>
        <w:t>,</w:t>
      </w:r>
      <w:r w:rsidRPr="00B361C9">
        <w:rPr>
          <w:rFonts w:ascii="Calibri" w:hAnsi="Calibri"/>
          <w:color w:val="auto"/>
          <w:sz w:val="22"/>
          <w:szCs w:val="22"/>
        </w:rPr>
        <w:t xml:space="preserve"> takto:</w:t>
      </w:r>
    </w:p>
    <w:p w14:paraId="15F230C8" w14:textId="77777777" w:rsidR="00620C19" w:rsidRPr="00B361C9" w:rsidRDefault="00620C19" w:rsidP="00620C19">
      <w:pPr>
        <w:pStyle w:val="Normln1"/>
        <w:ind w:left="720"/>
        <w:jc w:val="both"/>
        <w:rPr>
          <w:rFonts w:ascii="Calibri" w:hAnsi="Calibri"/>
          <w:color w:val="auto"/>
          <w:sz w:val="22"/>
          <w:szCs w:val="22"/>
        </w:rPr>
      </w:pPr>
    </w:p>
    <w:p w14:paraId="07461458" w14:textId="579C222F" w:rsidR="00620C19" w:rsidRDefault="00620C19" w:rsidP="00620C19">
      <w:pPr>
        <w:pStyle w:val="Normln1"/>
        <w:ind w:left="720"/>
        <w:jc w:val="center"/>
        <w:rPr>
          <w:rFonts w:ascii="Calibri" w:hAnsi="Calibri" w:cs="Calibri"/>
          <w:color w:val="auto"/>
          <w:sz w:val="22"/>
          <w:szCs w:val="22"/>
        </w:rPr>
      </w:pPr>
      <w:r>
        <w:rPr>
          <w:rFonts w:ascii="Calibri" w:hAnsi="Calibri" w:cs="Calibri"/>
          <w:b/>
          <w:bCs/>
          <w:color w:val="auto"/>
          <w:sz w:val="22"/>
          <w:szCs w:val="22"/>
        </w:rPr>
        <w:t xml:space="preserve">SKC = HC DT OTE – </w:t>
      </w:r>
      <w:r w:rsidR="006F4E39" w:rsidRPr="006F4E39">
        <w:rPr>
          <w:rFonts w:ascii="Calibri" w:hAnsi="Calibri" w:cs="Calibri"/>
          <w:b/>
          <w:bCs/>
          <w:color w:val="auto"/>
          <w:sz w:val="22"/>
          <w:szCs w:val="22"/>
        </w:rPr>
        <w:t>146</w:t>
      </w:r>
      <w:r w:rsidRPr="006F4E39">
        <w:rPr>
          <w:rFonts w:ascii="Calibri" w:hAnsi="Calibri" w:cs="Calibri"/>
          <w:b/>
          <w:bCs/>
          <w:color w:val="auto"/>
          <w:sz w:val="22"/>
          <w:szCs w:val="22"/>
        </w:rPr>
        <w:t xml:space="preserve"> Kč /</w:t>
      </w:r>
      <w:r>
        <w:rPr>
          <w:rFonts w:ascii="Calibri" w:hAnsi="Calibri" w:cs="Calibri"/>
          <w:b/>
          <w:bCs/>
          <w:color w:val="auto"/>
          <w:sz w:val="22"/>
          <w:szCs w:val="22"/>
        </w:rPr>
        <w:t xml:space="preserve"> </w:t>
      </w:r>
      <w:proofErr w:type="spellStart"/>
      <w:r>
        <w:rPr>
          <w:rFonts w:ascii="Calibri" w:hAnsi="Calibri" w:cs="Calibri"/>
          <w:b/>
          <w:bCs/>
          <w:color w:val="auto"/>
          <w:sz w:val="22"/>
          <w:szCs w:val="22"/>
        </w:rPr>
        <w:t>MWh</w:t>
      </w:r>
      <w:proofErr w:type="spellEnd"/>
    </w:p>
    <w:p w14:paraId="26873A7A" w14:textId="77777777" w:rsidR="00620C19" w:rsidRDefault="00620C19" w:rsidP="00620C19">
      <w:pPr>
        <w:pStyle w:val="Normln1"/>
        <w:ind w:left="720"/>
        <w:jc w:val="both"/>
        <w:rPr>
          <w:rFonts w:ascii="Calibri" w:hAnsi="Calibri" w:cs="Calibri"/>
          <w:color w:val="auto"/>
          <w:sz w:val="22"/>
          <w:szCs w:val="22"/>
        </w:rPr>
      </w:pPr>
    </w:p>
    <w:p w14:paraId="2CDB313D" w14:textId="77777777" w:rsidR="00620C19" w:rsidRDefault="00620C19" w:rsidP="00620C19">
      <w:pPr>
        <w:pStyle w:val="Normln1"/>
        <w:numPr>
          <w:ilvl w:val="0"/>
          <w:numId w:val="10"/>
        </w:numPr>
        <w:jc w:val="both"/>
        <w:rPr>
          <w:rFonts w:ascii="Calibri" w:hAnsi="Calibri" w:cs="Calibri"/>
          <w:color w:val="auto"/>
          <w:sz w:val="22"/>
          <w:szCs w:val="22"/>
        </w:rPr>
      </w:pPr>
      <w:r>
        <w:rPr>
          <w:rFonts w:ascii="Calibri" w:hAnsi="Calibri" w:cs="Calibri"/>
          <w:color w:val="auto"/>
          <w:sz w:val="22"/>
          <w:szCs w:val="22"/>
        </w:rPr>
        <w:t>„SKC“ je sjednaná kupní cena za dodanou elektřinu podle této smlouvy v Kč/</w:t>
      </w:r>
      <w:proofErr w:type="spellStart"/>
      <w:r>
        <w:rPr>
          <w:rFonts w:ascii="Calibri" w:hAnsi="Calibri" w:cs="Calibri"/>
          <w:color w:val="auto"/>
          <w:sz w:val="22"/>
          <w:szCs w:val="22"/>
        </w:rPr>
        <w:t>MWh</w:t>
      </w:r>
      <w:proofErr w:type="spellEnd"/>
      <w:r>
        <w:rPr>
          <w:rFonts w:ascii="Calibri" w:hAnsi="Calibri" w:cs="Calibri"/>
          <w:color w:val="auto"/>
          <w:sz w:val="22"/>
          <w:szCs w:val="22"/>
        </w:rPr>
        <w:t>,</w:t>
      </w:r>
    </w:p>
    <w:p w14:paraId="6FFCBF9C" w14:textId="77777777" w:rsidR="00620C19" w:rsidRDefault="00620C19" w:rsidP="00620C19">
      <w:pPr>
        <w:pStyle w:val="Normln1"/>
        <w:numPr>
          <w:ilvl w:val="0"/>
          <w:numId w:val="10"/>
        </w:numPr>
        <w:jc w:val="both"/>
        <w:rPr>
          <w:rFonts w:ascii="Calibri" w:hAnsi="Calibri" w:cs="Calibri"/>
          <w:color w:val="auto"/>
          <w:sz w:val="22"/>
          <w:szCs w:val="22"/>
        </w:rPr>
      </w:pPr>
      <w:r>
        <w:rPr>
          <w:rFonts w:ascii="Calibri" w:hAnsi="Calibri" w:cs="Calibri"/>
          <w:color w:val="auto"/>
          <w:sz w:val="22"/>
          <w:szCs w:val="22"/>
        </w:rPr>
        <w:t>„HC DT OTE“ je hodinová cena elektřiny v Kč/</w:t>
      </w:r>
      <w:proofErr w:type="spellStart"/>
      <w:r>
        <w:rPr>
          <w:rFonts w:ascii="Calibri" w:hAnsi="Calibri" w:cs="Calibri"/>
          <w:color w:val="auto"/>
          <w:sz w:val="22"/>
          <w:szCs w:val="22"/>
        </w:rPr>
        <w:t>MWh</w:t>
      </w:r>
      <w:proofErr w:type="spellEnd"/>
      <w:r>
        <w:rPr>
          <w:rFonts w:ascii="Calibri" w:hAnsi="Calibri" w:cs="Calibri"/>
          <w:color w:val="auto"/>
          <w:sz w:val="22"/>
          <w:szCs w:val="22"/>
        </w:rPr>
        <w:t xml:space="preserve"> na denním trhu organizovaném operátorem trhu OTE, a.s., stanovená pro danou obchodní hodinu a den, v němž se dodávka elektřiny uskutečnila, zveřejněná na webových stránkách OTE, a.s. - viz </w:t>
      </w:r>
      <w:hyperlink r:id="rId8" w:history="1">
        <w:r>
          <w:rPr>
            <w:rStyle w:val="Hypertextovodkaz"/>
            <w:rFonts w:ascii="Calibri" w:hAnsi="Calibri" w:cs="Calibri"/>
            <w:sz w:val="22"/>
            <w:szCs w:val="22"/>
          </w:rPr>
          <w:t>https://www.ote-cr.cz/cs/kratkodobe-trhy/elektrina/denni-trh</w:t>
        </w:r>
      </w:hyperlink>
      <w:r>
        <w:rPr>
          <w:rFonts w:ascii="Calibri" w:hAnsi="Calibri" w:cs="Calibri"/>
          <w:color w:val="auto"/>
          <w:sz w:val="22"/>
          <w:szCs w:val="22"/>
        </w:rPr>
        <w:t xml:space="preserve">. </w:t>
      </w:r>
    </w:p>
    <w:p w14:paraId="4E4FA454" w14:textId="77777777" w:rsidR="00620C19" w:rsidRDefault="00620C19" w:rsidP="00620C19">
      <w:pPr>
        <w:pStyle w:val="Normln1"/>
        <w:ind w:left="1080"/>
        <w:jc w:val="both"/>
        <w:rPr>
          <w:rFonts w:ascii="Calibri" w:hAnsi="Calibri" w:cs="Calibri"/>
          <w:color w:val="auto"/>
          <w:sz w:val="22"/>
          <w:szCs w:val="22"/>
        </w:rPr>
      </w:pPr>
    </w:p>
    <w:p w14:paraId="606010A4" w14:textId="77777777" w:rsidR="00620C19" w:rsidRDefault="00620C19" w:rsidP="00620C19">
      <w:pPr>
        <w:pStyle w:val="Normln1"/>
        <w:ind w:left="1080"/>
        <w:jc w:val="both"/>
        <w:rPr>
          <w:rFonts w:ascii="Calibri" w:hAnsi="Calibri" w:cs="Calibri"/>
          <w:color w:val="auto"/>
          <w:sz w:val="22"/>
          <w:szCs w:val="22"/>
        </w:rPr>
      </w:pPr>
      <w:r>
        <w:rPr>
          <w:rFonts w:ascii="Calibri" w:hAnsi="Calibri" w:cs="Calibri"/>
          <w:color w:val="auto"/>
          <w:sz w:val="22"/>
          <w:szCs w:val="22"/>
        </w:rPr>
        <w:t xml:space="preserve">Pro přepočet hodinové ceny elektřiny z měny EUR (tak, jak je uváděna na stránkách OTE, a.s.) na CZK bude pro účely vyúčtování ceny komodity použit směnný kurz EUR/CZK – kurs střed devizového trhu vyhlašovaný ČNB, platný vždy ke konci každého jednotlivého dne fakturovaného období dodávky elektřiny. Přepočet hodinové ceny </w:t>
      </w:r>
      <w:r>
        <w:rPr>
          <w:rFonts w:ascii="Calibri" w:hAnsi="Calibri" w:cs="Calibri"/>
          <w:color w:val="auto"/>
          <w:sz w:val="22"/>
          <w:szCs w:val="22"/>
        </w:rPr>
        <w:lastRenderedPageBreak/>
        <w:t xml:space="preserve">elektřiny z měny EUR na CZK, s takto stanoveným směnným kurzem, bude proveden vždy za každý den z fakturovaného období dodávky elektřiny zvlášť. </w:t>
      </w:r>
    </w:p>
    <w:p w14:paraId="606B5385" w14:textId="77777777" w:rsidR="00620C19" w:rsidRDefault="00620C19" w:rsidP="00620C19">
      <w:pPr>
        <w:pStyle w:val="Normln1"/>
        <w:ind w:left="1080"/>
        <w:jc w:val="both"/>
        <w:rPr>
          <w:rFonts w:ascii="Calibri" w:hAnsi="Calibri" w:cs="Calibri"/>
          <w:color w:val="auto"/>
          <w:sz w:val="22"/>
          <w:szCs w:val="22"/>
        </w:rPr>
      </w:pPr>
    </w:p>
    <w:p w14:paraId="106FFD65" w14:textId="77777777" w:rsidR="00620C19" w:rsidRDefault="00620C19" w:rsidP="00620C19">
      <w:pPr>
        <w:pStyle w:val="Normln1"/>
        <w:ind w:left="1080"/>
        <w:jc w:val="both"/>
        <w:rPr>
          <w:rFonts w:ascii="Calibri" w:hAnsi="Calibri" w:cs="Calibri"/>
          <w:color w:val="auto"/>
          <w:sz w:val="22"/>
          <w:szCs w:val="22"/>
        </w:rPr>
      </w:pPr>
      <w:r>
        <w:rPr>
          <w:rFonts w:ascii="Calibri" w:hAnsi="Calibri" w:cs="Calibri"/>
          <w:color w:val="auto"/>
          <w:sz w:val="22"/>
          <w:szCs w:val="22"/>
        </w:rPr>
        <w:t>Pro případ, že kurz střed devizového trhu nebude v daný den ČNB vyhlášen, bude pro přepočet za daný den použit poslední kurz střed devizového trhu vyhlášený ČNB před dnem dodávky.</w:t>
      </w:r>
    </w:p>
    <w:p w14:paraId="3358CAA2" w14:textId="77777777" w:rsidR="00620C19" w:rsidRPr="00B361C9" w:rsidRDefault="00620C19" w:rsidP="00620C19">
      <w:pPr>
        <w:pStyle w:val="Normln1"/>
        <w:ind w:left="1080"/>
        <w:jc w:val="both"/>
        <w:rPr>
          <w:rFonts w:ascii="Calibri" w:hAnsi="Calibri"/>
          <w:color w:val="auto"/>
          <w:sz w:val="22"/>
          <w:szCs w:val="22"/>
        </w:rPr>
      </w:pPr>
    </w:p>
    <w:p w14:paraId="70627281" w14:textId="20980C49" w:rsidR="00620C19" w:rsidRDefault="00620C19" w:rsidP="00620C19">
      <w:pPr>
        <w:pStyle w:val="Normln1"/>
        <w:numPr>
          <w:ilvl w:val="0"/>
          <w:numId w:val="2"/>
        </w:numPr>
        <w:tabs>
          <w:tab w:val="clear" w:pos="360"/>
        </w:tabs>
        <w:ind w:left="709" w:hanging="425"/>
        <w:jc w:val="both"/>
        <w:rPr>
          <w:rFonts w:ascii="Calibri" w:hAnsi="Calibri"/>
          <w:color w:val="auto"/>
          <w:sz w:val="22"/>
          <w:szCs w:val="22"/>
        </w:rPr>
      </w:pPr>
      <w:r w:rsidRPr="00026692">
        <w:rPr>
          <w:rFonts w:ascii="Calibri" w:hAnsi="Calibri"/>
          <w:color w:val="auto"/>
          <w:sz w:val="22"/>
          <w:szCs w:val="22"/>
        </w:rPr>
        <w:t xml:space="preserve">Kupní cenu vždy pro další následující kalendářní rok stanoví kupující ve své cenové nabídce. První cenová nabídka na rok </w:t>
      </w:r>
      <w:r w:rsidR="006F4E39">
        <w:rPr>
          <w:rFonts w:ascii="Calibri" w:hAnsi="Calibri"/>
          <w:color w:val="auto"/>
          <w:sz w:val="22"/>
          <w:szCs w:val="22"/>
        </w:rPr>
        <w:t>2021</w:t>
      </w:r>
      <w:r w:rsidRPr="00026692">
        <w:rPr>
          <w:rFonts w:ascii="Calibri" w:hAnsi="Calibri"/>
          <w:color w:val="auto"/>
          <w:sz w:val="22"/>
          <w:szCs w:val="22"/>
        </w:rPr>
        <w:t xml:space="preserve"> dle tohoto ustanovení bude kupujícím výrobci zaslána </w:t>
      </w:r>
      <w:r w:rsidRPr="006F4E39">
        <w:rPr>
          <w:rFonts w:ascii="Calibri" w:hAnsi="Calibri"/>
          <w:b/>
          <w:bCs/>
          <w:color w:val="auto"/>
          <w:sz w:val="22"/>
          <w:szCs w:val="22"/>
        </w:rPr>
        <w:t>do 31.10.</w:t>
      </w:r>
      <w:r w:rsidR="006F4E39" w:rsidRPr="006F4E39">
        <w:rPr>
          <w:rFonts w:ascii="Calibri" w:hAnsi="Calibri"/>
          <w:b/>
          <w:bCs/>
          <w:color w:val="auto"/>
          <w:sz w:val="22"/>
          <w:szCs w:val="22"/>
        </w:rPr>
        <w:t>2021</w:t>
      </w:r>
      <w:r w:rsidRPr="00026692">
        <w:rPr>
          <w:rFonts w:ascii="Calibri" w:hAnsi="Calibri"/>
          <w:color w:val="auto"/>
          <w:sz w:val="22"/>
          <w:szCs w:val="22"/>
        </w:rPr>
        <w:t>. Cenovou nabídku pro následující kalendářní rok zašle kupující výrobci vždy do konce měsíce října kalendářního roku předcházejícího kalendářní rok, na který je kupujícím dána výrobci cenová nabídka. V případě, že výrobce s kupní cenou nesouhlasí, je oprávněn tuto smlouvu ve lhůtě dle čl. IX. odst. 1. této smlouvy písemně vypovědět. Smluvní strany výslovně sjednávají, že v případě, že výrobce smlouvu postupem dle článku IX. odst. 1. této smlouvy nevypoví, platí, že s nově navrženou kupní cenou souhlasí a smlouva se s nově navrženou kupní cenou prodlužuje ve smyslu čl. VIII. odst. 3. této smlouvy.</w:t>
      </w:r>
    </w:p>
    <w:p w14:paraId="0BCFADE9" w14:textId="77777777" w:rsidR="00620C19" w:rsidRDefault="00620C19" w:rsidP="00620C19">
      <w:pPr>
        <w:pStyle w:val="Normln1"/>
        <w:numPr>
          <w:ilvl w:val="0"/>
          <w:numId w:val="2"/>
        </w:numPr>
        <w:tabs>
          <w:tab w:val="clear" w:pos="360"/>
        </w:tabs>
        <w:ind w:left="709" w:hanging="425"/>
        <w:jc w:val="both"/>
        <w:rPr>
          <w:rFonts w:ascii="Calibri" w:hAnsi="Calibri"/>
          <w:color w:val="auto"/>
          <w:sz w:val="22"/>
          <w:szCs w:val="22"/>
        </w:rPr>
      </w:pPr>
      <w:r w:rsidRPr="00026692">
        <w:rPr>
          <w:rFonts w:ascii="Calibri" w:hAnsi="Calibri"/>
          <w:color w:val="auto"/>
          <w:sz w:val="22"/>
          <w:szCs w:val="22"/>
        </w:rPr>
        <w:t xml:space="preserve"> V případě, že kupující nezašle výrobci cenovou nabídku pro následující kalendářní rok dle čl. IV. odst. </w:t>
      </w:r>
      <w:r>
        <w:rPr>
          <w:rFonts w:ascii="Calibri" w:hAnsi="Calibri"/>
          <w:color w:val="auto"/>
          <w:sz w:val="22"/>
          <w:szCs w:val="22"/>
        </w:rPr>
        <w:t>2</w:t>
      </w:r>
      <w:r w:rsidRPr="00026692">
        <w:rPr>
          <w:rFonts w:ascii="Calibri" w:hAnsi="Calibri"/>
          <w:color w:val="auto"/>
          <w:sz w:val="22"/>
          <w:szCs w:val="22"/>
        </w:rPr>
        <w:t xml:space="preserve"> této smlouvy a zároveň dojde k automatickému prodloužení smlouvy dle </w:t>
      </w:r>
      <w:r>
        <w:rPr>
          <w:rFonts w:ascii="Calibri" w:hAnsi="Calibri"/>
          <w:color w:val="auto"/>
          <w:sz w:val="22"/>
          <w:szCs w:val="22"/>
        </w:rPr>
        <w:br/>
      </w:r>
      <w:r w:rsidRPr="00026692">
        <w:rPr>
          <w:rFonts w:ascii="Calibri" w:hAnsi="Calibri"/>
          <w:color w:val="auto"/>
          <w:sz w:val="22"/>
          <w:szCs w:val="22"/>
        </w:rPr>
        <w:t>čl. VIII. odst. 3. této smlouvy, jsou smluvní strany povinny kupní cenu stanovit vzájemnou dohodou formou dodatku k této smlouvě.</w:t>
      </w:r>
      <w:r>
        <w:rPr>
          <w:rFonts w:ascii="Calibri" w:hAnsi="Calibri"/>
          <w:color w:val="auto"/>
          <w:sz w:val="22"/>
          <w:szCs w:val="22"/>
        </w:rPr>
        <w:t xml:space="preserve"> Do sjednání dodatku platí cena platná pro předcházející období.</w:t>
      </w:r>
    </w:p>
    <w:p w14:paraId="394F7E9D" w14:textId="77777777" w:rsidR="00620C19" w:rsidRDefault="00620C19" w:rsidP="00620C19">
      <w:pPr>
        <w:pStyle w:val="Normln1"/>
        <w:numPr>
          <w:ilvl w:val="0"/>
          <w:numId w:val="2"/>
        </w:numPr>
        <w:tabs>
          <w:tab w:val="clear" w:pos="360"/>
        </w:tabs>
        <w:ind w:left="709" w:hanging="425"/>
        <w:jc w:val="both"/>
        <w:rPr>
          <w:rFonts w:ascii="Calibri" w:hAnsi="Calibri"/>
          <w:color w:val="auto"/>
          <w:sz w:val="22"/>
          <w:szCs w:val="22"/>
        </w:rPr>
      </w:pPr>
      <w:r w:rsidRPr="00026692">
        <w:rPr>
          <w:rFonts w:ascii="Calibri" w:hAnsi="Calibri"/>
          <w:color w:val="auto"/>
          <w:sz w:val="22"/>
          <w:szCs w:val="22"/>
        </w:rPr>
        <w:t>Jiná změna výše kupní ceny je možná pouze na základě oběma smluvními stranami odsouhlaseného písemného dodatku k této smlouvě.</w:t>
      </w:r>
    </w:p>
    <w:p w14:paraId="39B92500" w14:textId="77777777" w:rsidR="00620C19" w:rsidRPr="00026692" w:rsidRDefault="00620C19" w:rsidP="00620C19">
      <w:pPr>
        <w:pStyle w:val="Normln1"/>
        <w:numPr>
          <w:ilvl w:val="0"/>
          <w:numId w:val="2"/>
        </w:numPr>
        <w:tabs>
          <w:tab w:val="clear" w:pos="360"/>
        </w:tabs>
        <w:ind w:left="709" w:hanging="425"/>
        <w:jc w:val="both"/>
        <w:rPr>
          <w:rFonts w:ascii="Calibri" w:hAnsi="Calibri"/>
          <w:color w:val="auto"/>
          <w:sz w:val="22"/>
          <w:szCs w:val="22"/>
        </w:rPr>
      </w:pPr>
      <w:r w:rsidRPr="00026692">
        <w:rPr>
          <w:rFonts w:ascii="Calibri" w:hAnsi="Calibri"/>
          <w:color w:val="auto"/>
          <w:sz w:val="22"/>
          <w:szCs w:val="22"/>
        </w:rPr>
        <w:t xml:space="preserve">Kupní cena v jednotkové výši podle předchozích odstavců tohoto článku je smluvními stranami stanovována bez DPH.  K ceně bude připočtena DPH dle platných právních předpisů. </w:t>
      </w:r>
    </w:p>
    <w:p w14:paraId="0ECD5449" w14:textId="77777777" w:rsidR="00620C19" w:rsidRPr="00B361C9" w:rsidRDefault="00620C19" w:rsidP="00620C19">
      <w:pPr>
        <w:pStyle w:val="Normln1"/>
        <w:jc w:val="both"/>
        <w:rPr>
          <w:rFonts w:ascii="Calibri" w:hAnsi="Calibri"/>
          <w:color w:val="4A5A60"/>
          <w:sz w:val="22"/>
        </w:rPr>
      </w:pPr>
    </w:p>
    <w:p w14:paraId="76271B7B" w14:textId="77777777" w:rsidR="00620C19" w:rsidRPr="00B361C9" w:rsidRDefault="00620C19" w:rsidP="00620C19">
      <w:pPr>
        <w:pStyle w:val="Normln1"/>
        <w:jc w:val="both"/>
        <w:rPr>
          <w:rFonts w:ascii="Calibri" w:hAnsi="Calibri"/>
          <w:color w:val="4A5A60"/>
          <w:sz w:val="22"/>
        </w:rPr>
      </w:pPr>
    </w:p>
    <w:p w14:paraId="555628E8"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V.</w:t>
      </w:r>
    </w:p>
    <w:p w14:paraId="656C236C"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Měření a vyhodnocení množství dodané elektřiny</w:t>
      </w:r>
    </w:p>
    <w:p w14:paraId="0097C998" w14:textId="77777777" w:rsidR="00620C19" w:rsidRPr="00B361C9" w:rsidRDefault="00620C19" w:rsidP="00620C19">
      <w:pPr>
        <w:pStyle w:val="Normln1"/>
        <w:jc w:val="center"/>
        <w:rPr>
          <w:rFonts w:ascii="Calibri" w:hAnsi="Calibri"/>
          <w:b/>
          <w:color w:val="auto"/>
          <w:sz w:val="22"/>
          <w:szCs w:val="22"/>
        </w:rPr>
      </w:pPr>
    </w:p>
    <w:p w14:paraId="5A1D7A26" w14:textId="77777777" w:rsidR="00620C19" w:rsidRPr="00B361C9" w:rsidRDefault="00620C19" w:rsidP="00620C19">
      <w:pPr>
        <w:pStyle w:val="Normln1"/>
        <w:numPr>
          <w:ilvl w:val="0"/>
          <w:numId w:val="3"/>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Obchodní měření elektřiny dodávané do předávacího místa ze zdroje je stanoveno ve smlouvách o připojení uzavřených mezi výrobcem a příslušným provozovatelem distribuční soustavy v souladu s ustanoveními obecně závazných předpisů, zejména s ustanovením § 49 zák. č. 458/2000 Sb., a </w:t>
      </w:r>
      <w:proofErr w:type="spellStart"/>
      <w:r w:rsidRPr="00B361C9">
        <w:rPr>
          <w:rFonts w:ascii="Calibri" w:hAnsi="Calibri"/>
          <w:color w:val="auto"/>
          <w:sz w:val="22"/>
          <w:szCs w:val="22"/>
        </w:rPr>
        <w:t>vyhl</w:t>
      </w:r>
      <w:proofErr w:type="spellEnd"/>
      <w:r w:rsidRPr="00B361C9">
        <w:rPr>
          <w:rFonts w:ascii="Calibri" w:hAnsi="Calibri"/>
          <w:color w:val="auto"/>
          <w:sz w:val="22"/>
          <w:szCs w:val="22"/>
        </w:rPr>
        <w:t>. č. 82/2011 Sb. Měřící zařízení pro předávací místa dodává, instaluje a udržuje místně příslušný provozovatel distribuční soustavy.</w:t>
      </w:r>
    </w:p>
    <w:p w14:paraId="37E3EAE8" w14:textId="77777777" w:rsidR="00620C19" w:rsidRPr="00B361C9" w:rsidRDefault="00620C19" w:rsidP="00620C19">
      <w:pPr>
        <w:pStyle w:val="Normln1"/>
        <w:numPr>
          <w:ilvl w:val="0"/>
          <w:numId w:val="3"/>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Množství elektřiny skutečně dodané kupujícímu výrobcem na základě této smlouvy odpovídá množství elektřiny převzatém do distribuční soustavy PDS, k níž je zdroj připojen a stanoví se z údajů obchodního měření předávacích míst podle předchozího odstavce tohoto článku. Kupující na základě oprávnění k přístupu zjistí v systému OTE, a.s. skutečně naměřené hodnoty dodávky elektřiny výrobcem kupujícímu v zúčtovacím období, které sdělí výrobci do 5. pracovního dne po skončení příslušného měsíce dodávky elektřiny podle této smlouvy, pokud o to výrobce kupujícího sám požádá. Skutečné množství elektřiny dodané na základě této smlouvy smluvní strany vykazují v kWh.</w:t>
      </w:r>
    </w:p>
    <w:p w14:paraId="3DB7A930" w14:textId="77777777" w:rsidR="00620C19" w:rsidRPr="00B361C9" w:rsidRDefault="00620C19" w:rsidP="00620C19">
      <w:pPr>
        <w:pStyle w:val="Normln1"/>
        <w:numPr>
          <w:ilvl w:val="0"/>
          <w:numId w:val="3"/>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Skutečně dodané množství elektřiny vyrobené ve zdroji a dodané v příslušném měsíci výrobcem kupujícímu je smluvními stranami považováno za smluvní množství elektřiny. Pro zamezení pochybností strany shodně uvádějí, že kupující je povinen odebrat jen takové množství elektřiny, které mu bylo výrobcem za příslušné období skutečně dodáno, </w:t>
      </w:r>
      <w:r w:rsidRPr="00B361C9">
        <w:rPr>
          <w:rFonts w:ascii="Calibri" w:hAnsi="Calibri"/>
          <w:color w:val="auto"/>
          <w:sz w:val="22"/>
          <w:szCs w:val="22"/>
        </w:rPr>
        <w:lastRenderedPageBreak/>
        <w:t>a že hodnoty předběžných měsíčních a ročních množství elektřiny podle čl. II. této smlouvy nejsou pro smluvní strany závazné.</w:t>
      </w:r>
    </w:p>
    <w:p w14:paraId="49E26749" w14:textId="77777777" w:rsidR="00620C19" w:rsidRPr="00B361C9" w:rsidRDefault="00620C19" w:rsidP="00620C19">
      <w:pPr>
        <w:pStyle w:val="Normln1"/>
        <w:jc w:val="both"/>
        <w:rPr>
          <w:rFonts w:ascii="Calibri" w:hAnsi="Calibri"/>
          <w:color w:val="4A5A60"/>
          <w:sz w:val="22"/>
        </w:rPr>
      </w:pPr>
    </w:p>
    <w:p w14:paraId="0DA134FD" w14:textId="77777777" w:rsidR="00620C19" w:rsidRPr="00B361C9" w:rsidRDefault="00620C19" w:rsidP="00620C19">
      <w:pPr>
        <w:pStyle w:val="Normln1"/>
        <w:jc w:val="both"/>
        <w:rPr>
          <w:rFonts w:ascii="Calibri" w:hAnsi="Calibri"/>
          <w:color w:val="4A5A60"/>
          <w:sz w:val="22"/>
        </w:rPr>
      </w:pPr>
    </w:p>
    <w:p w14:paraId="7C7A7CBD" w14:textId="77777777" w:rsidR="00620C19" w:rsidRPr="00B361C9" w:rsidRDefault="00620C19" w:rsidP="00620C19">
      <w:pPr>
        <w:pStyle w:val="Normln1"/>
        <w:jc w:val="both"/>
        <w:rPr>
          <w:rFonts w:ascii="Calibri" w:hAnsi="Calibri"/>
          <w:color w:val="4A5A60"/>
          <w:sz w:val="22"/>
        </w:rPr>
      </w:pPr>
    </w:p>
    <w:p w14:paraId="02104CA9"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VI.</w:t>
      </w:r>
    </w:p>
    <w:p w14:paraId="46599562"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Fakturační a platební podmínky</w:t>
      </w:r>
    </w:p>
    <w:p w14:paraId="75C4ADF6" w14:textId="77777777" w:rsidR="00620C19" w:rsidRPr="00B361C9" w:rsidRDefault="00620C19" w:rsidP="00620C19">
      <w:pPr>
        <w:pStyle w:val="Normln1"/>
        <w:jc w:val="center"/>
        <w:rPr>
          <w:rFonts w:ascii="Calibri" w:hAnsi="Calibri"/>
          <w:b/>
          <w:color w:val="auto"/>
          <w:sz w:val="22"/>
          <w:szCs w:val="22"/>
        </w:rPr>
      </w:pPr>
    </w:p>
    <w:p w14:paraId="1552B3A6" w14:textId="77777777"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Smluvní strany si </w:t>
      </w:r>
      <w:r w:rsidRPr="006F4E39">
        <w:rPr>
          <w:rFonts w:ascii="Calibri" w:hAnsi="Calibri"/>
          <w:color w:val="auto"/>
          <w:sz w:val="22"/>
          <w:szCs w:val="22"/>
        </w:rPr>
        <w:t>sjednávají měsíční fakturační období. Po skončení fakturačního</w:t>
      </w:r>
      <w:r w:rsidRPr="00B361C9">
        <w:rPr>
          <w:rFonts w:ascii="Calibri" w:hAnsi="Calibri"/>
          <w:color w:val="auto"/>
          <w:sz w:val="22"/>
          <w:szCs w:val="22"/>
        </w:rPr>
        <w:t xml:space="preserve"> období výrobce vyúčtuje skutečně dodané množství dodané elektřiny podle článku V. odstavce 3. této smlouvy, a to na základě daňového dokladu, vystaveného v souladu se zákonem č. 235/2004 Sb., o dani z přidané hodnoty (dále jen „faktura“). Faktura bude vystavena do 15 dnů ode dne uskutečnění zdanitelného plnění. Za datum uskutečnění zdanitelného plnění se považuje poslední den příslušného měsíce, za který je vyúčtování provedeno.</w:t>
      </w:r>
    </w:p>
    <w:p w14:paraId="20C2B5C2" w14:textId="3433F87B"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Splatnost faktury činí 2</w:t>
      </w:r>
      <w:r w:rsidR="00AB585F">
        <w:rPr>
          <w:rFonts w:ascii="Calibri" w:hAnsi="Calibri"/>
          <w:color w:val="auto"/>
          <w:sz w:val="22"/>
          <w:szCs w:val="22"/>
        </w:rPr>
        <w:t>1</w:t>
      </w:r>
      <w:r w:rsidRPr="00B361C9">
        <w:rPr>
          <w:rFonts w:ascii="Calibri" w:hAnsi="Calibri"/>
          <w:color w:val="auto"/>
          <w:sz w:val="22"/>
          <w:szCs w:val="22"/>
        </w:rPr>
        <w:t xml:space="preserve"> dnů ode dne doručení faktury kupujícímu. Připadá-li tento den na den pracovního volna nebo den pracovního klidu, posunuje se platnost na nejbližší následující pracovní den. Peněžité závazky se považují za zaplacené okamžikem připsání dlužné částky z účtu kupujícího na účet výrobce.</w:t>
      </w:r>
    </w:p>
    <w:p w14:paraId="68C38DC5" w14:textId="77777777"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pokud je registrovaný plátce DPH, připočte k ceně uvedené v článku IV. této smlouvy DPH v zákonem dané výši.</w:t>
      </w:r>
    </w:p>
    <w:p w14:paraId="3122A48C" w14:textId="77777777"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na základě prohlášení uvedeného v článku II. odstavci 7. této smlouvy uvede informaci o dodané elektřině vyrobené ekologicky šetrným způsobem na každé jím vystavené faktuře.</w:t>
      </w:r>
    </w:p>
    <w:p w14:paraId="190F4A81" w14:textId="77777777"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Peněžité závazky podle této smlouvy smluvní strany platí bezhotovostním převodem dlužných částek z účtu dlužníka na účet věřitele. Faktury vystavené výrobcem k tíži kupujícího podle tohoto článku je kupující povinen platit na účet, který je uveden na faktuře. V případě každé změny bankovního spojení (účtu) výrobce oproti bankovnímu spojení uvedenému v záhlaví této smlouvy musí výrobce tuto změnu bezodkladně písemně oznámit, a to vždy přede dnem splatnosti faktury.</w:t>
      </w:r>
    </w:p>
    <w:p w14:paraId="7AAA00D0" w14:textId="77777777" w:rsidR="00620C19" w:rsidRPr="00B361C9" w:rsidRDefault="00620C19" w:rsidP="00620C19">
      <w:pPr>
        <w:pStyle w:val="Normln1"/>
        <w:numPr>
          <w:ilvl w:val="0"/>
          <w:numId w:val="4"/>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V případě prodlení s plněním peněžitého závazku vyplývajícího z této smlouvy je dlužník povinen za každý den prodlení uhradit věřiteli úrok z prodlení z dlužné částky, jehož výše se stanovuje pravidelně první pracovní den každého kalendářního měsíce roku ve fixní výši (1 M PRIBOR + </w:t>
      </w:r>
      <w:proofErr w:type="gramStart"/>
      <w:r w:rsidRPr="00B361C9">
        <w:rPr>
          <w:rFonts w:ascii="Calibri" w:hAnsi="Calibri"/>
          <w:color w:val="auto"/>
          <w:sz w:val="22"/>
          <w:szCs w:val="22"/>
        </w:rPr>
        <w:t>2)/</w:t>
      </w:r>
      <w:proofErr w:type="gramEnd"/>
      <w:r w:rsidRPr="00B361C9">
        <w:rPr>
          <w:rFonts w:ascii="Calibri" w:hAnsi="Calibri"/>
          <w:color w:val="auto"/>
          <w:sz w:val="22"/>
          <w:szCs w:val="22"/>
        </w:rPr>
        <w:t xml:space="preserve">360 procenta s platností na období daného kalendářního měsíce s platností na období tohoto měsíce. Pro účely této smlouva je 1M PRIBOR definován jako úroková sazba jednoměsíčního depozita na pražském trhu mezibankovních depozit, jejíž hodnota je stanovena Českou národní bankou.  </w:t>
      </w:r>
    </w:p>
    <w:p w14:paraId="66EE367A" w14:textId="77777777" w:rsidR="00620C19" w:rsidRPr="00B361C9" w:rsidRDefault="00620C19" w:rsidP="00620C19">
      <w:pPr>
        <w:pStyle w:val="Normln1"/>
        <w:ind w:left="720"/>
        <w:jc w:val="both"/>
        <w:rPr>
          <w:rFonts w:ascii="Calibri" w:hAnsi="Calibri"/>
          <w:color w:val="auto"/>
          <w:sz w:val="22"/>
          <w:szCs w:val="22"/>
        </w:rPr>
      </w:pPr>
    </w:p>
    <w:p w14:paraId="5BACDD88" w14:textId="77777777" w:rsidR="00620C19" w:rsidRPr="00B361C9" w:rsidRDefault="00620C19" w:rsidP="00620C19">
      <w:pPr>
        <w:pStyle w:val="Normln1"/>
        <w:ind w:left="720"/>
        <w:jc w:val="both"/>
        <w:rPr>
          <w:rFonts w:ascii="Calibri" w:hAnsi="Calibri"/>
          <w:color w:val="4A5A60"/>
          <w:sz w:val="22"/>
        </w:rPr>
      </w:pPr>
    </w:p>
    <w:p w14:paraId="11BB83E0"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VII.</w:t>
      </w:r>
    </w:p>
    <w:p w14:paraId="61BED734"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Povinnosti smluvní stran</w:t>
      </w:r>
    </w:p>
    <w:p w14:paraId="7152D3E2" w14:textId="77777777" w:rsidR="00620C19" w:rsidRPr="00B361C9" w:rsidRDefault="00620C19" w:rsidP="00620C19">
      <w:pPr>
        <w:pStyle w:val="Normln1"/>
        <w:numPr>
          <w:ilvl w:val="0"/>
          <w:numId w:val="5"/>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w:t>
      </w:r>
    </w:p>
    <w:p w14:paraId="119777D2" w14:textId="77777777" w:rsidR="00620C19" w:rsidRPr="00B361C9" w:rsidRDefault="00620C19" w:rsidP="00620C19">
      <w:pPr>
        <w:pStyle w:val="Normln1"/>
        <w:numPr>
          <w:ilvl w:val="1"/>
          <w:numId w:val="5"/>
        </w:numPr>
        <w:tabs>
          <w:tab w:val="clear" w:pos="360"/>
          <w:tab w:val="num" w:pos="1440"/>
        </w:tabs>
        <w:ind w:left="1440" w:hanging="360"/>
        <w:jc w:val="both"/>
        <w:rPr>
          <w:rFonts w:ascii="Calibri" w:hAnsi="Calibri"/>
          <w:color w:val="auto"/>
          <w:sz w:val="22"/>
          <w:szCs w:val="22"/>
        </w:rPr>
      </w:pPr>
      <w:r w:rsidRPr="00B361C9">
        <w:rPr>
          <w:rFonts w:ascii="Calibri" w:hAnsi="Calibri"/>
          <w:color w:val="auto"/>
          <w:sz w:val="22"/>
          <w:szCs w:val="22"/>
        </w:rPr>
        <w:t>je povinen při dodávce elektřiny ve zdroji do distribuční soustavy provozovatele DS dodávat v kvalitě a při splnění dalších podmínek v souladu s Pravidly provozování distribuční soustavy provozovatele DS,</w:t>
      </w:r>
    </w:p>
    <w:p w14:paraId="7ADC6A5C" w14:textId="77777777" w:rsidR="00620C19" w:rsidRPr="00B361C9" w:rsidRDefault="00620C19" w:rsidP="00620C19">
      <w:pPr>
        <w:pStyle w:val="Normln1"/>
        <w:numPr>
          <w:ilvl w:val="1"/>
          <w:numId w:val="5"/>
        </w:numPr>
        <w:tabs>
          <w:tab w:val="clear" w:pos="360"/>
          <w:tab w:val="num" w:pos="1440"/>
        </w:tabs>
        <w:ind w:left="1440" w:hanging="360"/>
        <w:jc w:val="both"/>
        <w:rPr>
          <w:rFonts w:ascii="Calibri" w:hAnsi="Calibri"/>
          <w:color w:val="auto"/>
          <w:sz w:val="22"/>
          <w:szCs w:val="22"/>
        </w:rPr>
      </w:pPr>
      <w:r w:rsidRPr="00B361C9">
        <w:rPr>
          <w:rFonts w:ascii="Calibri" w:hAnsi="Calibri"/>
          <w:color w:val="auto"/>
          <w:sz w:val="22"/>
          <w:szCs w:val="22"/>
        </w:rPr>
        <w:t>se s kupujícím dohodl, že mu poskytne přístup k jakémukoliv typu průběhového měření výrobny specifikované v čl. III. této smlouvy, je-li takovéto měření na výrobně instalováno,</w:t>
      </w:r>
    </w:p>
    <w:p w14:paraId="74E938AA" w14:textId="77777777" w:rsidR="00620C19" w:rsidRPr="00B361C9" w:rsidRDefault="00620C19" w:rsidP="00620C19">
      <w:pPr>
        <w:pStyle w:val="Normln1"/>
        <w:numPr>
          <w:ilvl w:val="1"/>
          <w:numId w:val="5"/>
        </w:numPr>
        <w:tabs>
          <w:tab w:val="clear" w:pos="360"/>
          <w:tab w:val="num" w:pos="1440"/>
        </w:tabs>
        <w:ind w:left="1440" w:hanging="360"/>
        <w:jc w:val="both"/>
        <w:rPr>
          <w:rFonts w:ascii="Calibri" w:hAnsi="Calibri"/>
          <w:color w:val="auto"/>
          <w:sz w:val="22"/>
          <w:szCs w:val="22"/>
        </w:rPr>
      </w:pPr>
      <w:r w:rsidRPr="00B361C9">
        <w:rPr>
          <w:rFonts w:ascii="Calibri" w:hAnsi="Calibri"/>
          <w:color w:val="auto"/>
          <w:sz w:val="22"/>
          <w:szCs w:val="22"/>
        </w:rPr>
        <w:t>je povinen umožnit kupujícímu přístup k obchodnímu měření a umožnit mu provedení kontrolních odečtů elektroměrů,</w:t>
      </w:r>
    </w:p>
    <w:p w14:paraId="322FCBAB" w14:textId="77777777" w:rsidR="00620C19" w:rsidRPr="00B361C9" w:rsidRDefault="00620C19" w:rsidP="00620C19">
      <w:pPr>
        <w:pStyle w:val="Normln1"/>
        <w:numPr>
          <w:ilvl w:val="1"/>
          <w:numId w:val="5"/>
        </w:numPr>
        <w:tabs>
          <w:tab w:val="clear" w:pos="360"/>
          <w:tab w:val="num" w:pos="1440"/>
        </w:tabs>
        <w:ind w:left="1440" w:hanging="360"/>
        <w:jc w:val="both"/>
        <w:rPr>
          <w:rFonts w:ascii="Calibri" w:hAnsi="Calibri"/>
          <w:color w:val="auto"/>
          <w:sz w:val="22"/>
          <w:szCs w:val="22"/>
        </w:rPr>
      </w:pPr>
      <w:r w:rsidRPr="00B361C9">
        <w:rPr>
          <w:rFonts w:ascii="Calibri" w:hAnsi="Calibri"/>
          <w:color w:val="auto"/>
          <w:sz w:val="22"/>
          <w:szCs w:val="22"/>
        </w:rPr>
        <w:lastRenderedPageBreak/>
        <w:t>je povinen umožnit kupujícímu instalaci zařízení umožňujících průběhové měření a dálkový přenos on-line dat o výrobě elektřiny ve výrobně specifikované v čl. III. této smlouvy; kupující použije takto získaná data výhradně pro vlastní účely obchodování a zúčtování odchylky.</w:t>
      </w:r>
    </w:p>
    <w:p w14:paraId="6EA526FA" w14:textId="77777777" w:rsidR="00620C19" w:rsidRPr="00B361C9" w:rsidRDefault="00620C19" w:rsidP="00620C19">
      <w:pPr>
        <w:pStyle w:val="Normln1"/>
        <w:numPr>
          <w:ilvl w:val="0"/>
          <w:numId w:val="5"/>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Výrobce v případě vzniku ostrovního provozu zdroje s částí distribuční soustavy provozovatele DS je zodpovědný za škody způsobené jak provozovateli DS, tak dalším subjektům připojeným na distribuční soustavu v ostrovním provozu, a to včetně škod dle zák. č. 59/1998 Sb.</w:t>
      </w:r>
    </w:p>
    <w:p w14:paraId="50D52614" w14:textId="77777777" w:rsidR="00620C19" w:rsidRPr="00B361C9" w:rsidRDefault="00620C19" w:rsidP="00620C19">
      <w:pPr>
        <w:pStyle w:val="Normln1"/>
        <w:numPr>
          <w:ilvl w:val="0"/>
          <w:numId w:val="5"/>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Smluvní strany se zavazují učinit takové právní úkony v příslušných termínech dle obecně závazných předpisů vedoucí k převodu odpovědnosti dodat elektřinu do elektrizační soustavy v předacích místech výrobce podle této smlouvy na kupujícího.</w:t>
      </w:r>
    </w:p>
    <w:p w14:paraId="1C229E6A" w14:textId="77777777" w:rsidR="00620C19" w:rsidRPr="00B361C9" w:rsidRDefault="00620C19" w:rsidP="00620C19">
      <w:pPr>
        <w:pStyle w:val="Normln1"/>
        <w:jc w:val="both"/>
        <w:rPr>
          <w:rFonts w:ascii="Calibri" w:hAnsi="Calibri"/>
          <w:color w:val="auto"/>
          <w:sz w:val="22"/>
          <w:szCs w:val="22"/>
        </w:rPr>
      </w:pPr>
    </w:p>
    <w:p w14:paraId="7724177B"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VIII.</w:t>
      </w:r>
    </w:p>
    <w:p w14:paraId="3EA5B4C2"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Doba trvání smlouvy</w:t>
      </w:r>
    </w:p>
    <w:p w14:paraId="76143FAE" w14:textId="77777777" w:rsidR="00620C19" w:rsidRPr="00B361C9" w:rsidRDefault="00620C19" w:rsidP="00620C19">
      <w:pPr>
        <w:pStyle w:val="Normln1"/>
        <w:jc w:val="center"/>
        <w:rPr>
          <w:rFonts w:ascii="Calibri" w:hAnsi="Calibri"/>
          <w:b/>
          <w:color w:val="auto"/>
          <w:sz w:val="22"/>
          <w:szCs w:val="22"/>
        </w:rPr>
      </w:pPr>
    </w:p>
    <w:p w14:paraId="01DBE1D0" w14:textId="063B00B1" w:rsidR="00620C19" w:rsidRPr="00B361C9" w:rsidRDefault="00620C19" w:rsidP="00620C19">
      <w:pPr>
        <w:pStyle w:val="Normln1"/>
        <w:numPr>
          <w:ilvl w:val="0"/>
          <w:numId w:val="6"/>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Tato smlouva nabývá platnosti dnem jejího podpisu oběma smluvními stranami a účinnosti dnem a obchodní </w:t>
      </w:r>
      <w:r w:rsidRPr="006F4E39">
        <w:rPr>
          <w:rFonts w:ascii="Calibri" w:hAnsi="Calibri"/>
          <w:color w:val="auto"/>
          <w:sz w:val="22"/>
          <w:szCs w:val="22"/>
        </w:rPr>
        <w:t xml:space="preserve">hodinou: </w:t>
      </w:r>
      <w:r w:rsidR="006F4E39" w:rsidRPr="006F4E39">
        <w:rPr>
          <w:rFonts w:ascii="Calibri" w:hAnsi="Calibri"/>
          <w:b/>
          <w:bCs/>
          <w:color w:val="auto"/>
          <w:sz w:val="22"/>
          <w:szCs w:val="22"/>
        </w:rPr>
        <w:t>dle registrace OTE</w:t>
      </w:r>
    </w:p>
    <w:p w14:paraId="6B7295BE" w14:textId="31305E1D" w:rsidR="00620C19" w:rsidRDefault="00620C19" w:rsidP="00620C19">
      <w:pPr>
        <w:pStyle w:val="Normln1"/>
        <w:numPr>
          <w:ilvl w:val="0"/>
          <w:numId w:val="6"/>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 xml:space="preserve">Smlouva se mezi smluvními stranami sjednává na dobu určitou </w:t>
      </w:r>
      <w:r w:rsidRPr="006F4E39">
        <w:rPr>
          <w:rFonts w:ascii="Calibri" w:hAnsi="Calibri"/>
          <w:b/>
          <w:bCs/>
          <w:color w:val="auto"/>
          <w:sz w:val="22"/>
          <w:szCs w:val="22"/>
        </w:rPr>
        <w:t xml:space="preserve">do </w:t>
      </w:r>
      <w:r w:rsidR="006F4E39" w:rsidRPr="006F4E39">
        <w:rPr>
          <w:rFonts w:ascii="Calibri" w:hAnsi="Calibri"/>
          <w:b/>
          <w:bCs/>
          <w:color w:val="auto"/>
          <w:sz w:val="22"/>
          <w:szCs w:val="22"/>
        </w:rPr>
        <w:t>31.12.2021</w:t>
      </w:r>
      <w:r w:rsidRPr="00B361C9">
        <w:rPr>
          <w:rFonts w:ascii="Calibri" w:hAnsi="Calibri"/>
          <w:color w:val="auto"/>
          <w:sz w:val="22"/>
          <w:szCs w:val="22"/>
        </w:rPr>
        <w:t xml:space="preserve"> ve 23:59</w:t>
      </w:r>
      <w:r>
        <w:rPr>
          <w:rFonts w:ascii="Calibri" w:hAnsi="Calibri"/>
          <w:color w:val="auto"/>
          <w:sz w:val="22"/>
          <w:szCs w:val="22"/>
        </w:rPr>
        <w:t xml:space="preserve"> </w:t>
      </w:r>
      <w:r w:rsidRPr="00B361C9">
        <w:rPr>
          <w:rFonts w:ascii="Calibri" w:hAnsi="Calibri"/>
          <w:color w:val="auto"/>
          <w:sz w:val="22"/>
          <w:szCs w:val="22"/>
        </w:rPr>
        <w:t>hod</w:t>
      </w:r>
      <w:r>
        <w:rPr>
          <w:rFonts w:ascii="Calibri" w:hAnsi="Calibri"/>
          <w:color w:val="auto"/>
          <w:sz w:val="22"/>
          <w:szCs w:val="22"/>
        </w:rPr>
        <w:t>.</w:t>
      </w:r>
    </w:p>
    <w:p w14:paraId="25E7882C" w14:textId="77777777" w:rsidR="00620C19" w:rsidRDefault="00620C19" w:rsidP="00620C19">
      <w:pPr>
        <w:pStyle w:val="Normln1"/>
        <w:numPr>
          <w:ilvl w:val="0"/>
          <w:numId w:val="6"/>
        </w:numPr>
        <w:tabs>
          <w:tab w:val="clear" w:pos="360"/>
          <w:tab w:val="num" w:pos="720"/>
        </w:tabs>
        <w:ind w:left="720" w:hanging="360"/>
        <w:jc w:val="both"/>
        <w:rPr>
          <w:rFonts w:ascii="Calibri" w:hAnsi="Calibri"/>
          <w:color w:val="auto"/>
          <w:sz w:val="22"/>
          <w:szCs w:val="22"/>
        </w:rPr>
      </w:pPr>
      <w:r w:rsidRPr="00784EC1">
        <w:rPr>
          <w:rFonts w:ascii="Calibri" w:hAnsi="Calibri"/>
          <w:color w:val="auto"/>
          <w:sz w:val="22"/>
          <w:szCs w:val="22"/>
        </w:rPr>
        <w:t>Účinnost této smlouvy se automaticky prodlužuje o jeden rok, a to i opakovaně, pokud nedojde k jejímu ukončení ze strany výrobce způsobem sjednaným v čl. IX odst. 1 této smlouvy.</w:t>
      </w:r>
    </w:p>
    <w:p w14:paraId="3E5FCAFD" w14:textId="77777777" w:rsidR="00620C19" w:rsidRPr="00784EC1" w:rsidRDefault="00620C19" w:rsidP="00620C19">
      <w:pPr>
        <w:pStyle w:val="Normln1"/>
        <w:numPr>
          <w:ilvl w:val="0"/>
          <w:numId w:val="6"/>
        </w:numPr>
        <w:tabs>
          <w:tab w:val="clear" w:pos="360"/>
          <w:tab w:val="num" w:pos="720"/>
        </w:tabs>
        <w:ind w:left="720" w:hanging="360"/>
        <w:jc w:val="both"/>
        <w:rPr>
          <w:rFonts w:ascii="Calibri" w:hAnsi="Calibri"/>
          <w:color w:val="auto"/>
          <w:sz w:val="22"/>
          <w:szCs w:val="22"/>
        </w:rPr>
      </w:pPr>
      <w:r w:rsidRPr="00784EC1">
        <w:rPr>
          <w:rFonts w:ascii="Calibri" w:hAnsi="Calibri"/>
          <w:color w:val="auto"/>
          <w:sz w:val="22"/>
          <w:szCs w:val="22"/>
        </w:rPr>
        <w:t>V případě automatického prodloužení platnosti smlouvy o jeden rok zůstávají zachována všechna práva a povinnosti ze smlouvy vyplývající, s výjimkou kupní ceny, došlo-li k její změně způsobem stanoveným touto smlouvou</w:t>
      </w:r>
    </w:p>
    <w:p w14:paraId="7BFB1EED" w14:textId="77777777" w:rsidR="00620C19" w:rsidRPr="00B361C9" w:rsidRDefault="00620C19" w:rsidP="00620C19">
      <w:pPr>
        <w:pStyle w:val="Normln1"/>
        <w:jc w:val="center"/>
        <w:rPr>
          <w:rFonts w:ascii="Calibri" w:hAnsi="Calibri"/>
          <w:color w:val="0E1F4B"/>
          <w:sz w:val="22"/>
        </w:rPr>
      </w:pPr>
    </w:p>
    <w:p w14:paraId="6BDE7430"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IX.</w:t>
      </w:r>
    </w:p>
    <w:p w14:paraId="501C4CA6"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Ukončení smlouvy</w:t>
      </w:r>
    </w:p>
    <w:p w14:paraId="68B555D8" w14:textId="77777777" w:rsidR="00620C19" w:rsidRDefault="00620C19" w:rsidP="00620C19">
      <w:pPr>
        <w:numPr>
          <w:ilvl w:val="0"/>
          <w:numId w:val="11"/>
        </w:numPr>
        <w:tabs>
          <w:tab w:val="clear" w:pos="360"/>
          <w:tab w:val="num" w:pos="720"/>
        </w:tabs>
        <w:spacing w:after="0" w:line="240" w:lineRule="auto"/>
        <w:ind w:left="714" w:hanging="357"/>
        <w:jc w:val="both"/>
        <w:rPr>
          <w:rFonts w:ascii="Calibri" w:eastAsia="ヒラギノ角ゴ Pro W3" w:hAnsi="Calibri" w:cs="Calibri"/>
          <w:lang w:eastAsia="cs-CZ"/>
        </w:rPr>
      </w:pPr>
      <w:r w:rsidRPr="00784EC1">
        <w:rPr>
          <w:rFonts w:ascii="Calibri" w:eastAsia="Calibri" w:hAnsi="Calibri" w:cs="Calibri"/>
        </w:rPr>
        <w:t>Výrobce může tuto smlouvu písemně vypovědět a výpověď doručit kupujícímu ve lhůtě jednoho měsíce od obdržení cenové nabídky na další kalendářní rok dle čl. IV. odst. 4. této smlouvy, jinak se považuje nabídka za výrobcem akceptovanou. Nezašle-li kupující výrobci cenovou nabídku na následující kalendářní rok dle čl. IV. odst. 4. této smlouvy, může výrobce smlouvu vypovědět do konce měsíce listopadu kalendářního roku, ve kterém měla být cenová nabídka zaslaná. Výpovědí výrobce vyloučí automatické prodloužení platnosti smlouvy o další rok. Výpověď podle předchozí věty nabývá účinnosti prvním dnem následujícího kalendářního roku po doručení výpovědi kupujícímu.</w:t>
      </w:r>
    </w:p>
    <w:p w14:paraId="0FAB1BA2" w14:textId="77777777" w:rsidR="00620C19" w:rsidRPr="00784EC1" w:rsidRDefault="00620C19" w:rsidP="00620C19">
      <w:pPr>
        <w:numPr>
          <w:ilvl w:val="0"/>
          <w:numId w:val="11"/>
        </w:numPr>
        <w:tabs>
          <w:tab w:val="clear" w:pos="360"/>
          <w:tab w:val="num" w:pos="720"/>
        </w:tabs>
        <w:spacing w:after="0" w:line="240" w:lineRule="auto"/>
        <w:ind w:left="714" w:hanging="357"/>
        <w:jc w:val="both"/>
        <w:rPr>
          <w:rFonts w:ascii="Calibri" w:eastAsia="ヒラギノ角ゴ Pro W3" w:hAnsi="Calibri" w:cs="Calibri"/>
          <w:lang w:eastAsia="cs-CZ"/>
        </w:rPr>
      </w:pPr>
      <w:r w:rsidRPr="00784EC1">
        <w:rPr>
          <w:rFonts w:ascii="Calibri" w:eastAsia="ヒラギノ角ゴ Pro W3" w:hAnsi="Calibri" w:cs="Calibri"/>
          <w:lang w:eastAsia="cs-CZ"/>
        </w:rPr>
        <w:t>Kupující má právo od této smlouvy odstoupit s účinností ke dni doručení písemného odstoupení od smlouvy druhé smluvní straně, nestanoví-li v odstoupení lhůtu pozdější, v případech podstatného porušení smlouvy výrobcem, tj. nastane-li kterákoliv ze skutečností dále uvedených:</w:t>
      </w:r>
    </w:p>
    <w:p w14:paraId="324FD95D"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a) dojde-li k odpojení zdroje od distribuční soustavy v důsledku zániku smlouvy o připojení zdroje k distribuční soustavě provozovatele DS uvedeného v této smlouvě,</w:t>
      </w:r>
    </w:p>
    <w:p w14:paraId="3C529183"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b) dojde-li k trvalému ukončení provozování zdroje,</w:t>
      </w:r>
    </w:p>
    <w:p w14:paraId="46A5286E"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c) zanikne-li výrobci nebo bude-li výrobci zrušena licence na výrobu elektřiny,</w:t>
      </w:r>
    </w:p>
    <w:p w14:paraId="490CD5A2"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 xml:space="preserve">d) ukáže-li se prohlášení výrobce uvedené v čl. I. odst. </w:t>
      </w:r>
      <w:r>
        <w:rPr>
          <w:rFonts w:ascii="Calibri" w:eastAsia="ヒラギノ角ゴ Pro W3" w:hAnsi="Calibri" w:cs="Calibri"/>
          <w:lang w:eastAsia="cs-CZ"/>
        </w:rPr>
        <w:t>1</w:t>
      </w:r>
      <w:r w:rsidRPr="00784EC1">
        <w:rPr>
          <w:rFonts w:ascii="Calibri" w:eastAsia="ヒラギノ角ゴ Pro W3" w:hAnsi="Calibri" w:cs="Calibri"/>
          <w:lang w:eastAsia="cs-CZ"/>
        </w:rPr>
        <w:t>. této smlouvy jako nepravdivé</w:t>
      </w:r>
    </w:p>
    <w:p w14:paraId="0C6C813F"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e) zvolí-li výrobce ve smyslu obecně závazných předpisů takový způsob podpory výroby elektřiny ve zdroji, který vylučuje souběžné trvání této smlouvy,</w:t>
      </w:r>
    </w:p>
    <w:p w14:paraId="39A6F5C0"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f) nesplní-li výrobce některou ze svých povinnosti podle čl. VII. odstavce 1 této smlouvy,</w:t>
      </w:r>
    </w:p>
    <w:p w14:paraId="552E9280"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 xml:space="preserve">g) nesplní-li výrobce povinnost informovat kupujícího podle článku II. odst. </w:t>
      </w:r>
      <w:r>
        <w:rPr>
          <w:rFonts w:ascii="Calibri" w:eastAsia="ヒラギノ角ゴ Pro W3" w:hAnsi="Calibri" w:cs="Calibri"/>
          <w:lang w:eastAsia="cs-CZ"/>
        </w:rPr>
        <w:t>7</w:t>
      </w:r>
      <w:r w:rsidRPr="00784EC1">
        <w:rPr>
          <w:rFonts w:ascii="Calibri" w:eastAsia="ヒラギノ角ゴ Pro W3" w:hAnsi="Calibri" w:cs="Calibri"/>
          <w:lang w:eastAsia="cs-CZ"/>
        </w:rPr>
        <w:t>. této smlouvy,</w:t>
      </w:r>
    </w:p>
    <w:p w14:paraId="76B72AD6"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lastRenderedPageBreak/>
        <w:t>h) zanikne-li kupujícímu pro předací místa uvedená v této smlouv</w:t>
      </w:r>
      <w:r>
        <w:rPr>
          <w:rFonts w:ascii="Calibri" w:eastAsia="ヒラギノ角ゴ Pro W3" w:hAnsi="Calibri" w:cs="Calibri"/>
          <w:lang w:eastAsia="cs-CZ"/>
        </w:rPr>
        <w:t>ě</w:t>
      </w:r>
      <w:r w:rsidRPr="00784EC1">
        <w:rPr>
          <w:rFonts w:ascii="Calibri" w:eastAsia="ヒラギノ角ゴ Pro W3" w:hAnsi="Calibri" w:cs="Calibri"/>
          <w:lang w:eastAsia="cs-CZ"/>
        </w:rPr>
        <w:t xml:space="preserve"> odpovědnost za odchylku,</w:t>
      </w:r>
    </w:p>
    <w:p w14:paraId="6BF35AFC" w14:textId="77777777" w:rsidR="00620C19" w:rsidRPr="00784EC1" w:rsidRDefault="00620C19" w:rsidP="00620C19">
      <w:pPr>
        <w:tabs>
          <w:tab w:val="num" w:pos="720"/>
        </w:tabs>
        <w:spacing w:after="0" w:line="240" w:lineRule="auto"/>
        <w:ind w:left="720"/>
        <w:jc w:val="both"/>
        <w:rPr>
          <w:rFonts w:ascii="Calibri" w:eastAsia="ヒラギノ角ゴ Pro W3" w:hAnsi="Calibri" w:cs="Calibri"/>
          <w:lang w:eastAsia="cs-CZ"/>
        </w:rPr>
      </w:pPr>
      <w:r w:rsidRPr="00784EC1">
        <w:rPr>
          <w:rFonts w:ascii="Calibri" w:eastAsia="ヒラギノ角ゴ Pro W3" w:hAnsi="Calibri" w:cs="Calibri"/>
          <w:lang w:eastAsia="cs-CZ"/>
        </w:rPr>
        <w:t>ch) nastanou-li na straně výrobce okolnosti vylučující odpovědnost, které mu brání v plnění povinností podle této smlouvy a trvají nepřetržitě déle než tři po sobě jdoucí měsíce.</w:t>
      </w:r>
    </w:p>
    <w:p w14:paraId="71F67080" w14:textId="77777777" w:rsidR="00620C19" w:rsidRPr="00B361C9" w:rsidRDefault="00620C19" w:rsidP="00620C19">
      <w:pPr>
        <w:pStyle w:val="Normln1"/>
        <w:jc w:val="both"/>
        <w:rPr>
          <w:rFonts w:ascii="Calibri" w:hAnsi="Calibri"/>
          <w:color w:val="4A5A60"/>
          <w:sz w:val="22"/>
        </w:rPr>
      </w:pPr>
    </w:p>
    <w:p w14:paraId="1646E18D"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X.</w:t>
      </w:r>
    </w:p>
    <w:p w14:paraId="3847AC39"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Postoupení práv a převod povinností</w:t>
      </w:r>
    </w:p>
    <w:p w14:paraId="30A6E3EB" w14:textId="77777777" w:rsidR="00620C19" w:rsidRPr="00B361C9" w:rsidRDefault="00620C19" w:rsidP="00620C19">
      <w:pPr>
        <w:pStyle w:val="Normln1"/>
        <w:numPr>
          <w:ilvl w:val="0"/>
          <w:numId w:val="9"/>
        </w:numPr>
        <w:jc w:val="both"/>
        <w:rPr>
          <w:rFonts w:ascii="Calibri" w:hAnsi="Calibri"/>
          <w:color w:val="auto"/>
          <w:sz w:val="22"/>
          <w:szCs w:val="22"/>
        </w:rPr>
      </w:pPr>
      <w:r w:rsidRPr="00B361C9">
        <w:rPr>
          <w:rFonts w:ascii="Calibri" w:hAnsi="Calibri"/>
          <w:color w:val="auto"/>
          <w:sz w:val="22"/>
          <w:szCs w:val="22"/>
        </w:rPr>
        <w:t>Žádná ze smluvních stran nesmí postoupit třetí straně kterékoliv ze svých práv nebo převést své povinnosti podle této smlouvy bez předchozího písemného souhlasu druhé smluvní strany.</w:t>
      </w:r>
    </w:p>
    <w:p w14:paraId="0D8286B7" w14:textId="77777777" w:rsidR="00620C19" w:rsidRPr="00B361C9" w:rsidRDefault="00620C19" w:rsidP="00620C19">
      <w:pPr>
        <w:pStyle w:val="Normln1"/>
        <w:jc w:val="both"/>
        <w:rPr>
          <w:rFonts w:ascii="Calibri" w:hAnsi="Calibri"/>
          <w:color w:val="4A5A60"/>
          <w:sz w:val="22"/>
        </w:rPr>
      </w:pPr>
    </w:p>
    <w:p w14:paraId="6376D3E0"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Článek XI.</w:t>
      </w:r>
    </w:p>
    <w:p w14:paraId="60AB1775" w14:textId="77777777" w:rsidR="00620C19" w:rsidRPr="00B361C9" w:rsidRDefault="00620C19" w:rsidP="00620C19">
      <w:pPr>
        <w:pStyle w:val="Normln1"/>
        <w:jc w:val="center"/>
        <w:rPr>
          <w:rFonts w:ascii="Calibri" w:hAnsi="Calibri"/>
          <w:b/>
          <w:color w:val="auto"/>
          <w:sz w:val="22"/>
          <w:szCs w:val="22"/>
        </w:rPr>
      </w:pPr>
      <w:r w:rsidRPr="00B361C9">
        <w:rPr>
          <w:rFonts w:ascii="Calibri" w:hAnsi="Calibri"/>
          <w:b/>
          <w:color w:val="auto"/>
          <w:sz w:val="22"/>
          <w:szCs w:val="22"/>
        </w:rPr>
        <w:t>Závěrečná ustanovení</w:t>
      </w:r>
    </w:p>
    <w:p w14:paraId="1EAFD09A"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Tato smlouva je smluvními stranami uzavírána s vědomím, že upravuje závazkové vztahy mezi podnikateli a týká se jejich podnikatelské činnosti.,</w:t>
      </w:r>
    </w:p>
    <w:p w14:paraId="59E26967"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Veškeré změny a doplňky této smlouvy smluvní strany provádí pouze písemně, vyjma způsobu změny ceny sjednanému v čl. IV. 2. této smlouvy. K návrhu změny smlouvy doručeného jednou smluvní stranou je druhá smluvní strana povinna se vyjádřit do 30 dnů od jeho doručení. Po dobu trvání lhůty podle předchozí věty je navrhující smluvní strana takovým návrhem změny smlouvy vázána.</w:t>
      </w:r>
    </w:p>
    <w:p w14:paraId="5DF27CDE"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Práva a povinnosti z této smlouvy přecházejí na případné právní nástupce obou smluvních stran.</w:t>
      </w:r>
    </w:p>
    <w:p w14:paraId="3AAD326E"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Smlouva stejně jako veškeré informace spojené s jejím sjednáváním a realizací jsou důvěrné dokumenty a nesmí být jako celek ani v částech poskytnuty třetím osobám bez předchozího souhlasu druhé strany. Toto ustanovení se nevztahuje na případy, kdy je předložení smlouvy vyžadováno na základě obecně závazného právního předpisu.</w:t>
      </w:r>
    </w:p>
    <w:p w14:paraId="21748160"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Smluvní strany prohlašují, že v případě, že se v budoucnu některé ustanovení této smlouvy stane neplatným, není tím dotčena platnost ostatních ustanovení smlouvy.</w:t>
      </w:r>
    </w:p>
    <w:p w14:paraId="0D940A6F"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Není-li ve smlouvě anebo obecně závaznými právními předpisy stanoveno jinak, použijí se na práva a povinnosti smluvních stran ustanovení § 409 a násl. zák. č. 513/1991 Sb., s tím, že výrobce je v postavení prodávajícího.</w:t>
      </w:r>
    </w:p>
    <w:p w14:paraId="0360ED8A"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Tato smlouva je vyhotovena ve dvou stejnopisech s platností originálu, z nichž každá smluvní strana obdrží po jedno</w:t>
      </w:r>
      <w:bookmarkStart w:id="0" w:name="_GoBack"/>
      <w:bookmarkEnd w:id="0"/>
      <w:r w:rsidRPr="00B361C9">
        <w:rPr>
          <w:rFonts w:ascii="Calibri" w:hAnsi="Calibri"/>
          <w:color w:val="auto"/>
          <w:sz w:val="22"/>
          <w:szCs w:val="22"/>
        </w:rPr>
        <w:t>m vyhotovení.</w:t>
      </w:r>
    </w:p>
    <w:p w14:paraId="388576DD" w14:textId="77777777" w:rsidR="00620C19" w:rsidRPr="00B361C9" w:rsidRDefault="00620C19" w:rsidP="00620C19">
      <w:pPr>
        <w:pStyle w:val="Normln1"/>
        <w:numPr>
          <w:ilvl w:val="0"/>
          <w:numId w:val="7"/>
        </w:numPr>
        <w:tabs>
          <w:tab w:val="clear" w:pos="360"/>
          <w:tab w:val="num" w:pos="720"/>
        </w:tabs>
        <w:ind w:left="720" w:hanging="360"/>
        <w:jc w:val="both"/>
        <w:rPr>
          <w:rFonts w:ascii="Calibri" w:hAnsi="Calibri"/>
          <w:color w:val="auto"/>
          <w:sz w:val="22"/>
          <w:szCs w:val="22"/>
        </w:rPr>
      </w:pPr>
      <w:r w:rsidRPr="00B361C9">
        <w:rPr>
          <w:rFonts w:ascii="Calibri" w:hAnsi="Calibri"/>
          <w:color w:val="auto"/>
          <w:sz w:val="22"/>
          <w:szCs w:val="22"/>
        </w:rPr>
        <w:t>Smluvní strany prohlašují, že tuto smlouvu uzavírají svobodně a vážně. Smluvní strany zároveň prohlašují, že se podrobně seznámily s obsahem této smlouvy, jejímu obsahu porozuměly a souhlasí s ním, a že si nejsou vědomy žádných překážek, nároků třetích osob ani jiných právních vad, které by bránili jejímu uzavření.</w:t>
      </w:r>
    </w:p>
    <w:p w14:paraId="732DCACF" w14:textId="77777777" w:rsidR="00620C19" w:rsidRPr="00B361C9" w:rsidRDefault="00620C19" w:rsidP="00620C19">
      <w:pPr>
        <w:pStyle w:val="Normln1"/>
        <w:ind w:left="360"/>
        <w:jc w:val="both"/>
        <w:rPr>
          <w:rFonts w:ascii="Calibri" w:hAnsi="Calibri"/>
          <w:color w:val="auto"/>
          <w:sz w:val="22"/>
          <w:szCs w:val="22"/>
        </w:rPr>
      </w:pPr>
    </w:p>
    <w:p w14:paraId="3ECA4ED3" w14:textId="4E761DDC" w:rsidR="00620C19" w:rsidRPr="00B361C9" w:rsidRDefault="00620C19" w:rsidP="00620C1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61C9">
        <w:rPr>
          <w:rFonts w:ascii="Calibri" w:hAnsi="Calibri"/>
          <w:color w:val="auto"/>
          <w:szCs w:val="22"/>
        </w:rPr>
        <w:t>V</w:t>
      </w:r>
      <w:r>
        <w:rPr>
          <w:rFonts w:ascii="Calibri" w:hAnsi="Calibri"/>
          <w:color w:val="auto"/>
          <w:szCs w:val="22"/>
        </w:rPr>
        <w:t xml:space="preserve"> Praze</w:t>
      </w:r>
      <w:r w:rsidRPr="00B361C9">
        <w:rPr>
          <w:rFonts w:ascii="Calibri" w:hAnsi="Calibri"/>
          <w:color w:val="auto"/>
          <w:szCs w:val="22"/>
        </w:rPr>
        <w:t xml:space="preserve"> dne</w:t>
      </w:r>
      <w:r>
        <w:rPr>
          <w:rFonts w:ascii="Calibri" w:hAnsi="Calibri"/>
          <w:color w:val="auto"/>
          <w:szCs w:val="22"/>
        </w:rPr>
        <w:t xml:space="preserve"> </w:t>
      </w:r>
      <w:r w:rsidRPr="00B361C9">
        <w:rPr>
          <w:rFonts w:ascii="Calibri" w:hAnsi="Calibri"/>
          <w:color w:val="auto"/>
          <w:szCs w:val="22"/>
        </w:rPr>
        <w:t>………………</w:t>
      </w:r>
      <w:r w:rsidRPr="00B361C9">
        <w:rPr>
          <w:rFonts w:ascii="Calibri" w:hAnsi="Calibri"/>
          <w:color w:val="auto"/>
          <w:szCs w:val="22"/>
        </w:rPr>
        <w:tab/>
      </w:r>
      <w:r w:rsidRPr="00B361C9">
        <w:rPr>
          <w:rFonts w:ascii="Calibri" w:hAnsi="Calibri"/>
          <w:color w:val="auto"/>
          <w:szCs w:val="22"/>
        </w:rPr>
        <w:tab/>
        <w:t xml:space="preserve">                    </w:t>
      </w:r>
      <w:r>
        <w:rPr>
          <w:rFonts w:ascii="Calibri" w:hAnsi="Calibri"/>
          <w:color w:val="auto"/>
          <w:szCs w:val="22"/>
        </w:rPr>
        <w:tab/>
      </w:r>
      <w:r w:rsidRPr="00B361C9">
        <w:rPr>
          <w:rFonts w:ascii="Calibri" w:hAnsi="Calibri"/>
          <w:color w:val="auto"/>
          <w:szCs w:val="22"/>
        </w:rPr>
        <w:t>V</w:t>
      </w:r>
      <w:r>
        <w:rPr>
          <w:rFonts w:ascii="Calibri" w:hAnsi="Calibri"/>
          <w:color w:val="auto"/>
          <w:szCs w:val="22"/>
        </w:rPr>
        <w:t xml:space="preserve"> </w:t>
      </w:r>
      <w:r w:rsidRPr="00B361C9">
        <w:rPr>
          <w:rFonts w:ascii="Calibri" w:hAnsi="Calibri"/>
          <w:color w:val="auto"/>
          <w:szCs w:val="22"/>
        </w:rPr>
        <w:t>……</w:t>
      </w:r>
      <w:r w:rsidR="004D2D6F">
        <w:rPr>
          <w:rFonts w:ascii="Calibri" w:hAnsi="Calibri"/>
          <w:color w:val="auto"/>
          <w:szCs w:val="22"/>
        </w:rPr>
        <w:t>…………</w:t>
      </w:r>
      <w:r w:rsidRPr="00B361C9">
        <w:rPr>
          <w:rFonts w:ascii="Calibri" w:hAnsi="Calibri"/>
          <w:color w:val="auto"/>
          <w:szCs w:val="22"/>
        </w:rPr>
        <w:t>………</w:t>
      </w:r>
      <w:r>
        <w:rPr>
          <w:rFonts w:ascii="Calibri" w:hAnsi="Calibri"/>
          <w:color w:val="auto"/>
          <w:szCs w:val="22"/>
        </w:rPr>
        <w:t xml:space="preserve">  </w:t>
      </w:r>
      <w:r w:rsidRPr="00B361C9">
        <w:rPr>
          <w:rFonts w:ascii="Calibri" w:hAnsi="Calibri"/>
          <w:color w:val="auto"/>
          <w:szCs w:val="22"/>
        </w:rPr>
        <w:t>dne</w:t>
      </w:r>
      <w:r>
        <w:rPr>
          <w:rFonts w:ascii="Calibri" w:hAnsi="Calibri"/>
          <w:color w:val="auto"/>
          <w:szCs w:val="22"/>
        </w:rPr>
        <w:t xml:space="preserve"> </w:t>
      </w:r>
      <w:r w:rsidRPr="00B361C9">
        <w:rPr>
          <w:rFonts w:ascii="Calibri" w:hAnsi="Calibri"/>
          <w:color w:val="auto"/>
          <w:szCs w:val="22"/>
        </w:rPr>
        <w:t>……………</w:t>
      </w:r>
      <w:proofErr w:type="gramStart"/>
      <w:r w:rsidRPr="00B361C9">
        <w:rPr>
          <w:rFonts w:ascii="Calibri" w:hAnsi="Calibri"/>
          <w:color w:val="auto"/>
          <w:szCs w:val="22"/>
        </w:rPr>
        <w:t>…….</w:t>
      </w:r>
      <w:proofErr w:type="gramEnd"/>
      <w:r w:rsidRPr="00B361C9">
        <w:rPr>
          <w:rFonts w:ascii="Calibri" w:hAnsi="Calibri"/>
          <w:color w:val="auto"/>
          <w:szCs w:val="22"/>
        </w:rPr>
        <w:t>.</w:t>
      </w:r>
    </w:p>
    <w:p w14:paraId="723ED695" w14:textId="77777777" w:rsidR="00620C19" w:rsidRPr="00B361C9" w:rsidRDefault="00620C19" w:rsidP="00620C1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6FBAFB7A" w14:textId="77777777" w:rsidR="00620C19" w:rsidRPr="00B361C9" w:rsidRDefault="00620C19" w:rsidP="00620C1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734E6024" w14:textId="77777777" w:rsidR="00620C19" w:rsidRDefault="00620C19" w:rsidP="00620C1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20CB49C7" w14:textId="77777777" w:rsidR="00620C19" w:rsidRPr="00B361C9" w:rsidRDefault="00620C19" w:rsidP="00620C1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61C9">
        <w:rPr>
          <w:rFonts w:ascii="Calibri" w:hAnsi="Calibri"/>
          <w:color w:val="auto"/>
          <w:szCs w:val="22"/>
        </w:rPr>
        <w:t>..............................................</w:t>
      </w:r>
      <w:r w:rsidRPr="00B361C9">
        <w:rPr>
          <w:rFonts w:ascii="Calibri" w:hAnsi="Calibri"/>
          <w:color w:val="auto"/>
          <w:szCs w:val="22"/>
        </w:rPr>
        <w:tab/>
      </w:r>
      <w:r w:rsidRPr="00B361C9">
        <w:rPr>
          <w:rFonts w:ascii="Calibri" w:hAnsi="Calibri"/>
          <w:color w:val="auto"/>
          <w:szCs w:val="22"/>
        </w:rPr>
        <w:tab/>
      </w:r>
      <w:r w:rsidRPr="00B361C9">
        <w:rPr>
          <w:rFonts w:ascii="Calibri" w:hAnsi="Calibri"/>
          <w:color w:val="auto"/>
          <w:szCs w:val="22"/>
        </w:rPr>
        <w:tab/>
        <w:t>...................................................</w:t>
      </w:r>
    </w:p>
    <w:p w14:paraId="0BA26F71" w14:textId="6F0CC079" w:rsidR="000D304D" w:rsidRDefault="00620C19"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eastAsia="ヒラギノ角ゴ Pro W3" w:hAnsi="Calibri" w:cs="Times New Roman"/>
          <w:lang w:eastAsia="cs-CZ"/>
        </w:rPr>
      </w:pPr>
      <w:r w:rsidRPr="00B361C9">
        <w:rPr>
          <w:rFonts w:ascii="Calibri" w:eastAsia="ヒラギノ角ゴ Pro W3" w:hAnsi="Calibri" w:cs="Times New Roman"/>
          <w:lang w:eastAsia="cs-CZ"/>
        </w:rPr>
        <w:tab/>
      </w:r>
      <w:r w:rsidRPr="00B361C9">
        <w:rPr>
          <w:rFonts w:ascii="Calibri" w:eastAsia="ヒラギノ角ゴ Pro W3" w:hAnsi="Calibri" w:cs="Times New Roman"/>
          <w:lang w:eastAsia="cs-CZ"/>
        </w:rPr>
        <w:tab/>
        <w:t xml:space="preserve">     kupující</w:t>
      </w:r>
      <w:r w:rsidRPr="00B361C9">
        <w:rPr>
          <w:rFonts w:ascii="Calibri" w:eastAsia="ヒラギノ角ゴ Pro W3" w:hAnsi="Calibri" w:cs="Times New Roman"/>
          <w:lang w:eastAsia="cs-CZ"/>
        </w:rPr>
        <w:tab/>
      </w:r>
      <w:r w:rsidRPr="00B361C9">
        <w:rPr>
          <w:rFonts w:ascii="Calibri" w:eastAsia="ヒラギノ角ゴ Pro W3" w:hAnsi="Calibri" w:cs="Times New Roman"/>
          <w:lang w:eastAsia="cs-CZ"/>
        </w:rPr>
        <w:tab/>
      </w:r>
      <w:r w:rsidRPr="00B361C9">
        <w:rPr>
          <w:rFonts w:ascii="Calibri" w:eastAsia="ヒラギノ角ゴ Pro W3" w:hAnsi="Calibri" w:cs="Times New Roman"/>
          <w:lang w:eastAsia="cs-CZ"/>
        </w:rPr>
        <w:tab/>
      </w:r>
      <w:r w:rsidRPr="00B361C9">
        <w:rPr>
          <w:rFonts w:ascii="Calibri" w:eastAsia="ヒラギノ角ゴ Pro W3" w:hAnsi="Calibri" w:cs="Times New Roman"/>
          <w:lang w:eastAsia="cs-CZ"/>
        </w:rPr>
        <w:tab/>
      </w:r>
      <w:r>
        <w:rPr>
          <w:rFonts w:ascii="Calibri" w:eastAsia="ヒラギノ角ゴ Pro W3" w:hAnsi="Calibri" w:cs="Times New Roman"/>
          <w:lang w:eastAsia="cs-CZ"/>
        </w:rPr>
        <w:tab/>
      </w:r>
      <w:r w:rsidR="00021091">
        <w:rPr>
          <w:rFonts w:ascii="Calibri" w:eastAsia="ヒラギノ角ゴ Pro W3" w:hAnsi="Calibri" w:cs="Times New Roman"/>
          <w:lang w:eastAsia="cs-CZ"/>
        </w:rPr>
        <w:t xml:space="preserve"> </w:t>
      </w:r>
      <w:r>
        <w:rPr>
          <w:rFonts w:ascii="Calibri" w:eastAsia="ヒラギノ角ゴ Pro W3" w:hAnsi="Calibri" w:cs="Times New Roman"/>
          <w:lang w:eastAsia="cs-CZ"/>
        </w:rPr>
        <w:t xml:space="preserve">     </w:t>
      </w:r>
      <w:r w:rsidRPr="00B361C9">
        <w:rPr>
          <w:rFonts w:ascii="Calibri" w:eastAsia="ヒラギノ角ゴ Pro W3" w:hAnsi="Calibri" w:cs="Times New Roman"/>
          <w:lang w:eastAsia="cs-CZ"/>
        </w:rPr>
        <w:t>výrobce</w:t>
      </w:r>
    </w:p>
    <w:p w14:paraId="2BB7B754" w14:textId="5740DF89" w:rsidR="00021091" w:rsidRDefault="00021091"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hAnsi="Calibri"/>
          <w:b/>
        </w:rPr>
      </w:pPr>
      <w:r>
        <w:rPr>
          <w:rFonts w:ascii="Calibri" w:hAnsi="Calibri"/>
          <w:b/>
        </w:rPr>
        <w:t xml:space="preserve">                         </w:t>
      </w:r>
      <w:r w:rsidRPr="005950D5">
        <w:rPr>
          <w:rFonts w:ascii="Calibri" w:hAnsi="Calibri"/>
          <w:b/>
        </w:rPr>
        <w:t>Amper Market, a.s.</w:t>
      </w:r>
      <w:r>
        <w:rPr>
          <w:rFonts w:ascii="Calibri" w:hAnsi="Calibri"/>
          <w:b/>
        </w:rPr>
        <w:t xml:space="preserve">                                                     </w:t>
      </w:r>
      <w:r w:rsidRPr="00021091">
        <w:rPr>
          <w:rFonts w:ascii="Calibri" w:hAnsi="Calibri"/>
          <w:b/>
        </w:rPr>
        <w:t>KV Arena, s.r.o.</w:t>
      </w:r>
    </w:p>
    <w:p w14:paraId="465962F6" w14:textId="6ECC7517" w:rsidR="00021091" w:rsidRPr="00021091" w:rsidRDefault="00021091" w:rsidP="00620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Calibri" w:hAnsi="Calibri" w:cs="Arial"/>
          <w:bCs/>
        </w:rPr>
      </w:pPr>
      <w:r>
        <w:rPr>
          <w:rFonts w:ascii="Calibri" w:hAnsi="Calibri"/>
          <w:bCs/>
        </w:rPr>
        <w:t xml:space="preserve">                                                                                                             </w:t>
      </w:r>
      <w:r w:rsidRPr="00021091">
        <w:rPr>
          <w:rFonts w:ascii="Calibri" w:hAnsi="Calibri"/>
          <w:bCs/>
        </w:rPr>
        <w:t xml:space="preserve">Ing. Roman </w:t>
      </w:r>
      <w:proofErr w:type="spellStart"/>
      <w:r w:rsidRPr="00021091">
        <w:rPr>
          <w:rFonts w:ascii="Calibri" w:hAnsi="Calibri"/>
          <w:bCs/>
        </w:rPr>
        <w:t>Rokůsek</w:t>
      </w:r>
      <w:proofErr w:type="spellEnd"/>
    </w:p>
    <w:sectPr w:rsidR="00021091" w:rsidRPr="00021091" w:rsidSect="003A31E0">
      <w:headerReference w:type="default" r:id="rId9"/>
      <w:headerReference w:type="first" r:id="rId10"/>
      <w:pgSz w:w="11906" w:h="16838"/>
      <w:pgMar w:top="1843" w:right="1417"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3058" w14:textId="77777777" w:rsidR="00185FEB" w:rsidRDefault="00185FEB" w:rsidP="003A31E0">
      <w:pPr>
        <w:spacing w:after="0" w:line="240" w:lineRule="auto"/>
      </w:pPr>
      <w:r>
        <w:separator/>
      </w:r>
    </w:p>
  </w:endnote>
  <w:endnote w:type="continuationSeparator" w:id="0">
    <w:p w14:paraId="66166144" w14:textId="77777777" w:rsidR="00185FEB" w:rsidRDefault="00185FEB" w:rsidP="003A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ヒラギノ角ゴ Pro W3">
    <w:altName w:val="Calibri"/>
    <w:charset w:val="80"/>
    <w:family w:val="swiss"/>
    <w:pitch w:val="variable"/>
    <w:sig w:usb0="E00002FF" w:usb1="7AC7FFFF" w:usb2="00000012" w:usb3="00000000" w:csb0="0002000D"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C3BC1" w14:textId="77777777" w:rsidR="00185FEB" w:rsidRDefault="00185FEB" w:rsidP="003A31E0">
      <w:pPr>
        <w:spacing w:after="0" w:line="240" w:lineRule="auto"/>
      </w:pPr>
      <w:r>
        <w:separator/>
      </w:r>
    </w:p>
  </w:footnote>
  <w:footnote w:type="continuationSeparator" w:id="0">
    <w:p w14:paraId="5AE2E4B8" w14:textId="77777777" w:rsidR="00185FEB" w:rsidRDefault="00185FEB" w:rsidP="003A3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6816" w14:textId="77777777" w:rsidR="003A31E0" w:rsidRDefault="003A31E0">
    <w:pPr>
      <w:pStyle w:val="Zhlav"/>
    </w:pPr>
    <w:r>
      <w:rPr>
        <w:noProof/>
        <w:lang w:val="en-US"/>
      </w:rPr>
      <w:drawing>
        <wp:anchor distT="0" distB="0" distL="114300" distR="114300" simplePos="0" relativeHeight="251658240" behindDoc="1" locked="0" layoutInCell="1" allowOverlap="1" wp14:anchorId="60EDFFB9" wp14:editId="25785239">
          <wp:simplePos x="895350" y="447675"/>
          <wp:positionH relativeFrom="page">
            <wp:align>center</wp:align>
          </wp:positionH>
          <wp:positionV relativeFrom="page">
            <wp:align>top</wp:align>
          </wp:positionV>
          <wp:extent cx="7560000" cy="10696225"/>
          <wp:effectExtent l="0" t="0" r="317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lavicek\Desktop\AM_dopisni_papir.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6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3B9D" w14:textId="77777777" w:rsidR="003A31E0" w:rsidRDefault="003A31E0">
    <w:pPr>
      <w:pStyle w:val="Zhlav"/>
    </w:pPr>
    <w:r>
      <w:rPr>
        <w:noProof/>
        <w:lang w:val="en-US"/>
      </w:rPr>
      <w:drawing>
        <wp:anchor distT="0" distB="0" distL="114300" distR="114300" simplePos="0" relativeHeight="251659264" behindDoc="1" locked="0" layoutInCell="1" allowOverlap="1" wp14:anchorId="13F70B68" wp14:editId="077D5F30">
          <wp:simplePos x="1171575" y="447675"/>
          <wp:positionH relativeFrom="page">
            <wp:align>center</wp:align>
          </wp:positionH>
          <wp:positionV relativeFrom="page">
            <wp:align>top</wp:align>
          </wp:positionV>
          <wp:extent cx="7560000" cy="10695600"/>
          <wp:effectExtent l="0" t="0" r="3175" b="0"/>
          <wp:wrapNone/>
          <wp:docPr id="18" name="Obrázek 18" descr="C:\Users\jslavicek\Desktop\AM_dopisni_papi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lavicek\Desktop\AM_dopisni_papi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7" w15:restartNumberingAfterBreak="0">
    <w:nsid w:val="3E0C04A3"/>
    <w:multiLevelType w:val="hybridMultilevel"/>
    <w:tmpl w:val="A3DCACE0"/>
    <w:lvl w:ilvl="0" w:tplc="5A2003E4">
      <w:start w:val="3"/>
      <w:numFmt w:val="bullet"/>
      <w:lvlText w:val="-"/>
      <w:lvlJc w:val="left"/>
      <w:pPr>
        <w:ind w:left="1080" w:hanging="360"/>
      </w:pPr>
      <w:rPr>
        <w:rFonts w:ascii="Calibri" w:eastAsia="ヒラギノ角ゴ Pro W3"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443CB6"/>
    <w:multiLevelType w:val="multilevel"/>
    <w:tmpl w:val="894EE878"/>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9" w15:restartNumberingAfterBreak="0">
    <w:nsid w:val="5AF53603"/>
    <w:multiLevelType w:val="hybridMultilevel"/>
    <w:tmpl w:val="58D6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D2BB8"/>
    <w:multiLevelType w:val="hybridMultilevel"/>
    <w:tmpl w:val="58D6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E0"/>
    <w:rsid w:val="00021091"/>
    <w:rsid w:val="0002588F"/>
    <w:rsid w:val="000D304D"/>
    <w:rsid w:val="000E0437"/>
    <w:rsid w:val="0012103B"/>
    <w:rsid w:val="00147435"/>
    <w:rsid w:val="00185FEB"/>
    <w:rsid w:val="002026FA"/>
    <w:rsid w:val="0026284F"/>
    <w:rsid w:val="002B303D"/>
    <w:rsid w:val="00370525"/>
    <w:rsid w:val="0037181C"/>
    <w:rsid w:val="003A31E0"/>
    <w:rsid w:val="00477AA5"/>
    <w:rsid w:val="004D2D6F"/>
    <w:rsid w:val="005440FB"/>
    <w:rsid w:val="00574EF0"/>
    <w:rsid w:val="005C14C8"/>
    <w:rsid w:val="005D441A"/>
    <w:rsid w:val="00620C19"/>
    <w:rsid w:val="006B6BBE"/>
    <w:rsid w:val="006F4E39"/>
    <w:rsid w:val="007803FA"/>
    <w:rsid w:val="00863A8D"/>
    <w:rsid w:val="008A1977"/>
    <w:rsid w:val="009257F5"/>
    <w:rsid w:val="009776EE"/>
    <w:rsid w:val="009B7658"/>
    <w:rsid w:val="009C7D1A"/>
    <w:rsid w:val="00A551E7"/>
    <w:rsid w:val="00A7084B"/>
    <w:rsid w:val="00AB585F"/>
    <w:rsid w:val="00C55D74"/>
    <w:rsid w:val="00C7343F"/>
    <w:rsid w:val="00CF503B"/>
    <w:rsid w:val="00D34972"/>
    <w:rsid w:val="00DD53F1"/>
    <w:rsid w:val="00EA1C0A"/>
    <w:rsid w:val="00EC32F3"/>
    <w:rsid w:val="00ED59DA"/>
    <w:rsid w:val="00EF00CD"/>
    <w:rsid w:val="00F00339"/>
    <w:rsid w:val="00F354D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3295D"/>
  <w15:docId w15:val="{2D14A8F9-13FE-E941-A3F1-22A37EE9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31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1E0"/>
  </w:style>
  <w:style w:type="paragraph" w:styleId="Zpat">
    <w:name w:val="footer"/>
    <w:basedOn w:val="Normln"/>
    <w:link w:val="ZpatChar"/>
    <w:uiPriority w:val="99"/>
    <w:unhideWhenUsed/>
    <w:rsid w:val="003A31E0"/>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1E0"/>
  </w:style>
  <w:style w:type="character" w:styleId="Hypertextovodkaz">
    <w:name w:val="Hyperlink"/>
    <w:basedOn w:val="Standardnpsmoodstavce"/>
    <w:uiPriority w:val="99"/>
    <w:unhideWhenUsed/>
    <w:rsid w:val="005D441A"/>
    <w:rPr>
      <w:color w:val="005FAB" w:themeColor="hyperlink"/>
      <w:u w:val="single"/>
    </w:rPr>
  </w:style>
  <w:style w:type="paragraph" w:customStyle="1" w:styleId="Standard">
    <w:name w:val="Standard"/>
    <w:rsid w:val="005D441A"/>
    <w:pPr>
      <w:widowControl w:val="0"/>
      <w:suppressAutoHyphens/>
      <w:autoSpaceDN w:val="0"/>
      <w:spacing w:after="0" w:line="200" w:lineRule="exact"/>
      <w:textAlignment w:val="baseline"/>
    </w:pPr>
    <w:rPr>
      <w:rFonts w:ascii="Arial" w:eastAsia="Lucida Sans Unicode" w:hAnsi="Arial" w:cs="Tahoma"/>
      <w:kern w:val="3"/>
      <w:sz w:val="20"/>
      <w:szCs w:val="24"/>
      <w:lang w:eastAsia="cs-CZ"/>
    </w:rPr>
  </w:style>
  <w:style w:type="paragraph" w:customStyle="1" w:styleId="Normln1">
    <w:name w:val="Normální1"/>
    <w:uiPriority w:val="99"/>
    <w:rsid w:val="00620C19"/>
    <w:pPr>
      <w:spacing w:after="0" w:line="240" w:lineRule="auto"/>
    </w:pPr>
    <w:rPr>
      <w:rFonts w:ascii="Arial" w:eastAsia="ヒラギノ角ゴ Pro W3" w:hAnsi="Arial" w:cs="Times New Roman"/>
      <w:color w:val="000000"/>
      <w:sz w:val="24"/>
      <w:szCs w:val="20"/>
      <w:lang w:eastAsia="cs-CZ"/>
    </w:rPr>
  </w:style>
  <w:style w:type="paragraph" w:customStyle="1" w:styleId="TableNormalParagraph">
    <w:name w:val="Table Normal Paragraph"/>
    <w:rsid w:val="00620C19"/>
    <w:pPr>
      <w:spacing w:after="0" w:line="240" w:lineRule="auto"/>
    </w:pPr>
    <w:rPr>
      <w:rFonts w:ascii="Times New Roman" w:eastAsia="ヒラギノ角ゴ Pro W3" w:hAnsi="Times New Roman" w:cs="Times New Roman"/>
      <w:color w:val="000000"/>
      <w:sz w:val="20"/>
      <w:szCs w:val="20"/>
      <w:lang w:eastAsia="cs-CZ"/>
    </w:rPr>
  </w:style>
  <w:style w:type="paragraph" w:customStyle="1" w:styleId="ListParagraph1">
    <w:name w:val="List Paragraph1"/>
    <w:rsid w:val="00620C19"/>
    <w:pPr>
      <w:spacing w:after="200" w:line="276" w:lineRule="auto"/>
      <w:ind w:left="720"/>
    </w:pPr>
    <w:rPr>
      <w:rFonts w:ascii="Times New Roman" w:eastAsia="ヒラギノ角ゴ Pro W3" w:hAnsi="Times New Roman" w:cs="Times New Roman"/>
      <w:color w:val="000000"/>
      <w:szCs w:val="20"/>
      <w:lang w:eastAsia="cs-CZ"/>
    </w:rPr>
  </w:style>
  <w:style w:type="character" w:styleId="Odkaznakoment">
    <w:name w:val="annotation reference"/>
    <w:basedOn w:val="Standardnpsmoodstavce"/>
    <w:uiPriority w:val="99"/>
    <w:semiHidden/>
    <w:unhideWhenUsed/>
    <w:rsid w:val="00620C19"/>
    <w:rPr>
      <w:sz w:val="16"/>
      <w:szCs w:val="16"/>
    </w:rPr>
  </w:style>
  <w:style w:type="paragraph" w:styleId="Textkomente">
    <w:name w:val="annotation text"/>
    <w:basedOn w:val="Normln"/>
    <w:link w:val="TextkomenteChar"/>
    <w:uiPriority w:val="99"/>
    <w:semiHidden/>
    <w:unhideWhenUsed/>
    <w:rsid w:val="00620C19"/>
    <w:pPr>
      <w:spacing w:line="240" w:lineRule="auto"/>
    </w:pPr>
    <w:rPr>
      <w:sz w:val="20"/>
      <w:szCs w:val="20"/>
    </w:rPr>
  </w:style>
  <w:style w:type="character" w:customStyle="1" w:styleId="TextkomenteChar">
    <w:name w:val="Text komentáře Char"/>
    <w:basedOn w:val="Standardnpsmoodstavce"/>
    <w:link w:val="Textkomente"/>
    <w:uiPriority w:val="99"/>
    <w:semiHidden/>
    <w:rsid w:val="00620C19"/>
    <w:rPr>
      <w:sz w:val="20"/>
      <w:szCs w:val="20"/>
    </w:rPr>
  </w:style>
  <w:style w:type="paragraph" w:styleId="Textbubliny">
    <w:name w:val="Balloon Text"/>
    <w:basedOn w:val="Normln"/>
    <w:link w:val="TextbublinyChar"/>
    <w:uiPriority w:val="99"/>
    <w:semiHidden/>
    <w:unhideWhenUsed/>
    <w:rsid w:val="00620C1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620C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e-cr.cz/cs/kratkodobe-trhy/elektrina/denni-trh" TargetMode="External"/><Relationship Id="rId3" Type="http://schemas.openxmlformats.org/officeDocument/2006/relationships/settings" Target="settings.xml"/><Relationship Id="rId7" Type="http://schemas.openxmlformats.org/officeDocument/2006/relationships/hyperlink" Target="mailto:koldinsky@kvare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mper Market">
      <a:dk1>
        <a:srgbClr val="F9B233"/>
      </a:dk1>
      <a:lt1>
        <a:srgbClr val="005FAB"/>
      </a:lt1>
      <a:dk2>
        <a:srgbClr val="3C3C3B"/>
      </a:dk2>
      <a:lt2>
        <a:srgbClr val="FFFFFF"/>
      </a:lt2>
      <a:accent1>
        <a:srgbClr val="0DB7ED"/>
      </a:accent1>
      <a:accent2>
        <a:srgbClr val="C74782"/>
      </a:accent2>
      <a:accent3>
        <a:srgbClr val="604696"/>
      </a:accent3>
      <a:accent4>
        <a:srgbClr val="96C11F"/>
      </a:accent4>
      <a:accent5>
        <a:srgbClr val="D74A31"/>
      </a:accent5>
      <a:accent6>
        <a:srgbClr val="9D9D9C"/>
      </a:accent6>
      <a:hlink>
        <a:srgbClr val="005FAB"/>
      </a:hlink>
      <a:folHlink>
        <a:srgbClr val="F9B233"/>
      </a:folHlink>
    </a:clrScheme>
    <a:fontScheme name="Amper Mark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2645</Words>
  <Characters>15609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Slavíček</dc:creator>
  <cp:lastModifiedBy>Milan Soukup</cp:lastModifiedBy>
  <cp:revision>13</cp:revision>
  <dcterms:created xsi:type="dcterms:W3CDTF">2021-02-05T06:27:00Z</dcterms:created>
  <dcterms:modified xsi:type="dcterms:W3CDTF">2021-02-05T12:23:00Z</dcterms:modified>
</cp:coreProperties>
</file>