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0F" w:rsidRDefault="00282D1C" w:rsidP="003A6C0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12</w:t>
      </w:r>
    </w:p>
    <w:p w:rsidR="0007340E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 nájmu prostor slo</w:t>
      </w:r>
      <w:r w:rsidR="0007340E">
        <w:rPr>
          <w:snapToGrid w:val="0"/>
          <w:sz w:val="24"/>
          <w:szCs w:val="24"/>
        </w:rPr>
        <w:t>užících k podnikání č. 963/2006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uzavřené 21.12.2006 mezi smluvními stranami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</w:p>
    <w:p w:rsidR="00474668" w:rsidRPr="008E4B37" w:rsidRDefault="00474668" w:rsidP="003A6C0F">
      <w:pPr>
        <w:jc w:val="center"/>
        <w:rPr>
          <w:snapToGrid w:val="0"/>
          <w:sz w:val="24"/>
          <w:szCs w:val="24"/>
        </w:rPr>
      </w:pPr>
    </w:p>
    <w:p w:rsidR="003A6C0F" w:rsidRDefault="003A6C0F" w:rsidP="003A6C0F">
      <w:pPr>
        <w:rPr>
          <w:b/>
          <w:sz w:val="24"/>
        </w:rPr>
      </w:pPr>
    </w:p>
    <w:p w:rsidR="003A6C0F" w:rsidRDefault="003A6C0F" w:rsidP="003A6C0F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3A6C0F" w:rsidRDefault="0007340E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4123AF">
        <w:rPr>
          <w:sz w:val="24"/>
        </w:rPr>
        <w:t>Statutární orgán:</w:t>
      </w:r>
      <w:r>
        <w:rPr>
          <w:sz w:val="24"/>
        </w:rPr>
        <w:t xml:space="preserve">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ve věcech smluvních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 Chomutov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ind w:left="1470"/>
        <w:rPr>
          <w:sz w:val="24"/>
        </w:rPr>
      </w:pPr>
      <w:r>
        <w:rPr>
          <w:sz w:val="24"/>
        </w:rPr>
        <w:t>Povodí Ohře, státní podnik je zapsán v obchodním rejstříku u Krajského soudu   v Ústí nad Labem v oddílu A, vložka č. 13052</w:t>
      </w:r>
    </w:p>
    <w:p w:rsidR="003A6C0F" w:rsidRDefault="003A6C0F" w:rsidP="003A6C0F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3A6C0F" w:rsidRDefault="00474668" w:rsidP="003A6C0F">
      <w:pPr>
        <w:rPr>
          <w:b/>
          <w:sz w:val="22"/>
        </w:rPr>
      </w:pPr>
      <w:r>
        <w:rPr>
          <w:b/>
          <w:sz w:val="22"/>
        </w:rPr>
        <w:t>a</w:t>
      </w:r>
    </w:p>
    <w:p w:rsidR="00474668" w:rsidRDefault="00474668" w:rsidP="003A6C0F">
      <w:pPr>
        <w:rPr>
          <w:b/>
          <w:sz w:val="22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>Petra Drahošová – YES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Národní 14</w:t>
      </w:r>
      <w:r>
        <w:rPr>
          <w:sz w:val="24"/>
        </w:rPr>
        <w:tab/>
      </w:r>
      <w:r>
        <w:rPr>
          <w:sz w:val="24"/>
        </w:rPr>
        <w:tab/>
        <w:t>360 20 Karlovy Vary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F35AB3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Petra Drahošová má vydaný živnostenský list Magistrátem města Karlovy </w:t>
      </w:r>
    </w:p>
    <w:p w:rsidR="003A6C0F" w:rsidRDefault="00F35AB3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A6C0F">
        <w:rPr>
          <w:sz w:val="24"/>
        </w:rPr>
        <w:t>Vary,</w:t>
      </w:r>
      <w:r>
        <w:rPr>
          <w:sz w:val="24"/>
        </w:rPr>
        <w:t xml:space="preserve"> </w:t>
      </w:r>
      <w:r w:rsidR="003A6C0F">
        <w:rPr>
          <w:sz w:val="24"/>
        </w:rPr>
        <w:t>odborem obecní živnostenský úřad č.j. ŽÚ/F/01/1070/2004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Bankovní spojení: ČS, a.s., Karlovy Vary </w:t>
      </w:r>
      <w:proofErr w:type="spellStart"/>
      <w:r>
        <w:rPr>
          <w:sz w:val="24"/>
        </w:rPr>
        <w:t>Vary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bookmarkStart w:id="0" w:name="_GoBack"/>
      <w:bookmarkEnd w:id="0"/>
    </w:p>
    <w:p w:rsidR="003A6C0F" w:rsidRDefault="003A6C0F" w:rsidP="003A6C0F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3A6C0F" w:rsidRDefault="003A6C0F" w:rsidP="003A6C0F">
      <w:pPr>
        <w:widowControl w:val="0"/>
        <w:ind w:left="144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,,nájemce‘‘)</w:t>
      </w:r>
    </w:p>
    <w:p w:rsidR="003A6C0F" w:rsidRDefault="003A6C0F" w:rsidP="003A6C0F">
      <w:pPr>
        <w:widowControl w:val="0"/>
        <w:ind w:left="1440"/>
        <w:rPr>
          <w:sz w:val="24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pStyle w:val="Zkladntext"/>
        <w:jc w:val="both"/>
      </w:pPr>
      <w:r>
        <w:t>Tímto dodatkem se mění ustanovení článku IV., třetí</w:t>
      </w:r>
      <w:r w:rsidR="006D7D80">
        <w:t xml:space="preserve"> a pátá věta </w:t>
      </w:r>
      <w:r w:rsidR="0007340E">
        <w:t xml:space="preserve">odst. č. 1 </w:t>
      </w:r>
      <w:r w:rsidR="006D7D80">
        <w:t>článku V.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  <w:rPr>
          <w:sz w:val="22"/>
        </w:rPr>
      </w:pPr>
      <w:r>
        <w:t>Nájem pronajaté plochy nebytových prostor bude v souladu se zákonem č. 235/2004 Sb. o DPH v platném znění považován za plnění od daně osvobozené.</w:t>
      </w:r>
    </w:p>
    <w:bookmarkStart w:id="1" w:name="_MON_1325919971"/>
    <w:bookmarkStart w:id="2" w:name="_MON_1325927781"/>
    <w:bookmarkStart w:id="3" w:name="_MON_1326106507"/>
    <w:bookmarkStart w:id="4" w:name="_MON_1326188247"/>
    <w:bookmarkStart w:id="5" w:name="_MON_1326516645"/>
    <w:bookmarkStart w:id="6" w:name="_MON_1356159116"/>
    <w:bookmarkStart w:id="7" w:name="_MON_1356160087"/>
    <w:bookmarkStart w:id="8" w:name="_MON_1357098037"/>
    <w:bookmarkStart w:id="9" w:name="_MON_1357098120"/>
    <w:bookmarkStart w:id="10" w:name="_MON_1387794317"/>
    <w:bookmarkStart w:id="11" w:name="_MON_1388992526"/>
    <w:bookmarkStart w:id="12" w:name="_MON_1390026005"/>
    <w:bookmarkStart w:id="13" w:name="_MON_1421039973"/>
    <w:bookmarkStart w:id="14" w:name="_MON_1430709515"/>
    <w:bookmarkStart w:id="15" w:name="_MON_1432965452"/>
    <w:bookmarkStart w:id="16" w:name="_MON_1433129066"/>
    <w:bookmarkStart w:id="17" w:name="_MON_1433129310"/>
    <w:bookmarkStart w:id="18" w:name="_MON_1089525621"/>
    <w:bookmarkStart w:id="19" w:name="_MON_1089525819"/>
    <w:bookmarkStart w:id="20" w:name="_MON_1089526078"/>
    <w:bookmarkStart w:id="21" w:name="_MON_1089526131"/>
    <w:bookmarkStart w:id="22" w:name="_MON_1089526177"/>
    <w:bookmarkStart w:id="23" w:name="_MON_1089526973"/>
    <w:bookmarkStart w:id="24" w:name="_MON_1089527415"/>
    <w:bookmarkStart w:id="25" w:name="_MON_1089527599"/>
    <w:bookmarkStart w:id="26" w:name="_MON_1089527734"/>
    <w:bookmarkStart w:id="27" w:name="_MON_1089528173"/>
    <w:bookmarkStart w:id="28" w:name="_MON_1089528189"/>
    <w:bookmarkStart w:id="29" w:name="_MON_1089528209"/>
    <w:bookmarkStart w:id="30" w:name="_MON_1089528233"/>
    <w:bookmarkStart w:id="31" w:name="_MON_1089528257"/>
    <w:bookmarkStart w:id="32" w:name="_MON_1089528569"/>
    <w:bookmarkStart w:id="33" w:name="_MON_1089528591"/>
    <w:bookmarkStart w:id="34" w:name="_MON_1089528622"/>
    <w:bookmarkStart w:id="35" w:name="_MON_1089528902"/>
    <w:bookmarkStart w:id="36" w:name="_MON_1089528945"/>
    <w:bookmarkStart w:id="37" w:name="_MON_1089529005"/>
    <w:bookmarkStart w:id="38" w:name="_MON_1089530959"/>
    <w:bookmarkStart w:id="39" w:name="_MON_1091424282"/>
    <w:bookmarkStart w:id="40" w:name="_MON_1091425518"/>
    <w:bookmarkStart w:id="41" w:name="_MON_1091425650"/>
    <w:bookmarkStart w:id="42" w:name="_MON_1091425691"/>
    <w:bookmarkStart w:id="43" w:name="_MON_1091425838"/>
    <w:bookmarkStart w:id="44" w:name="_MON_1091425864"/>
    <w:bookmarkStart w:id="45" w:name="_MON_1091427020"/>
    <w:bookmarkStart w:id="46" w:name="_MON_1091435850"/>
    <w:bookmarkStart w:id="47" w:name="_MON_1091436306"/>
    <w:bookmarkStart w:id="48" w:name="_MON_1097912776"/>
    <w:bookmarkStart w:id="49" w:name="_MON_1222661678"/>
    <w:bookmarkStart w:id="50" w:name="_MON_1222661992"/>
    <w:bookmarkStart w:id="51" w:name="_MON_1641369995"/>
    <w:bookmarkStart w:id="52" w:name="_MON_1223124684"/>
    <w:bookmarkStart w:id="53" w:name="_MON_1641640765"/>
    <w:bookmarkStart w:id="54" w:name="_MON_1223277006"/>
    <w:bookmarkStart w:id="55" w:name="_MON_1641810238"/>
    <w:bookmarkStart w:id="56" w:name="_MON_1223277663"/>
    <w:bookmarkStart w:id="57" w:name="_MON_1641888334"/>
    <w:bookmarkStart w:id="58" w:name="_MON_1223277966"/>
    <w:bookmarkStart w:id="59" w:name="_MON_1641892305"/>
    <w:bookmarkStart w:id="60" w:name="_MON_1223279491"/>
    <w:bookmarkStart w:id="61" w:name="_MON_1642392240"/>
    <w:bookmarkStart w:id="62" w:name="_MON_1223279690"/>
    <w:bookmarkStart w:id="63" w:name="_MON_1223279766"/>
    <w:bookmarkStart w:id="64" w:name="_MON_1650104149"/>
    <w:bookmarkStart w:id="65" w:name="_MON_1223279869"/>
    <w:bookmarkStart w:id="66" w:name="_MON_1223279886"/>
    <w:bookmarkStart w:id="67" w:name="_MON_1650781952"/>
    <w:bookmarkStart w:id="68" w:name="_MON_1223722371"/>
    <w:bookmarkStart w:id="69" w:name="_MON_1663387873"/>
    <w:bookmarkStart w:id="70" w:name="_MON_1223723315"/>
    <w:bookmarkStart w:id="71" w:name="_MON_1224062681"/>
    <w:bookmarkStart w:id="72" w:name="_MON_1224063090"/>
    <w:bookmarkStart w:id="73" w:name="_MON_1224302824"/>
    <w:bookmarkStart w:id="74" w:name="_MON_1224317961"/>
    <w:bookmarkStart w:id="75" w:name="_MON_1224318403"/>
    <w:bookmarkStart w:id="76" w:name="_MON_1265688585"/>
    <w:bookmarkStart w:id="77" w:name="_MON_1294045594"/>
    <w:bookmarkStart w:id="78" w:name="_MON_1322649536"/>
    <w:bookmarkStart w:id="79" w:name="_MON_1325327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Start w:id="80" w:name="_MON_1325327715"/>
    <w:bookmarkEnd w:id="80"/>
    <w:p w:rsidR="003A6C0F" w:rsidRDefault="00BC00E4" w:rsidP="003A6C0F">
      <w:pPr>
        <w:pStyle w:val="Zkladntext"/>
        <w:jc w:val="both"/>
      </w:pPr>
      <w:r>
        <w:object w:dxaOrig="9718" w:dyaOrig="3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50.75pt" o:ole="" fillcolor="window">
            <v:imagedata r:id="rId5" o:title=""/>
          </v:shape>
          <o:OLEObject Type="Embed" ProgID="Excel.Sheet.8" ShapeID="_x0000_i1025" DrawAspect="Content" ObjectID="_1674627231" r:id="rId6"/>
        </w:object>
      </w:r>
    </w:p>
    <w:p w:rsidR="00864026" w:rsidRDefault="003A6C0F" w:rsidP="003A6C0F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474668" w:rsidRDefault="00474668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6D7D80">
      <w:pPr>
        <w:pStyle w:val="Zkladntext"/>
        <w:rPr>
          <w:b/>
        </w:rPr>
      </w:pPr>
      <w:r w:rsidRPr="00236178">
        <w:rPr>
          <w:b/>
        </w:rPr>
        <w:t>V.</w:t>
      </w:r>
      <w:r w:rsidRPr="00236178">
        <w:rPr>
          <w:b/>
        </w:rPr>
        <w:tab/>
        <w:t>Splatnost nájemného a ceny služeb</w:t>
      </w:r>
    </w:p>
    <w:p w:rsidR="0007340E" w:rsidRDefault="0007340E" w:rsidP="006D7D80">
      <w:pPr>
        <w:pStyle w:val="Zkladntext"/>
        <w:jc w:val="both"/>
        <w:rPr>
          <w:b/>
        </w:rPr>
      </w:pPr>
    </w:p>
    <w:p w:rsidR="009E4C92" w:rsidRPr="009E4C92" w:rsidRDefault="009E4C92" w:rsidP="009E4C92">
      <w:pPr>
        <w:pStyle w:val="Zkladntext2"/>
        <w:spacing w:line="240" w:lineRule="auto"/>
        <w:rPr>
          <w:sz w:val="24"/>
        </w:rPr>
      </w:pPr>
      <w:r w:rsidRPr="009E4C92">
        <w:rPr>
          <w:sz w:val="24"/>
        </w:rPr>
        <w:t>Vý</w:t>
      </w:r>
      <w:r w:rsidR="00144359">
        <w:rPr>
          <w:sz w:val="24"/>
        </w:rPr>
        <w:t>še čtvrtletního nájemného od 1.1.2021</w:t>
      </w:r>
      <w:r w:rsidRPr="009E4C92">
        <w:rPr>
          <w:sz w:val="24"/>
        </w:rPr>
        <w:t xml:space="preserve"> činí </w:t>
      </w:r>
      <w:r w:rsidR="00BC00E4">
        <w:rPr>
          <w:sz w:val="24"/>
        </w:rPr>
        <w:t>10 609,56</w:t>
      </w:r>
      <w:r w:rsidR="009211AA">
        <w:rPr>
          <w:sz w:val="24"/>
        </w:rPr>
        <w:t xml:space="preserve"> Kč vč. DPH. </w:t>
      </w:r>
      <w:r w:rsidR="00087007">
        <w:rPr>
          <w:sz w:val="24"/>
        </w:rPr>
        <w:t>Vyúčtování doplatku nájemného za 1. čtvrtletí 2021 proběhne při vyúčtování nájemného na 2. čtvrtletí 2021 podle daňového dokladu a údajů v něm uvedených.</w:t>
      </w:r>
    </w:p>
    <w:p w:rsidR="004C12C7" w:rsidRDefault="004C12C7" w:rsidP="004C12C7">
      <w:pPr>
        <w:pStyle w:val="Zkladntext"/>
        <w:jc w:val="both"/>
      </w:pPr>
      <w:r>
        <w:t xml:space="preserve"> </w:t>
      </w:r>
    </w:p>
    <w:p w:rsidR="004C12C7" w:rsidRDefault="004C12C7" w:rsidP="004C12C7">
      <w:pPr>
        <w:pStyle w:val="Zkladntext"/>
        <w:jc w:val="both"/>
      </w:pPr>
      <w:r>
        <w:t xml:space="preserve"> Nájemné a služby ve výši tří měsíčních nájmů vč. DPH bude placeno pronajímateli podle </w:t>
      </w:r>
    </w:p>
    <w:p w:rsidR="004C12C7" w:rsidRDefault="004C12C7" w:rsidP="004C12C7">
      <w:pPr>
        <w:pStyle w:val="Zkladntext"/>
        <w:jc w:val="both"/>
      </w:pPr>
      <w:r>
        <w:t xml:space="preserve"> daňového dokladu a údajů v něm uvedených vždy do 15. dne prostředního měsíce  </w:t>
      </w:r>
    </w:p>
    <w:p w:rsidR="004C12C7" w:rsidRDefault="00CE2B8D" w:rsidP="004C12C7">
      <w:pPr>
        <w:pStyle w:val="Zkladntext"/>
        <w:jc w:val="both"/>
      </w:pPr>
      <w:r>
        <w:t xml:space="preserve"> předcházejícího čtvrtletí, </w:t>
      </w:r>
      <w:r w:rsidR="00144359">
        <w:t>tj.</w:t>
      </w:r>
    </w:p>
    <w:p w:rsidR="00144359" w:rsidRDefault="00144359" w:rsidP="004C12C7">
      <w:pPr>
        <w:pStyle w:val="Zkladntext"/>
        <w:jc w:val="both"/>
      </w:pPr>
    </w:p>
    <w:p w:rsidR="00144359" w:rsidRDefault="00144359" w:rsidP="00144359">
      <w:pPr>
        <w:pStyle w:val="Zkladntext"/>
        <w:jc w:val="both"/>
      </w:pPr>
      <w:r>
        <w:t xml:space="preserve">Nájemné na 2. čtvrtletí roku 2021 činí </w:t>
      </w:r>
      <w:r w:rsidR="00BC00E4">
        <w:t>10 609,56</w:t>
      </w:r>
      <w:r w:rsidRPr="003E2DF4">
        <w:t xml:space="preserve"> </w:t>
      </w:r>
      <w:r>
        <w:t>Kč vč. DPH a bude uhrazeno do 15.2.2021 podle daňového dokladu a údajů v něm uvedených.</w:t>
      </w:r>
    </w:p>
    <w:p w:rsidR="00144359" w:rsidRDefault="00144359" w:rsidP="00144359">
      <w:pPr>
        <w:pStyle w:val="Zkladntext"/>
        <w:jc w:val="both"/>
      </w:pPr>
    </w:p>
    <w:p w:rsidR="00144359" w:rsidRDefault="00144359" w:rsidP="00144359">
      <w:pPr>
        <w:pStyle w:val="Zkladntext"/>
        <w:jc w:val="both"/>
      </w:pPr>
      <w:r>
        <w:t xml:space="preserve"> Nájemné a služby ve výši tří měsíčních nájmů vč. DPH bude placeno pronajímateli podle </w:t>
      </w:r>
    </w:p>
    <w:p w:rsidR="00144359" w:rsidRDefault="00144359" w:rsidP="00144359">
      <w:pPr>
        <w:pStyle w:val="Zkladntext"/>
        <w:jc w:val="both"/>
      </w:pPr>
      <w:r>
        <w:t xml:space="preserve"> daňového dokladu a údajů v něm uvedených vždy do 15. dne prostředního měsíce  </w:t>
      </w:r>
    </w:p>
    <w:p w:rsidR="00144359" w:rsidRDefault="00144359" w:rsidP="00144359">
      <w:pPr>
        <w:pStyle w:val="Zkladntext"/>
        <w:jc w:val="both"/>
      </w:pPr>
      <w:r>
        <w:t xml:space="preserve"> předcházejícího čtvrtletí, tj.</w:t>
      </w:r>
    </w:p>
    <w:p w:rsidR="00144359" w:rsidRDefault="00144359" w:rsidP="00144359">
      <w:pPr>
        <w:pStyle w:val="Zkladntext"/>
        <w:jc w:val="both"/>
      </w:pPr>
    </w:p>
    <w:p w:rsidR="00144359" w:rsidRDefault="00144359" w:rsidP="00144359">
      <w:pPr>
        <w:pStyle w:val="Zkladntext"/>
        <w:jc w:val="both"/>
      </w:pPr>
      <w:r>
        <w:t>15. května 2021</w:t>
      </w:r>
      <w:r>
        <w:tab/>
      </w:r>
      <w:r>
        <w:tab/>
      </w:r>
      <w:r w:rsidR="00BC00E4">
        <w:t>10 609,56</w:t>
      </w:r>
      <w:r w:rsidRPr="003E2DF4">
        <w:t xml:space="preserve"> </w:t>
      </w:r>
      <w:r>
        <w:t>Kč vč. DPH (nájemné na 3. čtvrtletí 2021)</w:t>
      </w:r>
    </w:p>
    <w:p w:rsidR="00144359" w:rsidRDefault="00144359" w:rsidP="00144359">
      <w:pPr>
        <w:pStyle w:val="Zkladntext"/>
        <w:jc w:val="both"/>
      </w:pPr>
      <w:r>
        <w:t xml:space="preserve">15. </w:t>
      </w:r>
      <w:r w:rsidR="00F03980">
        <w:t>srpna 2021</w:t>
      </w:r>
      <w:r>
        <w:tab/>
      </w:r>
      <w:r>
        <w:tab/>
      </w:r>
      <w:r w:rsidR="00BC00E4">
        <w:t>10 609,56</w:t>
      </w:r>
      <w:r w:rsidRPr="003E2DF4">
        <w:t xml:space="preserve"> </w:t>
      </w:r>
      <w:r>
        <w:t>Kč vč. DPH (nájemné na 4. čtvrtletí 2021) atd.</w:t>
      </w:r>
    </w:p>
    <w:p w:rsidR="00474668" w:rsidRDefault="00474668" w:rsidP="00144359">
      <w:pPr>
        <w:pStyle w:val="Zkladntext"/>
        <w:jc w:val="both"/>
      </w:pPr>
    </w:p>
    <w:p w:rsidR="00C43BE1" w:rsidRDefault="00C43BE1" w:rsidP="00144359">
      <w:pPr>
        <w:pStyle w:val="Zkladntext"/>
        <w:jc w:val="both"/>
      </w:pPr>
    </w:p>
    <w:p w:rsidR="00C43BE1" w:rsidRDefault="00C43BE1" w:rsidP="00144359">
      <w:pPr>
        <w:pStyle w:val="Zkladntext"/>
        <w:jc w:val="both"/>
      </w:pPr>
      <w:r>
        <w:t>Dále se tímto dodatkem mění ustanovení</w:t>
      </w:r>
      <w:r w:rsidR="00474668">
        <w:t xml:space="preserve"> čl. VI., kde se nově vkládá odstavec, který zní:</w:t>
      </w:r>
    </w:p>
    <w:p w:rsidR="00474668" w:rsidRDefault="00474668" w:rsidP="00144359">
      <w:pPr>
        <w:pStyle w:val="Zkladntext"/>
        <w:jc w:val="both"/>
      </w:pPr>
    </w:p>
    <w:p w:rsidR="00474668" w:rsidRDefault="00474668" w:rsidP="00144359">
      <w:pPr>
        <w:pStyle w:val="Zkladntext"/>
        <w:jc w:val="both"/>
      </w:pPr>
      <w:r>
        <w:t>Pronajímatel může jednostranně vypovědět nájemní vztah z těchto důvodů:</w:t>
      </w:r>
    </w:p>
    <w:p w:rsidR="00474668" w:rsidRDefault="00474668" w:rsidP="00474668">
      <w:pPr>
        <w:pStyle w:val="Zkladntext"/>
        <w:numPr>
          <w:ilvl w:val="0"/>
          <w:numId w:val="1"/>
        </w:numPr>
        <w:jc w:val="both"/>
      </w:pPr>
      <w:r>
        <w:t xml:space="preserve">pokud bude zjištěn úpadek dle </w:t>
      </w:r>
      <w:proofErr w:type="spellStart"/>
      <w:r>
        <w:t>z.č</w:t>
      </w:r>
      <w:proofErr w:type="spellEnd"/>
      <w:r>
        <w:t>. 182/2006 Sb.</w:t>
      </w:r>
    </w:p>
    <w:p w:rsidR="00474668" w:rsidRDefault="00474668" w:rsidP="00474668">
      <w:pPr>
        <w:pStyle w:val="Zkladntext"/>
        <w:numPr>
          <w:ilvl w:val="0"/>
          <w:numId w:val="1"/>
        </w:numPr>
        <w:jc w:val="both"/>
      </w:pPr>
      <w:r>
        <w:t>nájemce bude způsobem užívání předmětu nájmu ohrožovat dobré jméno a pověst (goodwill) pronajímatele</w:t>
      </w:r>
    </w:p>
    <w:p w:rsidR="00474668" w:rsidRDefault="00474668" w:rsidP="00474668">
      <w:pPr>
        <w:pStyle w:val="Zkladntext"/>
        <w:ind w:left="720"/>
        <w:jc w:val="both"/>
      </w:pPr>
    </w:p>
    <w:p w:rsidR="00144359" w:rsidRDefault="00144359" w:rsidP="00144359">
      <w:pPr>
        <w:pStyle w:val="Zkladntext"/>
        <w:jc w:val="both"/>
      </w:pPr>
    </w:p>
    <w:p w:rsidR="00F03980" w:rsidRDefault="00144359" w:rsidP="004C12C7">
      <w:pPr>
        <w:pStyle w:val="Zkladntext"/>
        <w:jc w:val="both"/>
      </w:pPr>
      <w:r>
        <w:t xml:space="preserve">Dále se tímto dodatkem mění </w:t>
      </w:r>
      <w:r w:rsidR="00F03980">
        <w:t>ustanovení čl. VII., kde se nově vkládají odstavce, které znějí:</w:t>
      </w:r>
    </w:p>
    <w:p w:rsidR="00F03980" w:rsidRDefault="00F03980" w:rsidP="004C12C7">
      <w:pPr>
        <w:pStyle w:val="Zkladntext"/>
        <w:jc w:val="both"/>
      </w:pPr>
    </w:p>
    <w:p w:rsidR="00F03980" w:rsidRDefault="00F03980" w:rsidP="00F03980">
      <w:pPr>
        <w:ind w:left="350" w:hanging="350"/>
        <w:jc w:val="both"/>
        <w:rPr>
          <w:sz w:val="24"/>
          <w:szCs w:val="24"/>
        </w:rPr>
      </w:pPr>
      <w:r w:rsidRPr="009C7666">
        <w:rPr>
          <w:sz w:val="24"/>
          <w:szCs w:val="24"/>
        </w:rPr>
        <w:t>Pronajímatel se zavazuje umožnit nájemci přístup do prona</w:t>
      </w:r>
      <w:r>
        <w:rPr>
          <w:sz w:val="24"/>
          <w:szCs w:val="24"/>
        </w:rPr>
        <w:t xml:space="preserve">jatých prostor. Za tímto účelem </w:t>
      </w:r>
    </w:p>
    <w:p w:rsidR="00F03980" w:rsidRDefault="00F03980" w:rsidP="00F03980">
      <w:pPr>
        <w:ind w:left="350" w:hanging="350"/>
        <w:jc w:val="both"/>
        <w:rPr>
          <w:sz w:val="24"/>
        </w:rPr>
      </w:pPr>
      <w:r w:rsidRPr="009C7666">
        <w:rPr>
          <w:sz w:val="24"/>
          <w:szCs w:val="24"/>
        </w:rPr>
        <w:t>pronajímatel předal zástupci nájemce</w:t>
      </w:r>
      <w:r w:rsidRPr="009C7666">
        <w:rPr>
          <w:sz w:val="24"/>
        </w:rPr>
        <w:t xml:space="preserve"> při podpisu smlouvy 5 klíčů </w:t>
      </w:r>
      <w:proofErr w:type="spellStart"/>
      <w:r w:rsidRPr="009C7666">
        <w:rPr>
          <w:sz w:val="24"/>
        </w:rPr>
        <w:t>zn.FAB</w:t>
      </w:r>
      <w:proofErr w:type="spellEnd"/>
      <w:r w:rsidRPr="009C7666">
        <w:rPr>
          <w:sz w:val="24"/>
        </w:rPr>
        <w:t xml:space="preserve"> a 1 kódovací klíč </w:t>
      </w:r>
    </w:p>
    <w:p w:rsidR="00F03980" w:rsidRDefault="00F03980" w:rsidP="00F03980">
      <w:pPr>
        <w:ind w:left="350" w:hanging="350"/>
        <w:jc w:val="both"/>
        <w:rPr>
          <w:sz w:val="24"/>
        </w:rPr>
      </w:pPr>
      <w:r w:rsidRPr="009C7666">
        <w:rPr>
          <w:sz w:val="24"/>
        </w:rPr>
        <w:t xml:space="preserve">umožňující vstup do pronajatých nebytových prostor v době nepřítomnosti vrátných, tj. v noci </w:t>
      </w:r>
    </w:p>
    <w:p w:rsidR="00F03980" w:rsidRDefault="00F03980" w:rsidP="00F03980">
      <w:pPr>
        <w:ind w:left="350" w:hanging="350"/>
        <w:jc w:val="both"/>
        <w:rPr>
          <w:sz w:val="24"/>
        </w:rPr>
      </w:pPr>
      <w:r w:rsidRPr="009C7666">
        <w:rPr>
          <w:sz w:val="24"/>
        </w:rPr>
        <w:t xml:space="preserve">a o sobotách a nedělích (kdy je ostraha objektu zajištěna bezpečnostní agenturou). V případě </w:t>
      </w:r>
    </w:p>
    <w:p w:rsidR="00F03980" w:rsidRDefault="00F03980" w:rsidP="00F03980">
      <w:pPr>
        <w:ind w:left="350" w:hanging="350"/>
        <w:jc w:val="both"/>
        <w:rPr>
          <w:sz w:val="24"/>
        </w:rPr>
      </w:pPr>
      <w:r w:rsidRPr="009C7666">
        <w:rPr>
          <w:sz w:val="24"/>
        </w:rPr>
        <w:t xml:space="preserve">ztráty některého klíče, zaplatí nájemce smluvní pokutu ve výši 1 400,-- Kč (za každý ztracený </w:t>
      </w:r>
    </w:p>
    <w:p w:rsidR="00F03980" w:rsidRDefault="00F03980" w:rsidP="00F03980">
      <w:pPr>
        <w:ind w:left="350" w:hanging="350"/>
        <w:jc w:val="both"/>
        <w:rPr>
          <w:sz w:val="24"/>
        </w:rPr>
      </w:pPr>
      <w:r w:rsidRPr="009C7666">
        <w:rPr>
          <w:sz w:val="24"/>
        </w:rPr>
        <w:t xml:space="preserve">klíč), která má splatnost do 10 dnů ode dne oznámení ztráty. Kromě sankce je nájemce </w:t>
      </w:r>
    </w:p>
    <w:p w:rsidR="00F03980" w:rsidRPr="009C7666" w:rsidRDefault="00F03980" w:rsidP="00F03980">
      <w:pPr>
        <w:ind w:left="350" w:hanging="350"/>
        <w:jc w:val="both"/>
        <w:rPr>
          <w:sz w:val="24"/>
          <w:szCs w:val="24"/>
        </w:rPr>
      </w:pPr>
      <w:r w:rsidRPr="009C7666">
        <w:rPr>
          <w:sz w:val="24"/>
        </w:rPr>
        <w:t>odpovědný za škody vzniklé v důsledku ztráty klíčů a je povinen tuto škodu nahradit</w:t>
      </w:r>
      <w:r>
        <w:rPr>
          <w:sz w:val="24"/>
        </w:rPr>
        <w:t>.</w:t>
      </w: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ind w:left="426" w:hanging="426"/>
        <w:jc w:val="both"/>
        <w:rPr>
          <w:sz w:val="24"/>
        </w:rPr>
      </w:pPr>
      <w:r>
        <w:rPr>
          <w:sz w:val="24"/>
        </w:rPr>
        <w:t xml:space="preserve">Pronajímatel neodpovídá za přebírání poštovních a ostatních zásilek adresovaných nájemci a </w:t>
      </w:r>
    </w:p>
    <w:p w:rsidR="00F03980" w:rsidRDefault="00F03980" w:rsidP="00F03980">
      <w:pPr>
        <w:ind w:left="426" w:hanging="426"/>
        <w:jc w:val="both"/>
        <w:rPr>
          <w:sz w:val="24"/>
        </w:rPr>
      </w:pPr>
      <w:r>
        <w:rPr>
          <w:sz w:val="24"/>
        </w:rPr>
        <w:t xml:space="preserve">zároveň nebude tyto zásilky přebírat, a to ani v případě, že nájemce nebude provozovatelem </w:t>
      </w:r>
    </w:p>
    <w:p w:rsidR="00F03980" w:rsidRDefault="00F03980" w:rsidP="00F03980">
      <w:pPr>
        <w:ind w:left="426" w:hanging="426"/>
        <w:jc w:val="both"/>
        <w:rPr>
          <w:sz w:val="24"/>
        </w:rPr>
      </w:pPr>
      <w:r>
        <w:rPr>
          <w:sz w:val="24"/>
        </w:rPr>
        <w:t>listovních či zásilkových služeb zastižen.</w:t>
      </w:r>
    </w:p>
    <w:p w:rsidR="00474668" w:rsidRDefault="00474668" w:rsidP="00F03980">
      <w:pPr>
        <w:ind w:left="426" w:hanging="426"/>
        <w:jc w:val="both"/>
        <w:rPr>
          <w:sz w:val="24"/>
        </w:rPr>
      </w:pPr>
    </w:p>
    <w:p w:rsidR="00F03980" w:rsidRDefault="00F03980" w:rsidP="00F03980">
      <w:pPr>
        <w:ind w:left="252"/>
        <w:jc w:val="both"/>
        <w:rPr>
          <w:sz w:val="24"/>
        </w:rPr>
      </w:pPr>
    </w:p>
    <w:p w:rsidR="00F03980" w:rsidRPr="009C7666" w:rsidRDefault="00F03980" w:rsidP="00F03980">
      <w:pPr>
        <w:ind w:left="350" w:hanging="350"/>
        <w:jc w:val="both"/>
        <w:rPr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lastRenderedPageBreak/>
        <w:t>Dodatek č. 12 je vyhotoven ve 3 stejnopisech, přičemž nájemce obdrží 1 oboustranně podepsaný výtisk a pronajímatel po 2 oboustranně podepsaných výtiscích.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12 smlouvy č. 963/2006 nabývá platnosti dnem jeho podpisu poslední ze smluvních stran a účinnosti zveřejněním v Registru smluv.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 xml:space="preserve">             za nájemce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pronajímatele</w:t>
      </w:r>
    </w:p>
    <w:sectPr w:rsidR="00F0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4BC5"/>
    <w:multiLevelType w:val="hybridMultilevel"/>
    <w:tmpl w:val="D8B07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F"/>
    <w:rsid w:val="000611E1"/>
    <w:rsid w:val="0007340E"/>
    <w:rsid w:val="00087007"/>
    <w:rsid w:val="00126A04"/>
    <w:rsid w:val="00144359"/>
    <w:rsid w:val="0022581C"/>
    <w:rsid w:val="00282D1C"/>
    <w:rsid w:val="00306115"/>
    <w:rsid w:val="00322DE4"/>
    <w:rsid w:val="003A6C0F"/>
    <w:rsid w:val="003E2DF4"/>
    <w:rsid w:val="00400FB1"/>
    <w:rsid w:val="004123AF"/>
    <w:rsid w:val="00474668"/>
    <w:rsid w:val="004C12C7"/>
    <w:rsid w:val="00540443"/>
    <w:rsid w:val="005A0DDA"/>
    <w:rsid w:val="006A7EC8"/>
    <w:rsid w:val="006D7D80"/>
    <w:rsid w:val="0075046E"/>
    <w:rsid w:val="007C60F8"/>
    <w:rsid w:val="007E6F98"/>
    <w:rsid w:val="00864026"/>
    <w:rsid w:val="00893705"/>
    <w:rsid w:val="009211AA"/>
    <w:rsid w:val="00953B5D"/>
    <w:rsid w:val="009E4C92"/>
    <w:rsid w:val="00B6575F"/>
    <w:rsid w:val="00BC00E4"/>
    <w:rsid w:val="00C43BE1"/>
    <w:rsid w:val="00C521D3"/>
    <w:rsid w:val="00CE2B8D"/>
    <w:rsid w:val="00D9359C"/>
    <w:rsid w:val="00DC3DDE"/>
    <w:rsid w:val="00E10BF1"/>
    <w:rsid w:val="00E166F9"/>
    <w:rsid w:val="00E43F93"/>
    <w:rsid w:val="00E57967"/>
    <w:rsid w:val="00E94B9D"/>
    <w:rsid w:val="00F03980"/>
    <w:rsid w:val="00F35AB3"/>
    <w:rsid w:val="00F371DB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E9C6"/>
  <w15:docId w15:val="{FE3BCAC0-36CA-4D10-B55A-7A84B81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E4C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E4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Parnahajova Iveta</dc:creator>
  <cp:lastModifiedBy>Parnahajová Iveta</cp:lastModifiedBy>
  <cp:revision>2</cp:revision>
  <cp:lastPrinted>2021-01-27T07:57:00Z</cp:lastPrinted>
  <dcterms:created xsi:type="dcterms:W3CDTF">2021-02-12T08:27:00Z</dcterms:created>
  <dcterms:modified xsi:type="dcterms:W3CDTF">2021-02-12T08:27:00Z</dcterms:modified>
</cp:coreProperties>
</file>