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200000pt;margin-top:0.000000pt;width:455.100000pt;height:2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1" w:lineRule="atLeast"/>
                    <w:ind w:left="3216" w:firstLine="0"/>
                    <w:textAlignment w:val="baseline"/>
                  </w:pP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KUPNÍ </w:t>
                  </w: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SMLOUVA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200000pt;margin-top:25.200000pt;width:455.100000pt;height:13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Firma: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Míka</w:t>
                  </w:r>
                </w:p>
                <w:p>
                  <w:pPr>
                    <w:pStyle w:val="Style"/>
                    <w:spacing w:before="0" w:after="0" w:line="398" w:lineRule="atLeast"/>
                    <w:ind w:left="28" w:right="418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sídlem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Sídl.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Vyšný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117,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Český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Krumlov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zastoupená: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Janem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Míkou</w:t>
                  </w:r>
                </w:p>
                <w:p>
                  <w:pPr>
                    <w:pStyle w:val="Style"/>
                    <w:spacing w:before="0" w:after="0" w:line="39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IČO: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72177268</w:t>
                  </w:r>
                </w:p>
                <w:p>
                  <w:pPr>
                    <w:pStyle w:val="Style"/>
                    <w:spacing w:before="0" w:after="0" w:line="39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DIČ.CZ7306081244</w:t>
                  </w:r>
                </w:p>
                <w:p>
                  <w:pPr>
                    <w:pStyle w:val="Style"/>
                    <w:spacing w:before="13" w:after="0" w:line="388" w:lineRule="atLeast"/>
                    <w:ind w:left="28" w:right="467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Bankovní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spojení: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670100-2209520065/621 </w:t>
                  </w:r>
                  <w:r>
                    <w:rPr>
                      <w:rFonts w:ascii="Arial" w:eastAsia="Arial" w:hAnsi="Arial" w:cs="Arial"/>
                      <w:w w:val="66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„prodávající")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200000pt;margin-top:183.600000pt;width:455.1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200000pt;margin-top:222.700000pt;width:455.100000pt;height:11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93" w:lineRule="atLeast"/>
                    <w:ind w:left="24" w:right="168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Mateřská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sídlem: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</w:t>
                  </w:r>
                </w:p>
                <w:p>
                  <w:pPr>
                    <w:pStyle w:val="Style"/>
                    <w:spacing w:before="0" w:after="0" w:line="39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zastoupená:Mgr.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Košťálovou,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</w:t>
                  </w:r>
                </w:p>
                <w:p>
                  <w:pPr>
                    <w:pStyle w:val="Style"/>
                    <w:spacing w:before="0" w:after="0" w:line="39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IČO: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63289920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DIČ: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CZ63289920</w:t>
                  </w:r>
                </w:p>
                <w:p>
                  <w:pPr>
                    <w:pStyle w:val="Style"/>
                    <w:spacing w:before="0" w:after="0" w:line="39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Bankovní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spojení: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214529727/0300</w:t>
                  </w:r>
                </w:p>
                <w:p>
                  <w:pPr>
                    <w:pStyle w:val="Style"/>
                    <w:spacing w:before="0" w:after="0" w:line="39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„kupuj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0.950000pt;margin-top:360.950000pt;width:456.55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uzavřeli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níže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smyslu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§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2079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násl.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zákona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89/2012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Sb.,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občanský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zákoník,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pozdějších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tuto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.200000pt;margin-top:413.750000pt;width:455.1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45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.200000pt;margin-top:433.650000pt;width:455.1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3638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smlouvy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0.750000pt;margin-top:472.550000pt;width:456.1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73" w:lineRule="atLeast"/>
                    <w:ind w:left="355" w:right="0" w:hanging="336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Prodávající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převést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něj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vlastnické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Příloze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Příloha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Cenová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nabídka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0.750000pt;margin-top:525.350000pt;width:456.100000pt;height:51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73" w:lineRule="atLeast"/>
                    <w:ind w:left="355" w:right="0" w:hanging="36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Kupující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prodávajícího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převzít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zaplatit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sjednanou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způsobem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uvedeným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spacing w:before="0" w:after="0" w:line="398" w:lineRule="atLeast"/>
                    <w:ind w:left="4411" w:firstLine="0"/>
                    <w:textAlignment w:val="baseline"/>
                  </w:pPr>
                  <w:r>
                    <w:rPr>
                      <w:w w:val="114"/>
                      <w:sz w:val="23"/>
                      <w:szCs w:val="23"/>
                      <w:lang w:val="cs"/>
                    </w:rPr>
                    <w:t xml:space="preserve">II.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000000pt;margin-top:578.850000pt;width:456.300000pt;height:100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2688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Podmínky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plnění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předmětu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114" w:after="0" w:line="278" w:lineRule="atLeast"/>
                    <w:ind w:left="374" w:right="0" w:hanging="34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Prodávající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nabídky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(Příloha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specifikace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doručení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podepsané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prodávajícímu.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104" w:after="0" w:line="283" w:lineRule="atLeast"/>
                    <w:ind w:left="355" w:right="0" w:hanging="36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Prodávající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svůj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dodacím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listem,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sídla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kupujícího.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1.200000pt;margin-top:723.850000pt;width:455.1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44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35"/>
                      <w:sz w:val="22"/>
                      <w:szCs w:val="22"/>
                      <w:lang w:val="cs"/>
                    </w:rPr>
                    <w:t xml:space="preserve">1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748" w:right="1373" w:bottom="360" w:left="106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500000pt;margin-top:0.000000pt;width:457.750000pt;height:12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302" w:lineRule="atLeast"/>
                    <w:ind w:left="398" w:right="0" w:hanging="36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sepsán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podepsaný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oběma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stranami.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80" w:after="0" w:line="292" w:lineRule="atLeast"/>
                    <w:ind w:left="374" w:right="48" w:hanging="345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Nebude-li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oprávněn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odstoupit.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379" w:lineRule="atLeast"/>
                    <w:ind w:left="374" w:right="0" w:hanging="345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Vlastnictví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prodávanému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přechází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zaplacením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80" w:after="0" w:line="292" w:lineRule="atLeast"/>
                    <w:ind w:left="374" w:right="48" w:hanging="34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Nebezpečí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přechází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podepsáním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smyslu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bodu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tohoto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článku.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500000pt;margin-top:122.150000pt;width:457.75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4396" w:firstLine="0"/>
                    <w:textAlignment w:val="baseline"/>
                  </w:pPr>
                  <w:r>
                    <w:rPr>
                      <w:b/>
                      <w:w w:val="91"/>
                      <w:sz w:val="25"/>
                      <w:szCs w:val="25"/>
                      <w:lang w:val="cs"/>
                    </w:rPr>
                    <w:t xml:space="preserve">III.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500000pt;margin-top:143.300000pt;width:457.750000pt;height:306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3220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platební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podmínky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09" w:after="0" w:line="273" w:lineRule="atLeast"/>
                    <w:ind w:left="384" w:right="33" w:hanging="34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stanovena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nabídkovou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prodávajícího,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kterou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udal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nabídce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výběrového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řízení,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která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jakožto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zadavatelem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výběrového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vybrána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nejvýhodnější,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125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000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Kč,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250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Kč,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250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Kč.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80" w:after="0" w:line="292" w:lineRule="atLeast"/>
                    <w:ind w:left="374" w:right="48" w:hanging="36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Tato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která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zahrnuje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veškeré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prodávajícího,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nejvýše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přípustnou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může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být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změněna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daňových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včetně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09" w:after="0" w:line="273" w:lineRule="atLeast"/>
                    <w:ind w:left="384" w:right="33" w:hanging="355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Prodávající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vyúčtuje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předloží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fakturu,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která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musí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náležitosti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daňového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souladu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zákonem </w:t>
                  </w:r>
                  <w:r>
                    <w:rPr>
                      <w:w w:val="200"/>
                      <w:sz w:val="5"/>
                      <w:szCs w:val="5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235/2004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Sb.,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hodnoty,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pozdějších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předpisů.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Faktura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musí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být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doložena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09" w:after="0" w:line="273" w:lineRule="atLeast"/>
                    <w:ind w:left="384" w:right="33" w:hanging="36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Faktura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splatná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14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kupujícím.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Námitky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údajům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uvedeným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faktuře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může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uplatnit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konce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splatnosti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tím,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odešle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zpět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prodávajícímu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výhrad.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Tímto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splatnosti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splatnosti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běží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doručení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opravené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faktury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kupujícímu.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80" w:after="0" w:line="292" w:lineRule="atLeast"/>
                    <w:ind w:left="374" w:right="48" w:hanging="35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Dnem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zaplacení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(faktury)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rozumí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odepsání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kupujícího.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379" w:lineRule="atLeast"/>
                    <w:ind w:left="374" w:right="0" w:hanging="355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Prodávající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prohlašuje,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neváznou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třetí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osoby.</w:t>
                  </w:r>
                </w:p>
                <w:p>
                  <w:pPr>
                    <w:pStyle w:val="Style"/>
                    <w:spacing w:before="0" w:after="0" w:line="398" w:lineRule="atLeast"/>
                    <w:ind w:left="4377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IV.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0.000000pt;margin-top:451.700000pt;width:458.250000pt;height:233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3081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Záruční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servisní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podmínky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109" w:after="0" w:line="273" w:lineRule="atLeast"/>
                    <w:ind w:left="384" w:right="33" w:hanging="331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Nesplňuje-li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vlastnosti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stanovené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touto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§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2095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2096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Občanského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zákoníku,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považuje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určuje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nutných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užívání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80" w:after="0" w:line="292" w:lineRule="atLeast"/>
                    <w:ind w:left="374" w:right="48" w:hanging="36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Prodávající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nenese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odpovědnost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něž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vztahuje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jakost,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jestliže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tyto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vznikly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prokazatelným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zaviněním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kupujícího.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80" w:after="0" w:line="292" w:lineRule="atLeast"/>
                    <w:ind w:left="374" w:right="48" w:hanging="355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Záruční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stanovena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Příloze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každé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položky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začíná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běžet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smyslu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bodu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109" w:after="0" w:line="273" w:lineRule="atLeast"/>
                    <w:ind w:left="384" w:right="33" w:hanging="364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Kupující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souladu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příslušnými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občanského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zákoníku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zbytečného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odkladu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prodávajícímu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zjištěné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vynaložení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odborné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péče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zjistil.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80" w:after="0" w:line="292" w:lineRule="atLeast"/>
                    <w:ind w:left="374" w:right="48" w:hanging="35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záruční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době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včas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uplatní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zjištěné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prodávající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nejdéle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379" w:lineRule="atLeast"/>
                    <w:ind w:left="374" w:right="0" w:hanging="355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zboží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uplatňuje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kupující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adrese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prodávajícího.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0.500000pt;margin-top:736.800000pt;width:457.75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44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489" w:right="1234" w:bottom="360" w:left="1190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0.250000pt;margin-top:0.000000pt;width:457.050000pt;height:2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445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7"/>
                      <w:sz w:val="31"/>
                      <w:szCs w:val="31"/>
                      <w:lang w:val="cs"/>
                    </w:rPr>
                    <w:t xml:space="preserve">v.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0.250000pt;margin-top:24.500000pt;width:457.050000pt;height:14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3585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Sankční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114" w:after="0" w:line="273" w:lineRule="atLeast"/>
                    <w:ind w:left="384" w:right="0" w:hanging="331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prodávajícího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dodáním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zboží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prodávající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povinen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zaplatit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kupujícímu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každý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započatý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pokutu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0,05%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zboží,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jehož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dodáním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Tato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pokuta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uplatněna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formou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slevy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plnění.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114" w:after="0" w:line="273" w:lineRule="atLeast"/>
                    <w:ind w:left="384" w:right="0" w:hanging="355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kupujícího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zaplacením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kupní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řádně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vystavené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faktury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daňového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dokladu,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kupující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zaplatit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prodávajícímu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úrok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0,05%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dlužné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částky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každý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spacing w:before="0" w:after="0" w:line="403" w:lineRule="atLeast"/>
                    <w:ind w:left="4406" w:firstLine="0"/>
                    <w:textAlignment w:val="baseline"/>
                  </w:pPr>
                  <w:r>
                    <w:rPr>
                      <w:w w:val="108"/>
                      <w:sz w:val="23"/>
                      <w:szCs w:val="23"/>
                      <w:lang w:val="cs"/>
                    </w:rPr>
                    <w:t xml:space="preserve">VI.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0.000000pt;margin-top:173.800000pt;width:457.500000pt;height:281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3460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Závěrečná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114" w:after="0" w:line="273" w:lineRule="atLeast"/>
                    <w:ind w:left="384" w:right="0" w:hanging="326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všech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ostatních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záležitostech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neupravených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touto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řídí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obecně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platnými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právními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předpisy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České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republiky,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zejména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§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2079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násl.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zákona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89/2012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Sb.,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Občanského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zákoníku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znění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pozdějších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předpisů.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119" w:after="0" w:line="273" w:lineRule="atLeast"/>
                    <w:ind w:left="369" w:right="0" w:hanging="345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Nedílnou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součástí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příloha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„Cenová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nabídka",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který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prodávající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dodal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nabídku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výběrovém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řízení.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114" w:after="0" w:line="273" w:lineRule="atLeast"/>
                    <w:ind w:left="384" w:right="0" w:hanging="345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sporu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pokusí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dosáhnout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vyřešení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sporu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mimosoudním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jednáním.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Jestliže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během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takového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jednání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shody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dosaženo,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každá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právo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obrátit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příslušný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soud.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119" w:after="0" w:line="273" w:lineRule="atLeast"/>
                    <w:ind w:left="369" w:right="0" w:hanging="355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Veškeré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změny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doplňky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jsou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možné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vzájemné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dohodě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výhradně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formě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číslovaných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dodatků.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114" w:after="0" w:line="273" w:lineRule="atLeast"/>
                    <w:ind w:left="384" w:right="0" w:hanging="355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Obě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potvrzují,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tato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byla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uzavřena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svobodně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vážně,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projevené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vůle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souhlasí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jejím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obsahem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tato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nebyla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ujednána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tísni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ani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jinak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jednostranně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nevýhodných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podmínek.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119" w:after="0" w:line="273" w:lineRule="atLeast"/>
                    <w:ind w:left="369" w:right="0" w:hanging="36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Obě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potvrzují,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souhlasí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zveřejněním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včetně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příloh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dodatků.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393" w:lineRule="atLeast"/>
                    <w:ind w:left="369" w:right="0" w:hanging="364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vyhotovuje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stejnopisech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jednom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každou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16.550000pt;margin-top:473.800000pt;width:187.5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dot" w:pos="3643"/>
                    </w:tabs>
                    <w:spacing w:before="0" w:after="0" w:line="249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V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Českém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Krumlově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dne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.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259.200000pt;margin-top:456.500000pt;width:213.700000pt;height:36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600" w:lineRule="atLeast"/>
                    <w:ind w:left="0" w:firstLine="0"/>
                    <w:textAlignment w:val="baseline"/>
                  </w:pPr>
                  <w:r>
                    <w:rPr>
                      <w:w w:val="110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.</w:t>
                  </w:r>
                  <w:r>
                    <w:rPr>
                      <w:i/>
                      <w:iCs/>
                      <w:sz w:val="22"/>
                      <w:szCs w:val="22"/>
                      <w:lang w:val="cs"/>
                    </w:rPr>
                    <w:t xml:space="preserve">. </w:t>
                  </w:r>
                  <w:r>
                    <w:rPr>
                      <w:i/>
                      <w:iCs/>
                      <w:w w:val="64"/>
                      <w:sz w:val="58"/>
                      <w:szCs w:val="58"/>
                      <w:lang w:val="cs"/>
                    </w:rPr>
                    <w:t xml:space="preserve">I/ </w:t>
                  </w:r>
                  <w:r>
                    <w:rPr>
                      <w:i/>
                      <w:iCs/>
                      <w:w w:val="64"/>
                      <w:sz w:val="58"/>
                      <w:szCs w:val="58"/>
                      <w:lang w:val="cs"/>
                    </w:rPr>
                    <w:t xml:space="preserve">. </w:t>
                  </w:r>
                  <w:r>
                    <w:rPr>
                      <w:i/>
                      <w:iCs/>
                      <w:w w:val="64"/>
                      <w:sz w:val="58"/>
                      <w:szCs w:val="58"/>
                      <w:lang w:val="cs"/>
                    </w:rPr>
                    <w:t xml:space="preserve">./:.: </w:t>
                  </w:r>
                  <w:r>
                    <w:rPr>
                      <w:i/>
                      <w:iCs/>
                      <w:w w:val="64"/>
                      <w:sz w:val="58"/>
                      <w:szCs w:val="58"/>
                      <w:lang w:val="cs"/>
                    </w:rPr>
                    <w:t xml:space="preserve">.... </w:t>
                  </w:r>
                  <w:r>
                    <w:rPr>
                      <w:i/>
                      <w:iCs/>
                      <w:w w:val="76"/>
                      <w:sz w:val="51"/>
                      <w:szCs w:val="51"/>
                      <w:lang w:val="cs"/>
                    </w:rPr>
                    <w:t xml:space="preserve">~21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69.350000pt;margin-top:533.050000pt;width:81.4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prodávajícího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267.150000pt;margin-top:502.350000pt;width:206.000000pt;height:5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2" w:lineRule="atLeast"/>
                    <w:ind w:left="297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6"/>
                      <w:sz w:val="17"/>
                      <w:szCs w:val="17"/>
                      <w:lang w:val="cs"/>
                    </w:rPr>
                    <w:t xml:space="preserve">.:.:.:/:.'.&gt; </w:t>
                  </w:r>
                  <w:r>
                    <w:rPr>
                      <w:rFonts w:ascii="Arial" w:eastAsia="Arial" w:hAnsi="Arial" w:cs="Arial"/>
                      <w:w w:val="56"/>
                      <w:sz w:val="17"/>
                      <w:szCs w:val="17"/>
                      <w:lang w:val="cs"/>
                    </w:rPr>
                    <w:t xml:space="preserve">..'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:1'.ii </w:t>
                  </w:r>
                  <w:r>
                    <w:rPr>
                      <w:rFonts w:ascii="Arial" w:eastAsia="Arial" w:hAnsi="Arial" w:cs="Arial"/>
                      <w:b/>
                      <w:w w:val="82"/>
                      <w:sz w:val="16"/>
                      <w:szCs w:val="16"/>
                      <w:lang w:val="cs"/>
                    </w:rPr>
                    <w:t xml:space="preserve">8h:oia</w:t>
                  </w:r>
                </w:p>
                <w:p>
                  <w:pPr>
                    <w:pStyle w:val="Style"/>
                    <w:spacing w:before="0" w:after="0" w:line="345" w:lineRule="atLeast"/>
                    <w:ind w:left="28" w:firstLine="0"/>
                    <w:textAlignment w:val="baseline"/>
                  </w:pPr>
                  <w:r>
                    <w:rPr>
                      <w:w w:val="52"/>
                      <w:sz w:val="46"/>
                      <w:szCs w:val="46"/>
                      <w:lang w:val="cs"/>
                    </w:rPr>
                    <w:t xml:space="preserve">....................... </w:t>
                  </w:r>
                  <w:r>
                    <w:rPr>
                      <w:w w:val="52"/>
                      <w:sz w:val="46"/>
                      <w:szCs w:val="46"/>
                      <w:lang w:val="cs"/>
                    </w:rPr>
                    <w:t xml:space="preserve">'M~;R·'.~::2i:ti</w:t>
                  </w:r>
                  <w:r>
                    <w:rPr>
                      <w:w w:val="81"/>
                      <w:sz w:val="46"/>
                      <w:szCs w:val="46"/>
                      <w:vertAlign w:val="superscript"/>
                      <w:lang w:val="cs"/>
                    </w:rPr>
                    <w:t xml:space="preserve">1</w:t>
                  </w:r>
                  <w:r>
                    <w:rPr>
                      <w:w w:val="50"/>
                      <w:sz w:val="48"/>
                      <w:szCs w:val="48"/>
                      <w:lang w:val="cs"/>
                    </w:rPr>
                    <w:t xml:space="preserve">:~(?'% </w:t>
                  </w:r>
                  <w:r>
                    <w:rPr>
                      <w:w w:val="109"/>
                      <w:sz w:val="19"/>
                      <w:szCs w:val="19"/>
                      <w:lang w:val="cs"/>
                    </w:rPr>
                    <w:t xml:space="preserve">!;Jo</w:t>
                  </w:r>
                </w:p>
                <w:p>
                  <w:pPr>
                    <w:pStyle w:val="Style"/>
                    <w:spacing w:before="0" w:after="0" w:line="264" w:lineRule="atLeast"/>
                    <w:ind w:left="79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kupujíd'ho/ 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  <w:lang w:val="cs"/>
                    </w:rPr>
                    <w:t xml:space="preserve">to: </w:t>
                  </w:r>
                  <w:r>
                    <w:rPr>
                      <w:rFonts w:ascii="Arial" w:eastAsia="Arial" w:hAnsi="Arial" w:cs="Arial"/>
                      <w:w w:val="129"/>
                      <w:sz w:val="10"/>
                      <w:szCs w:val="10"/>
                      <w:lang w:val="cs"/>
                    </w:rPr>
                    <w:t xml:space="preserve">L,).c. </w:t>
                  </w:r>
                  <w:r>
                    <w:rPr>
                      <w:rFonts w:ascii="Arial" w:eastAsia="Arial" w:hAnsi="Arial" w:cs="Arial"/>
                      <w:w w:val="129"/>
                      <w:sz w:val="10"/>
                      <w:szCs w:val="10"/>
                      <w:lang w:val="cs"/>
                    </w:rPr>
                    <w:t xml:space="preserve">'-·</w:t>
                  </w:r>
                  <w:r>
                    <w:rPr>
                      <w:rFonts w:ascii="Arial" w:eastAsia="Arial" w:hAnsi="Arial" w:cs="Arial"/>
                      <w:w w:val="129"/>
                      <w:sz w:val="10"/>
                      <w:szCs w:val="10"/>
                      <w:vertAlign w:val="superscript"/>
                      <w:lang w:val="cs"/>
                    </w:rPr>
                    <w:t xml:space="preserve">0 </w:t>
                  </w:r>
                  <w:r>
                    <w:rPr>
                      <w:rFonts w:ascii="Arial" w:eastAsia="Arial" w:hAnsi="Arial" w:cs="Arial"/>
                      <w:w w:val="171"/>
                      <w:sz w:val="10"/>
                      <w:szCs w:val="10"/>
                      <w:lang w:val="cs"/>
                    </w:rPr>
                    <w:t xml:space="preserve">,;;;~J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I]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4492625</wp:posOffset>
            </wp:positionH>
            <wp:positionV relativeFrom="margin">
              <wp:posOffset>6242685</wp:posOffset>
            </wp:positionV>
            <wp:extent cx="779780" cy="5607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220.800000pt;margin-top:740.200000pt;width:8.7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w w:val="108"/>
                      <w:sz w:val="23"/>
                      <w:szCs w:val="23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406" w:right="941" w:bottom="360" w:left="1185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1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2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3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4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5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6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7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numbering" Target="numbering.xml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2021-02-15T07:06:52Z</dcterms:created>
  <dcterms:modified xsi:type="dcterms:W3CDTF">2021-02-15T07:06:52Z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