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046680">
        <w:rPr>
          <w:rFonts w:ascii="Arial" w:eastAsiaTheme="minorHAnsi" w:hAnsi="Arial" w:cs="Arial"/>
          <w:b/>
          <w:szCs w:val="24"/>
          <w:lang w:eastAsia="en-US"/>
        </w:rPr>
        <w:t xml:space="preserve">Dodatek č. </w:t>
      </w:r>
      <w:r w:rsidR="00944AAF">
        <w:rPr>
          <w:rFonts w:ascii="Arial" w:eastAsiaTheme="minorHAnsi" w:hAnsi="Arial" w:cs="Arial"/>
          <w:b/>
          <w:szCs w:val="24"/>
          <w:lang w:eastAsia="en-US"/>
        </w:rPr>
        <w:t>1</w:t>
      </w:r>
    </w:p>
    <w:p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 xml:space="preserve">ke Smlouvě </w:t>
      </w:r>
      <w:r w:rsidR="00E30A31">
        <w:rPr>
          <w:rFonts w:ascii="Arial" w:eastAsiaTheme="minorHAnsi" w:hAnsi="Arial" w:cs="Arial"/>
          <w:b/>
          <w:sz w:val="20"/>
          <w:lang w:eastAsia="en-US"/>
        </w:rPr>
        <w:t>o přidělení a správě nezávislých čísel č. 2012/1477</w:t>
      </w:r>
      <w:r w:rsidR="00585801" w:rsidRPr="00046680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585801" w:rsidRPr="00F255EE">
        <w:rPr>
          <w:rFonts w:ascii="Arial" w:eastAsiaTheme="minorHAnsi" w:hAnsi="Arial" w:cs="Arial"/>
          <w:sz w:val="20"/>
          <w:lang w:eastAsia="en-US"/>
        </w:rPr>
        <w:t>uzavřené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E30A31">
        <w:rPr>
          <w:rFonts w:ascii="Arial" w:eastAsiaTheme="minorHAnsi" w:hAnsi="Arial" w:cs="Arial"/>
          <w:sz w:val="20"/>
          <w:lang w:eastAsia="en-US"/>
        </w:rPr>
        <w:t>31. 12. 2012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mezi níže uvedenými smluvními stranami</w:t>
      </w:r>
    </w:p>
    <w:p w:rsidR="001E4018" w:rsidRPr="001E4018" w:rsidRDefault="001E4018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1E4018">
        <w:rPr>
          <w:rFonts w:ascii="Arial" w:eastAsiaTheme="minorHAnsi" w:hAnsi="Arial" w:cs="Arial"/>
          <w:b/>
          <w:sz w:val="20"/>
          <w:lang w:eastAsia="en-US"/>
        </w:rPr>
        <w:t>ID VZ: 2000</w:t>
      </w:r>
      <w:r w:rsidR="00E30A31">
        <w:rPr>
          <w:rFonts w:ascii="Arial" w:eastAsiaTheme="minorHAnsi" w:hAnsi="Arial" w:cs="Arial"/>
          <w:b/>
          <w:sz w:val="20"/>
          <w:lang w:eastAsia="en-US"/>
        </w:rPr>
        <w:t>721</w:t>
      </w:r>
    </w:p>
    <w:p w:rsidR="00046680" w:rsidRPr="00046680" w:rsidRDefault="00046680" w:rsidP="009948BE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(dále jen „Smlouva” a „Dodatek č.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:rsidR="00046680" w:rsidRPr="00046680" w:rsidRDefault="00F06929" w:rsidP="00046680">
      <w:pPr>
        <w:spacing w:after="120" w:line="276" w:lineRule="auto"/>
        <w:contextualSpacing/>
        <w:jc w:val="left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T-Mobile Czech Republic a.s.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se sídlem: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F06929">
        <w:rPr>
          <w:rFonts w:ascii="Arial" w:eastAsia="Calibri" w:hAnsi="Arial" w:cs="Arial"/>
          <w:sz w:val="20"/>
          <w:lang w:eastAsia="en-US"/>
        </w:rPr>
        <w:t xml:space="preserve">Tomíčkova 2144/1, </w:t>
      </w:r>
      <w:r w:rsidR="009B43B8">
        <w:rPr>
          <w:rFonts w:ascii="Arial" w:eastAsia="Calibri" w:hAnsi="Arial" w:cs="Arial"/>
          <w:sz w:val="20"/>
          <w:lang w:eastAsia="en-US"/>
        </w:rPr>
        <w:t xml:space="preserve">Chodov, </w:t>
      </w:r>
      <w:r w:rsidR="00F06929">
        <w:rPr>
          <w:rFonts w:ascii="Arial" w:eastAsia="Calibri" w:hAnsi="Arial" w:cs="Arial"/>
          <w:sz w:val="20"/>
          <w:lang w:eastAsia="en-US"/>
        </w:rPr>
        <w:t>148 00 Praha 4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kterou zastupuje: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DD0879">
        <w:rPr>
          <w:rFonts w:ascii="Arial" w:eastAsia="Calibri" w:hAnsi="Arial" w:cs="Arial"/>
          <w:sz w:val="20"/>
          <w:lang w:eastAsia="en-US"/>
        </w:rPr>
        <w:t>XXXXXXXXXX, na základě pověření</w:t>
      </w:r>
    </w:p>
    <w:p w:rsidR="007C3976" w:rsidRPr="00046680" w:rsidRDefault="007C3976" w:rsidP="007C3976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IČO: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F06929">
        <w:rPr>
          <w:rFonts w:ascii="Arial" w:eastAsia="Calibri" w:hAnsi="Arial" w:cs="Arial"/>
          <w:sz w:val="20"/>
          <w:lang w:eastAsia="en-US"/>
        </w:rPr>
        <w:t>64949681</w:t>
      </w:r>
    </w:p>
    <w:p w:rsidR="007C3976" w:rsidRPr="00046680" w:rsidRDefault="007C3976" w:rsidP="007C3976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DIČ: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</w:t>
      </w:r>
      <w:r w:rsidR="00F06929">
        <w:rPr>
          <w:rFonts w:ascii="Arial" w:eastAsia="Calibri" w:hAnsi="Arial" w:cs="Arial"/>
          <w:sz w:val="20"/>
          <w:lang w:eastAsia="en-US"/>
        </w:rPr>
        <w:t>64949681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DD0879">
        <w:rPr>
          <w:rFonts w:ascii="Arial" w:eastAsia="Calibri" w:hAnsi="Arial" w:cs="Arial"/>
          <w:sz w:val="20"/>
          <w:lang w:eastAsia="en-US"/>
        </w:rPr>
        <w:t>XXXXXXXXXX</w:t>
      </w:r>
      <w:r w:rsidRPr="00046680">
        <w:rPr>
          <w:rFonts w:ascii="Arial" w:eastAsia="Calibri" w:hAnsi="Arial" w:cs="Arial"/>
          <w:sz w:val="20"/>
          <w:lang w:eastAsia="en-US"/>
        </w:rPr>
        <w:t xml:space="preserve"> </w:t>
      </w:r>
    </w:p>
    <w:p w:rsidR="00046680" w:rsidRPr="00046680" w:rsidRDefault="00612C1E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číslo účtu:</w:t>
      </w: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  <w:r w:rsidR="00DD0879">
        <w:rPr>
          <w:rFonts w:ascii="Arial" w:eastAsia="Calibri" w:hAnsi="Arial" w:cs="Arial"/>
          <w:sz w:val="20"/>
          <w:lang w:eastAsia="en-US"/>
        </w:rPr>
        <w:t>XXXXXXXXXX</w:t>
      </w:r>
    </w:p>
    <w:p w:rsidR="00046680" w:rsidRPr="00046680" w:rsidRDefault="002F590F" w:rsidP="00046680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Zapsaná v obchodním rejstříku vedeném Městským soudem v Praze, oddíl B vložka 3787</w:t>
      </w:r>
      <w:r w:rsidR="00046680" w:rsidRPr="00046680">
        <w:rPr>
          <w:rFonts w:ascii="Arial" w:eastAsia="Calibri" w:hAnsi="Arial" w:cs="Arial"/>
          <w:sz w:val="20"/>
          <w:lang w:eastAsia="en-US"/>
        </w:rPr>
        <w:br/>
      </w:r>
    </w:p>
    <w:p w:rsid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8A5ACD">
        <w:rPr>
          <w:rFonts w:ascii="Arial" w:eastAsiaTheme="minorHAnsi" w:hAnsi="Arial" w:cs="Arial"/>
          <w:b/>
          <w:sz w:val="20"/>
          <w:lang w:eastAsia="en-US"/>
        </w:rPr>
        <w:t>LIR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8A5ACD" w:rsidRDefault="008A5ACD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a</w:t>
      </w:r>
    </w:p>
    <w:p w:rsidR="008A5ACD" w:rsidRPr="00046680" w:rsidRDefault="008A5ACD" w:rsidP="008A5ACD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:rsidR="008A5ACD" w:rsidRPr="00046680" w:rsidRDefault="008A5ACD" w:rsidP="008A5ACD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:rsidR="008A5ACD" w:rsidRPr="00046680" w:rsidRDefault="008A5ACD" w:rsidP="008A5ACD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41197518</w:t>
      </w:r>
    </w:p>
    <w:p w:rsidR="008A5ACD" w:rsidRPr="00046680" w:rsidRDefault="008A5ACD" w:rsidP="008A5ACD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:rsidR="008A5ACD" w:rsidRPr="00046680" w:rsidRDefault="008A5ACD" w:rsidP="008A5ACD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DD0879">
        <w:rPr>
          <w:rFonts w:ascii="Arial" w:eastAsia="Calibri" w:hAnsi="Arial" w:cs="Arial"/>
          <w:sz w:val="20"/>
          <w:lang w:eastAsia="en-US"/>
        </w:rPr>
        <w:t>XXXXXXXXXX</w:t>
      </w:r>
    </w:p>
    <w:p w:rsidR="008A5ACD" w:rsidRPr="00046680" w:rsidRDefault="008A5ACD" w:rsidP="008A5ACD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číslo účtu: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DD0879">
        <w:rPr>
          <w:rFonts w:ascii="Arial" w:eastAsia="Calibri" w:hAnsi="Arial" w:cs="Arial"/>
          <w:sz w:val="20"/>
          <w:lang w:eastAsia="en-US"/>
        </w:rPr>
        <w:t>XXXXXXXXXX</w:t>
      </w:r>
    </w:p>
    <w:p w:rsidR="008A5ACD" w:rsidRPr="00046680" w:rsidRDefault="008A5ACD" w:rsidP="008A5ACD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:rsidR="008A5ACD" w:rsidRPr="00046680" w:rsidRDefault="008A5ACD" w:rsidP="008A5ACD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Pr="008A5ACD">
        <w:rPr>
          <w:rFonts w:ascii="Arial" w:eastAsiaTheme="minorHAnsi" w:hAnsi="Arial" w:cs="Arial"/>
          <w:b/>
          <w:sz w:val="20"/>
          <w:lang w:eastAsia="en-US"/>
        </w:rPr>
        <w:t>Koncový uživatel</w:t>
      </w:r>
      <w:r>
        <w:rPr>
          <w:rFonts w:ascii="Arial" w:eastAsiaTheme="minorHAnsi" w:hAnsi="Arial" w:cs="Arial"/>
          <w:sz w:val="20"/>
          <w:lang w:eastAsia="en-US"/>
        </w:rPr>
        <w:t>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Pr="008A5ACD">
        <w:rPr>
          <w:rFonts w:ascii="Arial" w:eastAsiaTheme="minorHAnsi" w:hAnsi="Arial" w:cs="Arial"/>
          <w:b/>
          <w:sz w:val="20"/>
          <w:lang w:eastAsia="en-US"/>
        </w:rPr>
        <w:t>VZP ČR</w:t>
      </w:r>
      <w:r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8A5ACD" w:rsidRPr="00046680" w:rsidRDefault="008A5ACD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p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:rsidR="00046680" w:rsidRPr="00046680" w:rsidRDefault="00046680" w:rsidP="00046680">
      <w:p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Předmětná Smlouva byla uzavřena mezi výše uvedenými </w:t>
      </w:r>
      <w:r w:rsidR="009B43B8">
        <w:rPr>
          <w:rFonts w:ascii="Arial" w:eastAsiaTheme="minorHAnsi" w:hAnsi="Arial" w:cs="Arial"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mluvními stranami dne </w:t>
      </w:r>
      <w:r w:rsidR="008A5ACD">
        <w:rPr>
          <w:rFonts w:ascii="Arial" w:eastAsiaTheme="minorHAnsi" w:hAnsi="Arial" w:cs="Arial"/>
          <w:sz w:val="20"/>
          <w:lang w:eastAsia="en-US"/>
        </w:rPr>
        <w:t>31. 12. 2012.</w:t>
      </w:r>
      <w:r w:rsidRPr="00AE19C7">
        <w:rPr>
          <w:rFonts w:ascii="Arial" w:eastAsiaTheme="minorHAnsi" w:hAnsi="Arial" w:cs="Arial"/>
          <w:sz w:val="20"/>
          <w:lang w:eastAsia="en-US"/>
        </w:rPr>
        <w:t xml:space="preserve"> </w:t>
      </w:r>
      <w:r w:rsidR="00AE19C7" w:rsidRPr="00AE19C7">
        <w:rPr>
          <w:rFonts w:ascii="Arial" w:eastAsiaTheme="minorHAnsi" w:hAnsi="Arial" w:cs="Arial"/>
          <w:sz w:val="20"/>
          <w:lang w:eastAsia="en-US"/>
        </w:rPr>
        <w:t xml:space="preserve">Na základě ustanovení odst. </w:t>
      </w:r>
      <w:r w:rsidR="008A5ACD">
        <w:rPr>
          <w:rFonts w:ascii="Arial" w:eastAsiaTheme="minorHAnsi" w:hAnsi="Arial" w:cs="Arial"/>
          <w:sz w:val="20"/>
          <w:lang w:eastAsia="en-US"/>
        </w:rPr>
        <w:t>11.6</w:t>
      </w:r>
      <w:r w:rsidR="004B03B5" w:rsidRPr="00AE19C7">
        <w:rPr>
          <w:rFonts w:ascii="Arial" w:eastAsiaTheme="minorHAnsi" w:hAnsi="Arial" w:cs="Arial"/>
          <w:sz w:val="20"/>
          <w:lang w:eastAsia="en-US"/>
        </w:rPr>
        <w:t>.</w:t>
      </w:r>
      <w:r w:rsidR="008A5ACD">
        <w:rPr>
          <w:rFonts w:ascii="Arial" w:eastAsiaTheme="minorHAnsi" w:hAnsi="Arial" w:cs="Arial"/>
          <w:sz w:val="20"/>
          <w:lang w:eastAsia="en-US"/>
        </w:rPr>
        <w:t>,</w:t>
      </w:r>
      <w:r w:rsidR="004B03B5" w:rsidRPr="00AE19C7">
        <w:rPr>
          <w:rFonts w:ascii="Arial" w:eastAsiaTheme="minorHAnsi" w:hAnsi="Arial" w:cs="Arial"/>
          <w:sz w:val="20"/>
          <w:lang w:eastAsia="en-US"/>
        </w:rPr>
        <w:t xml:space="preserve"> </w:t>
      </w:r>
      <w:r w:rsidR="008A5ACD">
        <w:rPr>
          <w:rFonts w:ascii="Arial" w:eastAsiaTheme="minorHAnsi" w:hAnsi="Arial" w:cs="Arial"/>
          <w:sz w:val="20"/>
          <w:lang w:eastAsia="en-US"/>
        </w:rPr>
        <w:t>Článek - 11</w:t>
      </w:r>
      <w:r w:rsidR="004B03B5" w:rsidRPr="00AE19C7">
        <w:rPr>
          <w:rFonts w:ascii="Arial" w:eastAsiaTheme="minorHAnsi" w:hAnsi="Arial" w:cs="Arial"/>
          <w:sz w:val="20"/>
          <w:lang w:eastAsia="en-US"/>
        </w:rPr>
        <w:t xml:space="preserve"> </w:t>
      </w:r>
      <w:r w:rsidR="00F561C1" w:rsidRPr="00AE19C7">
        <w:rPr>
          <w:rFonts w:ascii="Arial" w:eastAsiaTheme="minorHAnsi" w:hAnsi="Arial" w:cs="Arial"/>
          <w:sz w:val="20"/>
          <w:lang w:eastAsia="en-US"/>
        </w:rPr>
        <w:t>Smlouvy</w:t>
      </w:r>
      <w:r w:rsidRPr="00AE19C7">
        <w:rPr>
          <w:rFonts w:ascii="Arial" w:eastAsia="Calibri" w:hAnsi="Arial" w:cs="Arial"/>
          <w:sz w:val="20"/>
          <w:lang w:eastAsia="en-US"/>
        </w:rPr>
        <w:t xml:space="preserve"> uzavírají </w:t>
      </w:r>
      <w:r w:rsidR="009B43B8">
        <w:rPr>
          <w:rFonts w:ascii="Arial" w:eastAsia="Calibri" w:hAnsi="Arial" w:cs="Arial"/>
          <w:sz w:val="20"/>
          <w:lang w:eastAsia="en-US"/>
        </w:rPr>
        <w:t>S</w:t>
      </w:r>
      <w:r w:rsidRPr="00AE19C7">
        <w:rPr>
          <w:rFonts w:ascii="Arial" w:eastAsia="Calibri" w:hAnsi="Arial" w:cs="Arial"/>
          <w:sz w:val="20"/>
          <w:lang w:eastAsia="en-US"/>
        </w:rPr>
        <w:t xml:space="preserve">mluvní strany ke Smlouvě tento Dodatek č. </w:t>
      </w:r>
      <w:r w:rsidR="00236283" w:rsidRPr="00AE19C7">
        <w:rPr>
          <w:rFonts w:ascii="Arial" w:eastAsia="Calibri" w:hAnsi="Arial" w:cs="Arial"/>
          <w:sz w:val="20"/>
          <w:lang w:eastAsia="en-US"/>
        </w:rPr>
        <w:t>1</w:t>
      </w:r>
      <w:r w:rsidRPr="00AE19C7">
        <w:rPr>
          <w:rFonts w:ascii="Arial" w:eastAsia="Calibri" w:hAnsi="Arial" w:cs="Arial"/>
          <w:sz w:val="20"/>
          <w:lang w:eastAsia="en-US"/>
        </w:rPr>
        <w:t>.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046680" w:rsidRDefault="00046680" w:rsidP="00046680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Změna Smlouvy</w:t>
      </w:r>
    </w:p>
    <w:p w:rsidR="00046680" w:rsidRPr="00046680" w:rsidRDefault="00046680" w:rsidP="00046680">
      <w:pPr>
        <w:spacing w:after="200" w:line="276" w:lineRule="auto"/>
        <w:ind w:left="720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:rsidR="00046680" w:rsidRDefault="004D3A94" w:rsidP="00867116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U o</w:t>
      </w:r>
      <w:r w:rsidR="00236283">
        <w:rPr>
          <w:rFonts w:ascii="Arial" w:eastAsiaTheme="minorHAnsi" w:hAnsi="Arial" w:cs="Arial"/>
          <w:sz w:val="20"/>
          <w:lang w:eastAsia="en-US"/>
        </w:rPr>
        <w:t xml:space="preserve">značení </w:t>
      </w:r>
      <w:r w:rsidR="00E30A31">
        <w:rPr>
          <w:rFonts w:ascii="Arial" w:eastAsiaTheme="minorHAnsi" w:hAnsi="Arial" w:cs="Arial"/>
          <w:sz w:val="20"/>
          <w:lang w:eastAsia="en-US"/>
        </w:rPr>
        <w:t>LIR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  <w:r w:rsidR="00C02C0A">
        <w:rPr>
          <w:rFonts w:ascii="Arial" w:eastAsiaTheme="minorHAnsi" w:hAnsi="Arial" w:cs="Arial"/>
          <w:sz w:val="20"/>
          <w:lang w:eastAsia="en-US"/>
        </w:rPr>
        <w:t xml:space="preserve">v záhlaví </w:t>
      </w:r>
      <w:r w:rsidR="009B43B8">
        <w:rPr>
          <w:rFonts w:ascii="Arial" w:eastAsiaTheme="minorHAnsi" w:hAnsi="Arial" w:cs="Arial"/>
          <w:sz w:val="20"/>
          <w:lang w:eastAsia="en-US"/>
        </w:rPr>
        <w:t>S</w:t>
      </w:r>
      <w:r w:rsidR="00C02C0A">
        <w:rPr>
          <w:rFonts w:ascii="Arial" w:eastAsiaTheme="minorHAnsi" w:hAnsi="Arial" w:cs="Arial"/>
          <w:sz w:val="20"/>
          <w:lang w:eastAsia="en-US"/>
        </w:rPr>
        <w:t>mlouvy se</w:t>
      </w:r>
      <w:r>
        <w:rPr>
          <w:rFonts w:ascii="Arial" w:eastAsiaTheme="minorHAnsi" w:hAnsi="Arial" w:cs="Arial"/>
          <w:sz w:val="20"/>
          <w:lang w:eastAsia="en-US"/>
        </w:rPr>
        <w:t xml:space="preserve"> bankovní spojení a číslo</w:t>
      </w:r>
      <w:r w:rsidR="00C02C0A">
        <w:rPr>
          <w:rFonts w:ascii="Arial" w:eastAsiaTheme="minorHAnsi" w:hAnsi="Arial" w:cs="Arial"/>
          <w:sz w:val="20"/>
          <w:lang w:eastAsia="en-US"/>
        </w:rPr>
        <w:t xml:space="preserve"> účtu</w:t>
      </w:r>
      <w:r w:rsidR="00DD0B31">
        <w:rPr>
          <w:rFonts w:ascii="Arial" w:eastAsiaTheme="minorHAnsi" w:hAnsi="Arial" w:cs="Arial"/>
          <w:sz w:val="20"/>
          <w:lang w:eastAsia="en-US"/>
        </w:rPr>
        <w:t xml:space="preserve"> nahrazuje</w:t>
      </w:r>
      <w:r w:rsidR="00C02C0A">
        <w:rPr>
          <w:rFonts w:ascii="Arial" w:eastAsiaTheme="minorHAnsi" w:hAnsi="Arial" w:cs="Arial"/>
          <w:sz w:val="20"/>
          <w:lang w:eastAsia="en-US"/>
        </w:rPr>
        <w:t xml:space="preserve"> následujícím způsobem:</w:t>
      </w:r>
    </w:p>
    <w:p w:rsidR="00652049" w:rsidRPr="00DD1EB5" w:rsidRDefault="00652049" w:rsidP="009948BE">
      <w:pPr>
        <w:spacing w:after="120" w:line="276" w:lineRule="auto"/>
        <w:ind w:left="426"/>
        <w:contextualSpacing/>
        <w:jc w:val="left"/>
        <w:rPr>
          <w:rFonts w:ascii="Arial" w:eastAsia="Calibri" w:hAnsi="Arial" w:cs="Arial"/>
          <w:i/>
          <w:sz w:val="20"/>
          <w:lang w:eastAsia="en-US"/>
        </w:rPr>
      </w:pPr>
      <w:r w:rsidRPr="009948BE">
        <w:rPr>
          <w:rFonts w:ascii="Arial" w:eastAsia="Calibri" w:hAnsi="Arial" w:cs="Arial"/>
          <w:sz w:val="20"/>
          <w:lang w:eastAsia="en-US"/>
        </w:rPr>
        <w:t>bankovní spojení</w:t>
      </w:r>
      <w:r w:rsidRPr="00DD1EB5">
        <w:rPr>
          <w:rFonts w:ascii="Arial" w:eastAsia="Calibri" w:hAnsi="Arial" w:cs="Arial"/>
          <w:i/>
          <w:sz w:val="20"/>
          <w:lang w:eastAsia="en-US"/>
        </w:rPr>
        <w:t>:</w:t>
      </w:r>
      <w:r w:rsidRPr="00DD1EB5">
        <w:rPr>
          <w:rFonts w:ascii="Arial" w:eastAsia="Calibri" w:hAnsi="Arial" w:cs="Arial"/>
          <w:i/>
          <w:sz w:val="20"/>
          <w:lang w:eastAsia="en-US"/>
        </w:rPr>
        <w:tab/>
      </w:r>
      <w:r w:rsidR="00DD0879">
        <w:rPr>
          <w:rFonts w:ascii="Arial" w:eastAsia="Calibri" w:hAnsi="Arial" w:cs="Arial"/>
          <w:i/>
          <w:sz w:val="20"/>
          <w:lang w:eastAsia="en-US"/>
        </w:rPr>
        <w:t>XXXXXXXXXX</w:t>
      </w:r>
      <w:r w:rsidR="00C02C0A">
        <w:rPr>
          <w:rFonts w:ascii="Arial" w:eastAsia="Calibri" w:hAnsi="Arial" w:cs="Arial"/>
          <w:i/>
          <w:sz w:val="20"/>
          <w:lang w:eastAsia="en-US"/>
        </w:rPr>
        <w:t xml:space="preserve"> </w:t>
      </w:r>
      <w:r w:rsidR="00C02C0A" w:rsidRPr="009948BE">
        <w:rPr>
          <w:rFonts w:ascii="Arial" w:eastAsia="Calibri" w:hAnsi="Arial" w:cs="Arial"/>
          <w:sz w:val="20"/>
          <w:lang w:eastAsia="en-US"/>
        </w:rPr>
        <w:t>se nahrazuje</w:t>
      </w:r>
      <w:r w:rsidR="00F06929">
        <w:rPr>
          <w:rFonts w:ascii="Arial" w:eastAsia="Calibri" w:hAnsi="Arial" w:cs="Arial"/>
          <w:sz w:val="20"/>
          <w:lang w:eastAsia="en-US"/>
        </w:rPr>
        <w:t xml:space="preserve">: </w:t>
      </w:r>
      <w:r w:rsidR="00DD0879">
        <w:rPr>
          <w:rFonts w:ascii="Arial" w:eastAsia="Calibri" w:hAnsi="Arial" w:cs="Arial"/>
          <w:i/>
          <w:sz w:val="20"/>
          <w:lang w:eastAsia="en-US"/>
        </w:rPr>
        <w:t>XXXXXXXXXX</w:t>
      </w:r>
      <w:r w:rsidRPr="00DD1EB5">
        <w:rPr>
          <w:rFonts w:ascii="Arial" w:eastAsia="Calibri" w:hAnsi="Arial" w:cs="Arial"/>
          <w:i/>
          <w:sz w:val="20"/>
          <w:lang w:eastAsia="en-US"/>
        </w:rPr>
        <w:t xml:space="preserve"> </w:t>
      </w:r>
    </w:p>
    <w:p w:rsidR="00652049" w:rsidRDefault="00652049" w:rsidP="00652049">
      <w:pPr>
        <w:spacing w:after="120" w:line="276" w:lineRule="auto"/>
        <w:ind w:firstLine="426"/>
        <w:contextualSpacing/>
        <w:jc w:val="left"/>
        <w:rPr>
          <w:rFonts w:ascii="Arial" w:eastAsia="Calibri" w:hAnsi="Arial" w:cs="Arial"/>
          <w:i/>
          <w:sz w:val="20"/>
          <w:lang w:eastAsia="en-US"/>
        </w:rPr>
      </w:pPr>
      <w:r w:rsidRPr="009948BE">
        <w:rPr>
          <w:rFonts w:ascii="Arial" w:eastAsia="Calibri" w:hAnsi="Arial" w:cs="Arial"/>
          <w:sz w:val="20"/>
          <w:lang w:eastAsia="en-US"/>
        </w:rPr>
        <w:t>číslo účtu:</w:t>
      </w:r>
      <w:r w:rsidRPr="00DD1EB5">
        <w:rPr>
          <w:rFonts w:ascii="Arial" w:eastAsia="Calibri" w:hAnsi="Arial" w:cs="Arial"/>
          <w:i/>
          <w:sz w:val="20"/>
          <w:lang w:eastAsia="en-US"/>
        </w:rPr>
        <w:tab/>
      </w:r>
      <w:r w:rsidR="00DD0879">
        <w:rPr>
          <w:rFonts w:ascii="Arial" w:eastAsia="Calibri" w:hAnsi="Arial" w:cs="Arial"/>
          <w:i/>
          <w:sz w:val="20"/>
          <w:lang w:eastAsia="en-US"/>
        </w:rPr>
        <w:t>XXXXXXXXXX</w:t>
      </w:r>
      <w:r w:rsidR="00C02C0A">
        <w:rPr>
          <w:rFonts w:ascii="Arial" w:eastAsia="Calibri" w:hAnsi="Arial" w:cs="Arial"/>
          <w:i/>
          <w:sz w:val="20"/>
          <w:lang w:eastAsia="en-US"/>
        </w:rPr>
        <w:t xml:space="preserve"> </w:t>
      </w:r>
      <w:r w:rsidR="00C02C0A" w:rsidRPr="009948BE">
        <w:rPr>
          <w:rFonts w:ascii="Arial" w:eastAsia="Calibri" w:hAnsi="Arial" w:cs="Arial"/>
          <w:sz w:val="20"/>
          <w:lang w:eastAsia="en-US"/>
        </w:rPr>
        <w:t>se nahrazuje</w:t>
      </w:r>
      <w:r w:rsidR="00C02C0A">
        <w:rPr>
          <w:rFonts w:ascii="Arial" w:eastAsia="Calibri" w:hAnsi="Arial" w:cs="Arial"/>
          <w:i/>
          <w:sz w:val="20"/>
          <w:lang w:eastAsia="en-US"/>
        </w:rPr>
        <w:t xml:space="preserve"> </w:t>
      </w:r>
      <w:r w:rsidR="00DD0879">
        <w:rPr>
          <w:rFonts w:ascii="Arial" w:eastAsia="Calibri" w:hAnsi="Arial" w:cs="Arial"/>
          <w:i/>
          <w:sz w:val="20"/>
          <w:lang w:eastAsia="en-US"/>
        </w:rPr>
        <w:t>XXXXXXXXXX</w:t>
      </w:r>
      <w:r w:rsidR="00931C96">
        <w:rPr>
          <w:rFonts w:ascii="Arial" w:eastAsia="Calibri" w:hAnsi="Arial" w:cs="Arial"/>
          <w:i/>
          <w:sz w:val="20"/>
          <w:lang w:eastAsia="en-US"/>
        </w:rPr>
        <w:t>.</w:t>
      </w:r>
    </w:p>
    <w:p w:rsidR="001E4018" w:rsidRDefault="001E4018" w:rsidP="00652049">
      <w:pPr>
        <w:spacing w:after="120" w:line="276" w:lineRule="auto"/>
        <w:ind w:firstLine="426"/>
        <w:contextualSpacing/>
        <w:jc w:val="left"/>
        <w:rPr>
          <w:rFonts w:ascii="Arial" w:eastAsia="Calibri" w:hAnsi="Arial" w:cs="Arial"/>
          <w:i/>
          <w:sz w:val="20"/>
          <w:lang w:eastAsia="en-US"/>
        </w:rPr>
      </w:pPr>
    </w:p>
    <w:p w:rsidR="001E4018" w:rsidRDefault="001E4018" w:rsidP="001E4018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lastRenderedPageBreak/>
        <w:t xml:space="preserve">U označení </w:t>
      </w:r>
      <w:r w:rsidR="00E30A31">
        <w:rPr>
          <w:rFonts w:ascii="Arial" w:eastAsiaTheme="minorHAnsi" w:hAnsi="Arial" w:cs="Arial"/>
          <w:sz w:val="20"/>
          <w:lang w:eastAsia="en-US"/>
        </w:rPr>
        <w:t>Koncového uživatele</w:t>
      </w:r>
      <w:r>
        <w:rPr>
          <w:rFonts w:ascii="Arial" w:eastAsiaTheme="minorHAnsi" w:hAnsi="Arial" w:cs="Arial"/>
          <w:sz w:val="20"/>
          <w:lang w:eastAsia="en-US"/>
        </w:rPr>
        <w:t xml:space="preserve"> v záhlaví </w:t>
      </w:r>
      <w:r w:rsidR="009B43B8">
        <w:rPr>
          <w:rFonts w:ascii="Arial" w:eastAsiaTheme="minorHAnsi" w:hAnsi="Arial" w:cs="Arial"/>
          <w:sz w:val="20"/>
          <w:lang w:eastAsia="en-US"/>
        </w:rPr>
        <w:t>S</w:t>
      </w:r>
      <w:r>
        <w:rPr>
          <w:rFonts w:ascii="Arial" w:eastAsiaTheme="minorHAnsi" w:hAnsi="Arial" w:cs="Arial"/>
          <w:sz w:val="20"/>
          <w:lang w:eastAsia="en-US"/>
        </w:rPr>
        <w:t>mlouvy se bankovní spojení a číslo účtu nahrazuje následujícím způsobem:</w:t>
      </w:r>
    </w:p>
    <w:p w:rsidR="001E4018" w:rsidRPr="001E4018" w:rsidRDefault="001E4018" w:rsidP="001E4018">
      <w:pPr>
        <w:spacing w:after="120" w:line="276" w:lineRule="auto"/>
        <w:ind w:left="426"/>
        <w:contextualSpacing/>
        <w:rPr>
          <w:rFonts w:ascii="Arial" w:eastAsia="Calibri" w:hAnsi="Arial" w:cs="Arial"/>
          <w:i/>
          <w:sz w:val="20"/>
          <w:lang w:eastAsia="en-US"/>
        </w:rPr>
      </w:pPr>
      <w:r w:rsidRPr="009948BE">
        <w:rPr>
          <w:rFonts w:ascii="Arial" w:eastAsia="Calibri" w:hAnsi="Arial" w:cs="Arial"/>
          <w:sz w:val="20"/>
          <w:lang w:eastAsia="en-US"/>
        </w:rPr>
        <w:t>bankovní spojení</w:t>
      </w:r>
      <w:r w:rsidRPr="00DD1EB5">
        <w:rPr>
          <w:rFonts w:ascii="Arial" w:eastAsia="Calibri" w:hAnsi="Arial" w:cs="Arial"/>
          <w:i/>
          <w:sz w:val="20"/>
          <w:lang w:eastAsia="en-US"/>
        </w:rPr>
        <w:t>:</w:t>
      </w:r>
      <w:r w:rsidRPr="00DD1EB5">
        <w:rPr>
          <w:rFonts w:ascii="Arial" w:eastAsia="Calibri" w:hAnsi="Arial" w:cs="Arial"/>
          <w:i/>
          <w:sz w:val="20"/>
          <w:lang w:eastAsia="en-US"/>
        </w:rPr>
        <w:tab/>
      </w:r>
      <w:r w:rsidR="00DD0879">
        <w:rPr>
          <w:rFonts w:ascii="Arial" w:eastAsia="Calibri" w:hAnsi="Arial" w:cs="Arial"/>
          <w:i/>
          <w:sz w:val="20"/>
          <w:lang w:eastAsia="en-US"/>
        </w:rPr>
        <w:t>XXXXXXXXXX</w:t>
      </w:r>
      <w:r>
        <w:rPr>
          <w:rFonts w:ascii="Arial" w:eastAsia="Calibri" w:hAnsi="Arial" w:cs="Arial"/>
          <w:i/>
          <w:sz w:val="20"/>
          <w:lang w:eastAsia="en-US"/>
        </w:rPr>
        <w:t xml:space="preserve"> </w:t>
      </w:r>
      <w:r w:rsidRPr="009948BE">
        <w:rPr>
          <w:rFonts w:ascii="Arial" w:eastAsia="Calibri" w:hAnsi="Arial" w:cs="Arial"/>
          <w:sz w:val="20"/>
          <w:lang w:eastAsia="en-US"/>
        </w:rPr>
        <w:t>se nahrazuje</w:t>
      </w:r>
      <w:r>
        <w:rPr>
          <w:rFonts w:ascii="Arial" w:eastAsia="Calibri" w:hAnsi="Arial" w:cs="Arial"/>
          <w:sz w:val="20"/>
          <w:lang w:eastAsia="en-US"/>
        </w:rPr>
        <w:t xml:space="preserve">: </w:t>
      </w:r>
      <w:r w:rsidR="00DD0879">
        <w:rPr>
          <w:rFonts w:ascii="Arial" w:eastAsia="Calibri" w:hAnsi="Arial" w:cs="Arial"/>
          <w:i/>
          <w:sz w:val="20"/>
          <w:lang w:eastAsia="en-US"/>
        </w:rPr>
        <w:t>XXXXXXXXXX</w:t>
      </w:r>
    </w:p>
    <w:p w:rsidR="001E4018" w:rsidRDefault="001E4018" w:rsidP="001E4018">
      <w:pPr>
        <w:spacing w:after="120" w:line="276" w:lineRule="auto"/>
        <w:ind w:firstLine="426"/>
        <w:contextualSpacing/>
        <w:rPr>
          <w:rFonts w:ascii="Arial" w:eastAsia="Calibri" w:hAnsi="Arial" w:cs="Arial"/>
          <w:i/>
          <w:sz w:val="20"/>
          <w:lang w:eastAsia="en-US"/>
        </w:rPr>
      </w:pPr>
      <w:r w:rsidRPr="009948BE">
        <w:rPr>
          <w:rFonts w:ascii="Arial" w:eastAsia="Calibri" w:hAnsi="Arial" w:cs="Arial"/>
          <w:sz w:val="20"/>
          <w:lang w:eastAsia="en-US"/>
        </w:rPr>
        <w:t>číslo účtu:</w:t>
      </w:r>
      <w:r w:rsidRPr="00DD1EB5">
        <w:rPr>
          <w:rFonts w:ascii="Arial" w:eastAsia="Calibri" w:hAnsi="Arial" w:cs="Arial"/>
          <w:i/>
          <w:sz w:val="20"/>
          <w:lang w:eastAsia="en-US"/>
        </w:rPr>
        <w:tab/>
      </w:r>
      <w:r w:rsidR="00DD0879">
        <w:rPr>
          <w:rFonts w:ascii="Arial" w:eastAsia="Calibri" w:hAnsi="Arial" w:cs="Arial"/>
          <w:i/>
          <w:sz w:val="20"/>
          <w:lang w:eastAsia="en-US"/>
        </w:rPr>
        <w:t>XXXXXXXXXX</w:t>
      </w:r>
      <w:r>
        <w:rPr>
          <w:rFonts w:ascii="Arial" w:eastAsia="Calibri" w:hAnsi="Arial" w:cs="Arial"/>
          <w:i/>
          <w:sz w:val="20"/>
          <w:lang w:eastAsia="en-US"/>
        </w:rPr>
        <w:t xml:space="preserve"> </w:t>
      </w:r>
      <w:r w:rsidRPr="009948BE">
        <w:rPr>
          <w:rFonts w:ascii="Arial" w:eastAsia="Calibri" w:hAnsi="Arial" w:cs="Arial"/>
          <w:sz w:val="20"/>
          <w:lang w:eastAsia="en-US"/>
        </w:rPr>
        <w:t>se nahrazuje</w:t>
      </w:r>
      <w:r>
        <w:rPr>
          <w:rFonts w:ascii="Arial" w:eastAsia="Calibri" w:hAnsi="Arial" w:cs="Arial"/>
          <w:i/>
          <w:sz w:val="20"/>
          <w:lang w:eastAsia="en-US"/>
        </w:rPr>
        <w:t xml:space="preserve"> </w:t>
      </w:r>
      <w:r w:rsidR="00DD0879">
        <w:rPr>
          <w:rFonts w:ascii="Arial" w:eastAsia="Calibri" w:hAnsi="Arial" w:cs="Arial"/>
          <w:i/>
          <w:sz w:val="20"/>
          <w:lang w:eastAsia="en-US"/>
        </w:rPr>
        <w:t>XXXXXXXXXX</w:t>
      </w:r>
      <w:r>
        <w:rPr>
          <w:rFonts w:ascii="Arial" w:eastAsia="Calibri" w:hAnsi="Arial" w:cs="Arial"/>
          <w:i/>
          <w:sz w:val="20"/>
          <w:lang w:eastAsia="en-US"/>
        </w:rPr>
        <w:t>.</w:t>
      </w:r>
    </w:p>
    <w:p w:rsidR="001E4018" w:rsidRDefault="001E4018" w:rsidP="001E4018">
      <w:pPr>
        <w:spacing w:after="120" w:line="276" w:lineRule="auto"/>
        <w:ind w:firstLine="426"/>
        <w:contextualSpacing/>
        <w:rPr>
          <w:rFonts w:ascii="Arial" w:eastAsia="Calibri" w:hAnsi="Arial" w:cs="Arial"/>
          <w:i/>
          <w:sz w:val="20"/>
          <w:lang w:eastAsia="en-US"/>
        </w:rPr>
      </w:pPr>
    </w:p>
    <w:p w:rsidR="00236283" w:rsidRDefault="00DD0B31" w:rsidP="009948BE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V ostatním zůstává označení </w:t>
      </w:r>
      <w:r w:rsidR="00E30A31">
        <w:rPr>
          <w:rFonts w:ascii="Arial" w:eastAsiaTheme="minorHAnsi" w:hAnsi="Arial" w:cs="Arial"/>
          <w:sz w:val="20"/>
          <w:lang w:eastAsia="en-US"/>
        </w:rPr>
        <w:t>LIR</w:t>
      </w:r>
      <w:r w:rsidR="001E4018">
        <w:rPr>
          <w:rFonts w:ascii="Arial" w:eastAsiaTheme="minorHAnsi" w:hAnsi="Arial" w:cs="Arial"/>
          <w:sz w:val="20"/>
          <w:lang w:eastAsia="en-US"/>
        </w:rPr>
        <w:t xml:space="preserve"> a </w:t>
      </w:r>
      <w:r w:rsidR="00E30A31">
        <w:rPr>
          <w:rFonts w:ascii="Arial" w:eastAsiaTheme="minorHAnsi" w:hAnsi="Arial" w:cs="Arial"/>
          <w:sz w:val="20"/>
          <w:lang w:eastAsia="en-US"/>
        </w:rPr>
        <w:t>Koncového uživatele</w:t>
      </w:r>
      <w:r>
        <w:rPr>
          <w:rFonts w:ascii="Arial" w:eastAsiaTheme="minorHAnsi" w:hAnsi="Arial" w:cs="Arial"/>
          <w:sz w:val="20"/>
          <w:lang w:eastAsia="en-US"/>
        </w:rPr>
        <w:t xml:space="preserve"> beze změn.</w:t>
      </w:r>
    </w:p>
    <w:p w:rsidR="00723D0A" w:rsidRDefault="00723D0A" w:rsidP="00723D0A">
      <w:pPr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:rsidR="00046680" w:rsidRDefault="00046680" w:rsidP="00167989">
      <w:pPr>
        <w:numPr>
          <w:ilvl w:val="0"/>
          <w:numId w:val="33"/>
        </w:numPr>
        <w:spacing w:after="120" w:line="276" w:lineRule="auto"/>
        <w:ind w:left="714" w:hanging="357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:rsidR="00046680" w:rsidRPr="00046680" w:rsidRDefault="00046680" w:rsidP="00046680">
      <w:pPr>
        <w:pStyle w:val="Odrazkac"/>
        <w:numPr>
          <w:ilvl w:val="0"/>
          <w:numId w:val="35"/>
        </w:numPr>
        <w:spacing w:after="120" w:line="276" w:lineRule="auto"/>
        <w:rPr>
          <w:rFonts w:ascii="Arial" w:hAnsi="Arial" w:cs="Arial"/>
          <w:sz w:val="20"/>
        </w:rPr>
      </w:pPr>
      <w:r w:rsidRPr="00046680">
        <w:rPr>
          <w:rFonts w:ascii="Arial" w:hAnsi="Arial" w:cs="Arial"/>
          <w:sz w:val="20"/>
        </w:rPr>
        <w:t xml:space="preserve">Tento Dodatek č. </w:t>
      </w:r>
      <w:r w:rsidR="00867116">
        <w:rPr>
          <w:rFonts w:ascii="Arial" w:hAnsi="Arial" w:cs="Arial"/>
          <w:sz w:val="20"/>
        </w:rPr>
        <w:t>1</w:t>
      </w:r>
      <w:r w:rsidRPr="00046680">
        <w:rPr>
          <w:rFonts w:ascii="Arial" w:hAnsi="Arial" w:cs="Arial"/>
          <w:sz w:val="20"/>
        </w:rPr>
        <w:t xml:space="preserve"> nabývá platnosti dnem podpisu poslední </w:t>
      </w:r>
      <w:r w:rsidR="009B43B8">
        <w:rPr>
          <w:rFonts w:ascii="Arial" w:hAnsi="Arial" w:cs="Arial"/>
          <w:sz w:val="20"/>
        </w:rPr>
        <w:t>S</w:t>
      </w:r>
      <w:r w:rsidR="007C3976">
        <w:rPr>
          <w:rFonts w:ascii="Arial" w:hAnsi="Arial" w:cs="Arial"/>
          <w:sz w:val="20"/>
        </w:rPr>
        <w:t>mluvní stranou</w:t>
      </w:r>
      <w:r w:rsidR="00C02C0A">
        <w:rPr>
          <w:rFonts w:ascii="Arial" w:hAnsi="Arial" w:cs="Arial"/>
          <w:sz w:val="20"/>
        </w:rPr>
        <w:t xml:space="preserve"> a účinnosti dnem uveřejnění tohoto Dodatku č. 1 prostřednictvím registru smluv</w:t>
      </w:r>
      <w:r w:rsidR="007C3976">
        <w:rPr>
          <w:rFonts w:ascii="Arial" w:hAnsi="Arial" w:cs="Arial"/>
          <w:sz w:val="20"/>
        </w:rPr>
        <w:t>.</w:t>
      </w:r>
    </w:p>
    <w:p w:rsidR="000E0B54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0E0B54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se stává nedílnou součástí Smlouvy. Veškerá ujednání Smlouvy, která nejsou výslovně změněna tímto Dodatkem č</w:t>
      </w:r>
      <w:r w:rsidR="00FB6BD3">
        <w:rPr>
          <w:rFonts w:ascii="Arial" w:eastAsiaTheme="minorHAnsi" w:hAnsi="Arial" w:cs="Arial"/>
          <w:sz w:val="20"/>
          <w:lang w:eastAsia="en-US"/>
        </w:rPr>
        <w:t>.</w:t>
      </w:r>
      <w:r w:rsidR="00CE153A">
        <w:rPr>
          <w:rFonts w:ascii="Arial" w:eastAsiaTheme="minorHAnsi" w:hAnsi="Arial" w:cs="Arial"/>
          <w:sz w:val="20"/>
          <w:lang w:eastAsia="en-US"/>
        </w:rPr>
        <w:t xml:space="preserve">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E0B54">
        <w:rPr>
          <w:rFonts w:ascii="Arial" w:eastAsiaTheme="minorHAnsi" w:hAnsi="Arial" w:cs="Arial"/>
          <w:sz w:val="20"/>
          <w:lang w:eastAsia="en-US"/>
        </w:rPr>
        <w:t>, zůstávají nadále platná a účinná</w:t>
      </w:r>
      <w:r w:rsidR="000E0B54">
        <w:rPr>
          <w:rFonts w:ascii="Arial" w:eastAsiaTheme="minorHAnsi" w:hAnsi="Arial" w:cs="Arial"/>
          <w:sz w:val="20"/>
          <w:lang w:eastAsia="en-US"/>
        </w:rPr>
        <w:t>.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046680" w:rsidRPr="00867116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67116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867116" w:rsidRPr="00867116">
        <w:rPr>
          <w:rFonts w:ascii="Arial" w:eastAsiaTheme="minorHAnsi" w:hAnsi="Arial" w:cs="Arial"/>
          <w:sz w:val="20"/>
          <w:lang w:eastAsia="en-US"/>
        </w:rPr>
        <w:t>1</w:t>
      </w:r>
      <w:r w:rsidRPr="00867116">
        <w:rPr>
          <w:rFonts w:ascii="Arial" w:eastAsiaTheme="minorHAnsi" w:hAnsi="Arial" w:cs="Arial"/>
          <w:sz w:val="20"/>
          <w:lang w:eastAsia="en-US"/>
        </w:rPr>
        <w:t xml:space="preserve"> je vyhotoven ve čtyřech stejnopisech s platností originálu, z nichž každá </w:t>
      </w:r>
      <w:r w:rsidR="00A94065">
        <w:rPr>
          <w:rFonts w:ascii="Arial" w:eastAsiaTheme="minorHAnsi" w:hAnsi="Arial" w:cs="Arial"/>
          <w:sz w:val="20"/>
          <w:lang w:eastAsia="en-US"/>
        </w:rPr>
        <w:t>S</w:t>
      </w:r>
      <w:r w:rsidRPr="00867116">
        <w:rPr>
          <w:rFonts w:ascii="Arial" w:eastAsiaTheme="minorHAnsi" w:hAnsi="Arial" w:cs="Arial"/>
          <w:sz w:val="20"/>
          <w:lang w:eastAsia="en-US"/>
        </w:rPr>
        <w:t>mluvní strana obdrží po dvou vyhotoveních.</w:t>
      </w:r>
      <w:r w:rsidR="009120A4" w:rsidRPr="00867116">
        <w:rPr>
          <w:rFonts w:ascii="Arial" w:eastAsiaTheme="minorHAnsi" w:hAnsi="Arial" w:cs="Arial"/>
          <w:sz w:val="20"/>
          <w:lang w:eastAsia="en-US"/>
        </w:rPr>
        <w:t xml:space="preserve"> </w:t>
      </w:r>
      <w:r w:rsidRPr="00867116">
        <w:rPr>
          <w:rFonts w:ascii="Arial" w:eastAsiaTheme="minorHAnsi" w:hAnsi="Arial" w:cs="Arial"/>
          <w:sz w:val="20"/>
          <w:lang w:eastAsia="en-US"/>
        </w:rPr>
        <w:t xml:space="preserve">Smluvní strany prohlašují, že si tento Dodatek č. </w:t>
      </w:r>
      <w:r w:rsidR="00867116">
        <w:rPr>
          <w:rFonts w:ascii="Arial" w:eastAsiaTheme="minorHAnsi" w:hAnsi="Arial" w:cs="Arial"/>
          <w:sz w:val="20"/>
          <w:lang w:eastAsia="en-US"/>
        </w:rPr>
        <w:t xml:space="preserve">1 </w:t>
      </w:r>
      <w:r w:rsidRPr="00867116">
        <w:rPr>
          <w:rFonts w:ascii="Arial" w:eastAsiaTheme="minorHAnsi" w:hAnsi="Arial" w:cs="Arial"/>
          <w:sz w:val="20"/>
          <w:lang w:eastAsia="en-US"/>
        </w:rPr>
        <w:t>řádně přečetly, s jeho zněním souhlasí a na důkaz toho připojují své podpisy.</w:t>
      </w:r>
    </w:p>
    <w:p w:rsidR="00C3494F" w:rsidRPr="00046680" w:rsidRDefault="00C3494F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2353"/>
        <w:gridCol w:w="3148"/>
      </w:tblGrid>
      <w:tr w:rsidR="00046680" w:rsidRPr="00046680" w:rsidTr="000578E3">
        <w:tc>
          <w:tcPr>
            <w:tcW w:w="1968" w:type="pct"/>
            <w:vAlign w:val="bottom"/>
          </w:tcPr>
          <w:p w:rsidR="00C91550" w:rsidRDefault="00C9155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:rsidR="00C91550" w:rsidRDefault="00C9155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V Praze dne</w:t>
            </w:r>
          </w:p>
        </w:tc>
        <w:tc>
          <w:tcPr>
            <w:tcW w:w="1297" w:type="pct"/>
            <w:vAlign w:val="bottom"/>
          </w:tcPr>
          <w:p w:rsidR="00046680" w:rsidRPr="00DD0879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  <w:vAlign w:val="bottom"/>
          </w:tcPr>
          <w:p w:rsidR="00046680" w:rsidRPr="00DD0879" w:rsidRDefault="00046680" w:rsidP="00BD4513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DD0879">
              <w:rPr>
                <w:rFonts w:ascii="Arial" w:eastAsiaTheme="minorHAnsi" w:hAnsi="Arial" w:cs="Arial"/>
                <w:sz w:val="20"/>
                <w:lang w:eastAsia="en-US"/>
              </w:rPr>
              <w:t xml:space="preserve">V </w:t>
            </w:r>
            <w:r w:rsidR="00BD4513" w:rsidRPr="00DD0879">
              <w:rPr>
                <w:rFonts w:ascii="Arial" w:hAnsi="Arial" w:cs="Arial"/>
                <w:sz w:val="20"/>
                <w:szCs w:val="22"/>
              </w:rPr>
              <w:t>………</w:t>
            </w:r>
            <w:r w:rsidRPr="00DD0879">
              <w:rPr>
                <w:rFonts w:ascii="Arial" w:eastAsiaTheme="minorHAnsi" w:hAnsi="Arial" w:cs="Arial"/>
                <w:sz w:val="20"/>
                <w:lang w:eastAsia="en-US"/>
              </w:rPr>
              <w:t>dne</w:t>
            </w:r>
            <w:r w:rsidR="00BD4513" w:rsidRPr="00DD0879">
              <w:rPr>
                <w:rFonts w:ascii="Arial" w:eastAsiaTheme="minorHAnsi" w:hAnsi="Arial" w:cs="Arial"/>
                <w:sz w:val="20"/>
                <w:lang w:eastAsia="en-US"/>
              </w:rPr>
              <w:t>…</w:t>
            </w:r>
            <w:proofErr w:type="gramStart"/>
            <w:r w:rsidR="00BD4513" w:rsidRPr="00DD0879">
              <w:rPr>
                <w:rFonts w:ascii="Arial" w:eastAsiaTheme="minorHAnsi" w:hAnsi="Arial" w:cs="Arial"/>
                <w:sz w:val="20"/>
                <w:lang w:eastAsia="en-US"/>
              </w:rPr>
              <w:t>…….</w:t>
            </w:r>
            <w:proofErr w:type="gramEnd"/>
            <w:r w:rsidR="00BD4513" w:rsidRPr="00DD0879">
              <w:rPr>
                <w:rFonts w:ascii="Arial" w:eastAsiaTheme="minorHAnsi" w:hAnsi="Arial" w:cs="Arial"/>
                <w:sz w:val="20"/>
                <w:lang w:eastAsia="en-US"/>
              </w:rPr>
              <w:t>.</w:t>
            </w:r>
          </w:p>
        </w:tc>
      </w:tr>
      <w:tr w:rsidR="00046680" w:rsidRPr="00046680" w:rsidTr="000578E3">
        <w:tc>
          <w:tcPr>
            <w:tcW w:w="1968" w:type="pct"/>
          </w:tcPr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:rsidR="00046680" w:rsidRPr="00DD0879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</w:tcPr>
          <w:p w:rsidR="00046680" w:rsidRPr="00DD0879" w:rsidRDefault="00F06929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DD0879">
              <w:rPr>
                <w:rFonts w:ascii="Arial" w:eastAsiaTheme="minorHAnsi" w:hAnsi="Arial" w:cs="Arial"/>
                <w:b/>
                <w:sz w:val="20"/>
                <w:lang w:eastAsia="en-US"/>
              </w:rPr>
              <w:t>T-Mobile Czech Republic a.s.</w:t>
            </w:r>
          </w:p>
        </w:tc>
      </w:tr>
      <w:tr w:rsidR="00046680" w:rsidRPr="00046680" w:rsidTr="000578E3">
        <w:tc>
          <w:tcPr>
            <w:tcW w:w="1968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:rsidR="00046680" w:rsidRPr="00DD0879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  <w:vAlign w:val="bottom"/>
          </w:tcPr>
          <w:p w:rsidR="00046680" w:rsidRPr="00DD0879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:rsidTr="000578E3">
        <w:tc>
          <w:tcPr>
            <w:tcW w:w="1968" w:type="pct"/>
          </w:tcPr>
          <w:p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1297" w:type="pct"/>
          </w:tcPr>
          <w:p w:rsidR="00046680" w:rsidRPr="00DD0879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</w:tcPr>
          <w:p w:rsidR="00046680" w:rsidRPr="00DD0879" w:rsidRDefault="00DD0879" w:rsidP="00BD4513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DD0879">
              <w:rPr>
                <w:rFonts w:ascii="Arial" w:hAnsi="Arial" w:cs="Arial"/>
                <w:sz w:val="20"/>
                <w:szCs w:val="22"/>
              </w:rPr>
              <w:t>XXXXXXXXXX</w:t>
            </w:r>
            <w:r>
              <w:rPr>
                <w:rFonts w:ascii="Arial" w:hAnsi="Arial" w:cs="Arial"/>
                <w:sz w:val="20"/>
                <w:szCs w:val="22"/>
              </w:rPr>
              <w:t>, na základě pověření</w:t>
            </w:r>
          </w:p>
        </w:tc>
      </w:tr>
    </w:tbl>
    <w:p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  <w:bookmarkStart w:id="0" w:name="_GoBack"/>
      <w:bookmarkEnd w:id="0"/>
    </w:p>
    <w:p w:rsidR="006C518D" w:rsidRPr="00BD4513" w:rsidRDefault="006C518D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sectPr w:rsidR="006C518D" w:rsidRPr="00BD4513" w:rsidSect="0058580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165" w:rsidRDefault="00472165" w:rsidP="00EA57EC">
      <w:r>
        <w:separator/>
      </w:r>
    </w:p>
  </w:endnote>
  <w:endnote w:type="continuationSeparator" w:id="0">
    <w:p w:rsidR="00472165" w:rsidRDefault="00472165" w:rsidP="00EA57EC">
      <w:r>
        <w:continuationSeparator/>
      </w:r>
    </w:p>
  </w:endnote>
  <w:endnote w:type="continuationNotice" w:id="1">
    <w:p w:rsidR="00472165" w:rsidRDefault="004721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8BE">
          <w:rPr>
            <w:noProof/>
          </w:rPr>
          <w:t>1</w:t>
        </w:r>
        <w:r>
          <w:fldChar w:fldCharType="end"/>
        </w:r>
      </w:p>
    </w:sdtContent>
  </w:sdt>
  <w:p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165" w:rsidRDefault="00472165" w:rsidP="00EA57EC">
      <w:r>
        <w:separator/>
      </w:r>
    </w:p>
  </w:footnote>
  <w:footnote w:type="continuationSeparator" w:id="0">
    <w:p w:rsidR="00472165" w:rsidRDefault="00472165" w:rsidP="00EA57EC">
      <w:r>
        <w:continuationSeparator/>
      </w:r>
    </w:p>
  </w:footnote>
  <w:footnote w:type="continuationNotice" w:id="1">
    <w:p w:rsidR="00472165" w:rsidRDefault="004721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" w15:restartNumberingAfterBreak="0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1" w15:restartNumberingAfterBreak="0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6"/>
  </w:num>
  <w:num w:numId="9">
    <w:abstractNumId w:val="11"/>
  </w:num>
  <w:num w:numId="10">
    <w:abstractNumId w:val="13"/>
  </w:num>
  <w:num w:numId="11">
    <w:abstractNumId w:val="6"/>
  </w:num>
  <w:num w:numId="12">
    <w:abstractNumId w:val="9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8"/>
  </w:num>
  <w:num w:numId="18">
    <w:abstractNumId w:val="3"/>
  </w:num>
  <w:num w:numId="19">
    <w:abstractNumId w:val="17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6"/>
  </w:num>
  <w:num w:numId="23">
    <w:abstractNumId w:val="7"/>
  </w:num>
  <w:num w:numId="24">
    <w:abstractNumId w:val="4"/>
  </w:num>
  <w:num w:numId="25">
    <w:abstractNumId w:val="7"/>
  </w:num>
  <w:num w:numId="26">
    <w:abstractNumId w:val="14"/>
  </w:num>
  <w:num w:numId="27">
    <w:abstractNumId w:val="7"/>
  </w:num>
  <w:num w:numId="28">
    <w:abstractNumId w:val="7"/>
  </w:num>
  <w:num w:numId="29">
    <w:abstractNumId w:val="6"/>
  </w:num>
  <w:num w:numId="30">
    <w:abstractNumId w:val="6"/>
  </w:num>
  <w:num w:numId="31">
    <w:abstractNumId w:val="7"/>
  </w:num>
  <w:num w:numId="32">
    <w:abstractNumId w:val="15"/>
  </w:num>
  <w:num w:numId="33">
    <w:abstractNumId w:val="0"/>
  </w:num>
  <w:num w:numId="34">
    <w:abstractNumId w:val="2"/>
  </w:num>
  <w:num w:numId="35">
    <w:abstractNumId w:val="7"/>
    <w:lvlOverride w:ilvl="0">
      <w:startOverride w:val="1"/>
    </w:lvlOverride>
  </w:num>
  <w:num w:numId="3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FAA"/>
    <w:rsid w:val="0000227E"/>
    <w:rsid w:val="000057ED"/>
    <w:rsid w:val="00015C2A"/>
    <w:rsid w:val="00016CEE"/>
    <w:rsid w:val="00016EE1"/>
    <w:rsid w:val="0002566D"/>
    <w:rsid w:val="00031DA4"/>
    <w:rsid w:val="000403BA"/>
    <w:rsid w:val="0004228B"/>
    <w:rsid w:val="00046680"/>
    <w:rsid w:val="000578E3"/>
    <w:rsid w:val="000759E3"/>
    <w:rsid w:val="0007773F"/>
    <w:rsid w:val="00080825"/>
    <w:rsid w:val="00086F33"/>
    <w:rsid w:val="000A0300"/>
    <w:rsid w:val="000A03EA"/>
    <w:rsid w:val="000B1069"/>
    <w:rsid w:val="000C5502"/>
    <w:rsid w:val="000E0B54"/>
    <w:rsid w:val="000E3E6B"/>
    <w:rsid w:val="00103764"/>
    <w:rsid w:val="001071EB"/>
    <w:rsid w:val="001174E5"/>
    <w:rsid w:val="00121445"/>
    <w:rsid w:val="0012246C"/>
    <w:rsid w:val="0012715F"/>
    <w:rsid w:val="00154228"/>
    <w:rsid w:val="0015602B"/>
    <w:rsid w:val="00161B42"/>
    <w:rsid w:val="001649E8"/>
    <w:rsid w:val="00167989"/>
    <w:rsid w:val="00175B09"/>
    <w:rsid w:val="00184C35"/>
    <w:rsid w:val="00184D29"/>
    <w:rsid w:val="00190847"/>
    <w:rsid w:val="00197BD0"/>
    <w:rsid w:val="001A1ABC"/>
    <w:rsid w:val="001B09FA"/>
    <w:rsid w:val="001C426D"/>
    <w:rsid w:val="001D1476"/>
    <w:rsid w:val="001E00E3"/>
    <w:rsid w:val="001E0E35"/>
    <w:rsid w:val="001E1A4D"/>
    <w:rsid w:val="001E4018"/>
    <w:rsid w:val="001E5F3C"/>
    <w:rsid w:val="001F1155"/>
    <w:rsid w:val="00202B7E"/>
    <w:rsid w:val="00203717"/>
    <w:rsid w:val="00214743"/>
    <w:rsid w:val="00220B75"/>
    <w:rsid w:val="00234697"/>
    <w:rsid w:val="00236283"/>
    <w:rsid w:val="00252893"/>
    <w:rsid w:val="00266996"/>
    <w:rsid w:val="00267500"/>
    <w:rsid w:val="00285F9D"/>
    <w:rsid w:val="00287B5F"/>
    <w:rsid w:val="00292810"/>
    <w:rsid w:val="002A0DCE"/>
    <w:rsid w:val="002A42FB"/>
    <w:rsid w:val="002A4DA4"/>
    <w:rsid w:val="002A6464"/>
    <w:rsid w:val="002B76D0"/>
    <w:rsid w:val="002D0356"/>
    <w:rsid w:val="002D0B74"/>
    <w:rsid w:val="002D175F"/>
    <w:rsid w:val="002D3024"/>
    <w:rsid w:val="002E0FF5"/>
    <w:rsid w:val="002E2EC3"/>
    <w:rsid w:val="002F50D0"/>
    <w:rsid w:val="002F590F"/>
    <w:rsid w:val="002F7975"/>
    <w:rsid w:val="002F7FD7"/>
    <w:rsid w:val="00304F9F"/>
    <w:rsid w:val="00305A63"/>
    <w:rsid w:val="00310FBB"/>
    <w:rsid w:val="00315C1D"/>
    <w:rsid w:val="00316875"/>
    <w:rsid w:val="003229E6"/>
    <w:rsid w:val="00330B8E"/>
    <w:rsid w:val="00330E97"/>
    <w:rsid w:val="00332000"/>
    <w:rsid w:val="003353A1"/>
    <w:rsid w:val="003419E9"/>
    <w:rsid w:val="00357396"/>
    <w:rsid w:val="0036705F"/>
    <w:rsid w:val="00367416"/>
    <w:rsid w:val="00375B63"/>
    <w:rsid w:val="00375C7A"/>
    <w:rsid w:val="003975CB"/>
    <w:rsid w:val="003A154E"/>
    <w:rsid w:val="003A1F50"/>
    <w:rsid w:val="003A506B"/>
    <w:rsid w:val="003B15E7"/>
    <w:rsid w:val="003B5A90"/>
    <w:rsid w:val="003B7C66"/>
    <w:rsid w:val="003C47CD"/>
    <w:rsid w:val="003D1744"/>
    <w:rsid w:val="003D1798"/>
    <w:rsid w:val="003D2E14"/>
    <w:rsid w:val="003D5C0C"/>
    <w:rsid w:val="003E3B31"/>
    <w:rsid w:val="003F30DF"/>
    <w:rsid w:val="00402FE0"/>
    <w:rsid w:val="004045B6"/>
    <w:rsid w:val="00435B33"/>
    <w:rsid w:val="00440539"/>
    <w:rsid w:val="00461407"/>
    <w:rsid w:val="0046691B"/>
    <w:rsid w:val="00472165"/>
    <w:rsid w:val="00476FFA"/>
    <w:rsid w:val="004820A4"/>
    <w:rsid w:val="0049324F"/>
    <w:rsid w:val="004A056D"/>
    <w:rsid w:val="004A23E2"/>
    <w:rsid w:val="004A27EA"/>
    <w:rsid w:val="004B03B5"/>
    <w:rsid w:val="004B7721"/>
    <w:rsid w:val="004D2CD4"/>
    <w:rsid w:val="004D3A94"/>
    <w:rsid w:val="004D57DD"/>
    <w:rsid w:val="005004C1"/>
    <w:rsid w:val="0050102A"/>
    <w:rsid w:val="0050344F"/>
    <w:rsid w:val="0050792B"/>
    <w:rsid w:val="0051142A"/>
    <w:rsid w:val="00514AD0"/>
    <w:rsid w:val="0054225F"/>
    <w:rsid w:val="00554F36"/>
    <w:rsid w:val="005776E8"/>
    <w:rsid w:val="00585801"/>
    <w:rsid w:val="00592902"/>
    <w:rsid w:val="005A25B2"/>
    <w:rsid w:val="005A52CF"/>
    <w:rsid w:val="005B2080"/>
    <w:rsid w:val="005B3671"/>
    <w:rsid w:val="005B5C57"/>
    <w:rsid w:val="005C0E5B"/>
    <w:rsid w:val="005D0F4F"/>
    <w:rsid w:val="005E0454"/>
    <w:rsid w:val="005E74CE"/>
    <w:rsid w:val="00607629"/>
    <w:rsid w:val="00612C1E"/>
    <w:rsid w:val="0061795B"/>
    <w:rsid w:val="00623698"/>
    <w:rsid w:val="00631602"/>
    <w:rsid w:val="0063530F"/>
    <w:rsid w:val="00646CA6"/>
    <w:rsid w:val="00652049"/>
    <w:rsid w:val="00655176"/>
    <w:rsid w:val="006601A4"/>
    <w:rsid w:val="00661B9A"/>
    <w:rsid w:val="0066362E"/>
    <w:rsid w:val="00665F76"/>
    <w:rsid w:val="006667B2"/>
    <w:rsid w:val="00686C84"/>
    <w:rsid w:val="00687B08"/>
    <w:rsid w:val="006A5A87"/>
    <w:rsid w:val="006B30C4"/>
    <w:rsid w:val="006B7436"/>
    <w:rsid w:val="006C518D"/>
    <w:rsid w:val="006D07F4"/>
    <w:rsid w:val="006E034E"/>
    <w:rsid w:val="006E3224"/>
    <w:rsid w:val="006E4200"/>
    <w:rsid w:val="006F0692"/>
    <w:rsid w:val="00711EDE"/>
    <w:rsid w:val="007170DF"/>
    <w:rsid w:val="00723D0A"/>
    <w:rsid w:val="0073385C"/>
    <w:rsid w:val="00747D88"/>
    <w:rsid w:val="00750139"/>
    <w:rsid w:val="0075261E"/>
    <w:rsid w:val="00756C93"/>
    <w:rsid w:val="00762D62"/>
    <w:rsid w:val="00770505"/>
    <w:rsid w:val="0077339B"/>
    <w:rsid w:val="00776D66"/>
    <w:rsid w:val="00781E00"/>
    <w:rsid w:val="00785615"/>
    <w:rsid w:val="00786E59"/>
    <w:rsid w:val="00795B80"/>
    <w:rsid w:val="007B4C6C"/>
    <w:rsid w:val="007C2E41"/>
    <w:rsid w:val="007C3976"/>
    <w:rsid w:val="007D085A"/>
    <w:rsid w:val="007F1FE6"/>
    <w:rsid w:val="007F3408"/>
    <w:rsid w:val="00804BAC"/>
    <w:rsid w:val="008050E9"/>
    <w:rsid w:val="008178DB"/>
    <w:rsid w:val="00840E6A"/>
    <w:rsid w:val="00846E0E"/>
    <w:rsid w:val="00847F72"/>
    <w:rsid w:val="00856BC7"/>
    <w:rsid w:val="0086084A"/>
    <w:rsid w:val="00867116"/>
    <w:rsid w:val="00872B4B"/>
    <w:rsid w:val="00880B00"/>
    <w:rsid w:val="008A5ACD"/>
    <w:rsid w:val="008B0C34"/>
    <w:rsid w:val="008B23B1"/>
    <w:rsid w:val="008C352F"/>
    <w:rsid w:val="008C6CD1"/>
    <w:rsid w:val="008D2D45"/>
    <w:rsid w:val="008D6C9E"/>
    <w:rsid w:val="008F25AF"/>
    <w:rsid w:val="00903254"/>
    <w:rsid w:val="00903EC5"/>
    <w:rsid w:val="00906E75"/>
    <w:rsid w:val="00911F03"/>
    <w:rsid w:val="009120A4"/>
    <w:rsid w:val="00912B92"/>
    <w:rsid w:val="00917EB5"/>
    <w:rsid w:val="00921964"/>
    <w:rsid w:val="00922718"/>
    <w:rsid w:val="00931C96"/>
    <w:rsid w:val="00937AE9"/>
    <w:rsid w:val="00944AAF"/>
    <w:rsid w:val="009451D2"/>
    <w:rsid w:val="00953B31"/>
    <w:rsid w:val="00961FC0"/>
    <w:rsid w:val="009769CB"/>
    <w:rsid w:val="009931A2"/>
    <w:rsid w:val="009948BE"/>
    <w:rsid w:val="009A57CB"/>
    <w:rsid w:val="009B15D0"/>
    <w:rsid w:val="009B360A"/>
    <w:rsid w:val="009B43B8"/>
    <w:rsid w:val="009B5BD7"/>
    <w:rsid w:val="009C2F24"/>
    <w:rsid w:val="009C5234"/>
    <w:rsid w:val="009C7718"/>
    <w:rsid w:val="009D000F"/>
    <w:rsid w:val="009D0BBB"/>
    <w:rsid w:val="009E455C"/>
    <w:rsid w:val="009E53D1"/>
    <w:rsid w:val="009E734C"/>
    <w:rsid w:val="00A11D6A"/>
    <w:rsid w:val="00A5085E"/>
    <w:rsid w:val="00A55DF0"/>
    <w:rsid w:val="00A608B6"/>
    <w:rsid w:val="00A622D5"/>
    <w:rsid w:val="00A757E1"/>
    <w:rsid w:val="00A76602"/>
    <w:rsid w:val="00A81828"/>
    <w:rsid w:val="00A84A10"/>
    <w:rsid w:val="00A94065"/>
    <w:rsid w:val="00A95F9E"/>
    <w:rsid w:val="00AD4F28"/>
    <w:rsid w:val="00AD5785"/>
    <w:rsid w:val="00AD652E"/>
    <w:rsid w:val="00AE19C7"/>
    <w:rsid w:val="00AE2FAB"/>
    <w:rsid w:val="00AE6098"/>
    <w:rsid w:val="00B11451"/>
    <w:rsid w:val="00B1203C"/>
    <w:rsid w:val="00B25C3A"/>
    <w:rsid w:val="00B51BA5"/>
    <w:rsid w:val="00B52E4D"/>
    <w:rsid w:val="00B556B2"/>
    <w:rsid w:val="00B86FF8"/>
    <w:rsid w:val="00B96BCF"/>
    <w:rsid w:val="00BA0092"/>
    <w:rsid w:val="00BB0EEE"/>
    <w:rsid w:val="00BB509F"/>
    <w:rsid w:val="00BC2C08"/>
    <w:rsid w:val="00BC795D"/>
    <w:rsid w:val="00BD0991"/>
    <w:rsid w:val="00BD4513"/>
    <w:rsid w:val="00BD5A5D"/>
    <w:rsid w:val="00BE06AE"/>
    <w:rsid w:val="00BF2EE3"/>
    <w:rsid w:val="00C02527"/>
    <w:rsid w:val="00C026B0"/>
    <w:rsid w:val="00C02C0A"/>
    <w:rsid w:val="00C06AE4"/>
    <w:rsid w:val="00C07D2A"/>
    <w:rsid w:val="00C176F8"/>
    <w:rsid w:val="00C206BD"/>
    <w:rsid w:val="00C213DD"/>
    <w:rsid w:val="00C30016"/>
    <w:rsid w:val="00C33C7B"/>
    <w:rsid w:val="00C3405C"/>
    <w:rsid w:val="00C3494F"/>
    <w:rsid w:val="00C3556C"/>
    <w:rsid w:val="00C66692"/>
    <w:rsid w:val="00C7358E"/>
    <w:rsid w:val="00C829C4"/>
    <w:rsid w:val="00C861C1"/>
    <w:rsid w:val="00C91550"/>
    <w:rsid w:val="00C97FA5"/>
    <w:rsid w:val="00CA00DB"/>
    <w:rsid w:val="00CA24D8"/>
    <w:rsid w:val="00CA649C"/>
    <w:rsid w:val="00CD1793"/>
    <w:rsid w:val="00CD3B3A"/>
    <w:rsid w:val="00CD4F60"/>
    <w:rsid w:val="00CE153A"/>
    <w:rsid w:val="00CF204E"/>
    <w:rsid w:val="00CF2F21"/>
    <w:rsid w:val="00CF4C97"/>
    <w:rsid w:val="00D045BC"/>
    <w:rsid w:val="00D074FE"/>
    <w:rsid w:val="00D16252"/>
    <w:rsid w:val="00D1692C"/>
    <w:rsid w:val="00D22F89"/>
    <w:rsid w:val="00D33F1D"/>
    <w:rsid w:val="00D376E8"/>
    <w:rsid w:val="00D51952"/>
    <w:rsid w:val="00D62797"/>
    <w:rsid w:val="00D65B8E"/>
    <w:rsid w:val="00D7252B"/>
    <w:rsid w:val="00D74449"/>
    <w:rsid w:val="00D804D4"/>
    <w:rsid w:val="00D97548"/>
    <w:rsid w:val="00DB10C7"/>
    <w:rsid w:val="00DB78CC"/>
    <w:rsid w:val="00DC4B46"/>
    <w:rsid w:val="00DD0879"/>
    <w:rsid w:val="00DD0B31"/>
    <w:rsid w:val="00DD1EB5"/>
    <w:rsid w:val="00DF5A0B"/>
    <w:rsid w:val="00E001D2"/>
    <w:rsid w:val="00E023EB"/>
    <w:rsid w:val="00E152A3"/>
    <w:rsid w:val="00E1615E"/>
    <w:rsid w:val="00E30A31"/>
    <w:rsid w:val="00E35724"/>
    <w:rsid w:val="00E375A3"/>
    <w:rsid w:val="00E40010"/>
    <w:rsid w:val="00E40617"/>
    <w:rsid w:val="00E442BA"/>
    <w:rsid w:val="00E4445C"/>
    <w:rsid w:val="00E44DE7"/>
    <w:rsid w:val="00E56757"/>
    <w:rsid w:val="00E602EE"/>
    <w:rsid w:val="00E71306"/>
    <w:rsid w:val="00E742ED"/>
    <w:rsid w:val="00E7453C"/>
    <w:rsid w:val="00E74D70"/>
    <w:rsid w:val="00E85768"/>
    <w:rsid w:val="00EA57EC"/>
    <w:rsid w:val="00EC4597"/>
    <w:rsid w:val="00ED2C31"/>
    <w:rsid w:val="00EF37A9"/>
    <w:rsid w:val="00F02075"/>
    <w:rsid w:val="00F06929"/>
    <w:rsid w:val="00F0702D"/>
    <w:rsid w:val="00F07519"/>
    <w:rsid w:val="00F077F8"/>
    <w:rsid w:val="00F13A27"/>
    <w:rsid w:val="00F14FC6"/>
    <w:rsid w:val="00F219D3"/>
    <w:rsid w:val="00F2521D"/>
    <w:rsid w:val="00F255EE"/>
    <w:rsid w:val="00F3636C"/>
    <w:rsid w:val="00F370C8"/>
    <w:rsid w:val="00F433EF"/>
    <w:rsid w:val="00F52672"/>
    <w:rsid w:val="00F5447D"/>
    <w:rsid w:val="00F54551"/>
    <w:rsid w:val="00F561C1"/>
    <w:rsid w:val="00F57EE4"/>
    <w:rsid w:val="00F7701A"/>
    <w:rsid w:val="00F81937"/>
    <w:rsid w:val="00F919E8"/>
    <w:rsid w:val="00FB6BD3"/>
    <w:rsid w:val="00FD78D4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768B"/>
  <w15:docId w15:val="{15AEA00F-08F9-4AE6-88E6-FE6AE419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99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WorkflowHistoryBoolean xmlns="5386a7db-36dc-47e8-aacb-0d5051febeea">true</VZP_WorkflowHistoryBoolea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DFF365-82EE-49CB-98AA-FBCF0006B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18E2D9-A675-4F00-8BBE-E8885C35AE02}">
  <ds:schemaRefs>
    <ds:schemaRef ds:uri="http://schemas.microsoft.com/office/2006/metadata/properties"/>
    <ds:schemaRef ds:uri="http://schemas.microsoft.com/office/infopath/2007/PartnerControls"/>
    <ds:schemaRef ds:uri="5386a7db-36dc-47e8-aacb-0d5051febeea"/>
  </ds:schemaRefs>
</ds:datastoreItem>
</file>

<file path=customXml/itemProps4.xml><?xml version="1.0" encoding="utf-8"?>
<ds:datastoreItem xmlns:ds="http://schemas.openxmlformats.org/officeDocument/2006/customXml" ds:itemID="{B07AFFDD-D8E4-4690-A90F-F6D9B3DAA2E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B5A52A3-911B-45B2-A448-29EB67BA7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Vítková</dc:creator>
  <cp:lastModifiedBy>Potůčková Martina (VZP ČR Ústředí)</cp:lastModifiedBy>
  <cp:revision>4</cp:revision>
  <cp:lastPrinted>2018-05-23T10:11:00Z</cp:lastPrinted>
  <dcterms:created xsi:type="dcterms:W3CDTF">2020-12-11T10:54:00Z</dcterms:created>
  <dcterms:modified xsi:type="dcterms:W3CDTF">2021-02-12T06:18:00Z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