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A3FF" w14:textId="77777777" w:rsidR="00BD5BB5" w:rsidRDefault="00A635D0" w:rsidP="00A635D0">
      <w:pPr>
        <w:jc w:val="center"/>
        <w:rPr>
          <w:b/>
        </w:rPr>
      </w:pPr>
      <w:proofErr w:type="gramStart"/>
      <w:r w:rsidRPr="00A635D0">
        <w:rPr>
          <w:b/>
        </w:rPr>
        <w:t>S</w:t>
      </w:r>
      <w:r>
        <w:rPr>
          <w:b/>
        </w:rPr>
        <w:t> </w:t>
      </w:r>
      <w:r w:rsidRPr="00A635D0">
        <w:rPr>
          <w:b/>
        </w:rPr>
        <w:t>m</w:t>
      </w:r>
      <w:r>
        <w:rPr>
          <w:b/>
        </w:rPr>
        <w:t xml:space="preserve"> </w:t>
      </w:r>
      <w:r w:rsidRPr="00A635D0">
        <w:rPr>
          <w:b/>
        </w:rPr>
        <w:t>l</w:t>
      </w:r>
      <w:r>
        <w:rPr>
          <w:b/>
        </w:rPr>
        <w:t xml:space="preserve"> </w:t>
      </w:r>
      <w:r w:rsidRPr="00A635D0">
        <w:rPr>
          <w:b/>
        </w:rPr>
        <w:t>o</w:t>
      </w:r>
      <w:r>
        <w:rPr>
          <w:b/>
        </w:rPr>
        <w:t xml:space="preserve"> </w:t>
      </w:r>
      <w:r w:rsidRPr="00A635D0">
        <w:rPr>
          <w:b/>
        </w:rPr>
        <w:t>u</w:t>
      </w:r>
      <w:r>
        <w:rPr>
          <w:b/>
        </w:rPr>
        <w:t xml:space="preserve"> </w:t>
      </w:r>
      <w:r w:rsidRPr="00A635D0">
        <w:rPr>
          <w:b/>
        </w:rPr>
        <w:t>v</w:t>
      </w:r>
      <w:r>
        <w:rPr>
          <w:b/>
        </w:rPr>
        <w:t> </w:t>
      </w:r>
      <w:r w:rsidRPr="00A635D0">
        <w:rPr>
          <w:b/>
        </w:rPr>
        <w:t>a</w:t>
      </w:r>
      <w:r>
        <w:rPr>
          <w:b/>
        </w:rPr>
        <w:t xml:space="preserve">  </w:t>
      </w:r>
      <w:r w:rsidRPr="00A635D0">
        <w:rPr>
          <w:b/>
        </w:rPr>
        <w:t xml:space="preserve"> o</w:t>
      </w:r>
      <w:r>
        <w:rPr>
          <w:b/>
        </w:rPr>
        <w:t xml:space="preserve">  </w:t>
      </w:r>
      <w:r w:rsidRPr="00A635D0">
        <w:rPr>
          <w:b/>
        </w:rPr>
        <w:t xml:space="preserve"> p</w:t>
      </w:r>
      <w:r>
        <w:rPr>
          <w:b/>
        </w:rPr>
        <w:t xml:space="preserve"> </w:t>
      </w:r>
      <w:r w:rsidRPr="00A635D0">
        <w:rPr>
          <w:b/>
        </w:rPr>
        <w:t>o</w:t>
      </w:r>
      <w:r>
        <w:rPr>
          <w:b/>
        </w:rPr>
        <w:t xml:space="preserve"> </w:t>
      </w:r>
      <w:r w:rsidRPr="00A635D0">
        <w:rPr>
          <w:b/>
        </w:rPr>
        <w:t>s</w:t>
      </w:r>
      <w:r>
        <w:rPr>
          <w:b/>
        </w:rPr>
        <w:t> </w:t>
      </w:r>
      <w:r w:rsidRPr="00A635D0">
        <w:rPr>
          <w:b/>
        </w:rPr>
        <w:t>k</w:t>
      </w:r>
      <w:r>
        <w:rPr>
          <w:b/>
        </w:rPr>
        <w:t> </w:t>
      </w:r>
      <w:r w:rsidRPr="00A635D0">
        <w:rPr>
          <w:b/>
        </w:rPr>
        <w:t>y</w:t>
      </w:r>
      <w:r>
        <w:rPr>
          <w:b/>
        </w:rPr>
        <w:t xml:space="preserve"> </w:t>
      </w:r>
      <w:r w:rsidRPr="00A635D0">
        <w:rPr>
          <w:b/>
        </w:rPr>
        <w:t>t</w:t>
      </w:r>
      <w:r>
        <w:rPr>
          <w:b/>
        </w:rPr>
        <w:t xml:space="preserve"> </w:t>
      </w:r>
      <w:r w:rsidRPr="00A635D0">
        <w:rPr>
          <w:b/>
        </w:rPr>
        <w:t>o</w:t>
      </w:r>
      <w:r>
        <w:rPr>
          <w:b/>
        </w:rPr>
        <w:t xml:space="preserve"> </w:t>
      </w:r>
      <w:r w:rsidRPr="00A635D0">
        <w:rPr>
          <w:b/>
        </w:rPr>
        <w:t>v</w:t>
      </w:r>
      <w:r>
        <w:rPr>
          <w:b/>
        </w:rPr>
        <w:t> </w:t>
      </w:r>
      <w:r w:rsidRPr="00A635D0">
        <w:rPr>
          <w:b/>
        </w:rPr>
        <w:t>á</w:t>
      </w:r>
      <w:r>
        <w:rPr>
          <w:b/>
        </w:rPr>
        <w:t xml:space="preserve"> </w:t>
      </w:r>
      <w:r w:rsidRPr="00A635D0">
        <w:rPr>
          <w:b/>
        </w:rPr>
        <w:t>n</w:t>
      </w:r>
      <w:r>
        <w:rPr>
          <w:b/>
        </w:rPr>
        <w:t xml:space="preserve"> </w:t>
      </w:r>
      <w:r w:rsidRPr="00A635D0">
        <w:rPr>
          <w:b/>
        </w:rPr>
        <w:t>í</w:t>
      </w:r>
      <w:r>
        <w:rPr>
          <w:b/>
        </w:rPr>
        <w:t xml:space="preserve">  </w:t>
      </w:r>
      <w:r w:rsidRPr="00A635D0">
        <w:rPr>
          <w:b/>
        </w:rPr>
        <w:t xml:space="preserve"> p</w:t>
      </w:r>
      <w:r>
        <w:rPr>
          <w:b/>
        </w:rPr>
        <w:t xml:space="preserve"> </w:t>
      </w:r>
      <w:r w:rsidRPr="00A635D0">
        <w:rPr>
          <w:b/>
        </w:rPr>
        <w:t>r</w:t>
      </w:r>
      <w:r>
        <w:rPr>
          <w:b/>
        </w:rPr>
        <w:t xml:space="preserve"> </w:t>
      </w:r>
      <w:r w:rsidRPr="00A635D0">
        <w:rPr>
          <w:b/>
        </w:rPr>
        <w:t>á</w:t>
      </w:r>
      <w:r>
        <w:rPr>
          <w:b/>
        </w:rPr>
        <w:t xml:space="preserve"> </w:t>
      </w:r>
      <w:r w:rsidRPr="00A635D0">
        <w:rPr>
          <w:b/>
        </w:rPr>
        <w:t>v</w:t>
      </w:r>
      <w:r>
        <w:rPr>
          <w:b/>
        </w:rPr>
        <w:t> </w:t>
      </w:r>
      <w:r w:rsidRPr="00A635D0">
        <w:rPr>
          <w:b/>
        </w:rPr>
        <w:t>n</w:t>
      </w:r>
      <w:r>
        <w:rPr>
          <w:b/>
        </w:rPr>
        <w:t xml:space="preserve"> </w:t>
      </w:r>
      <w:r w:rsidRPr="00A635D0">
        <w:rPr>
          <w:b/>
        </w:rPr>
        <w:t>í</w:t>
      </w:r>
      <w:r>
        <w:rPr>
          <w:b/>
        </w:rPr>
        <w:t xml:space="preserve"> </w:t>
      </w:r>
      <w:r w:rsidRPr="00A635D0">
        <w:rPr>
          <w:b/>
        </w:rPr>
        <w:t>c</w:t>
      </w:r>
      <w:r>
        <w:rPr>
          <w:b/>
        </w:rPr>
        <w:t xml:space="preserve"> </w:t>
      </w:r>
      <w:r w:rsidRPr="00A635D0">
        <w:rPr>
          <w:b/>
        </w:rPr>
        <w:t>h</w:t>
      </w:r>
      <w:r>
        <w:rPr>
          <w:b/>
        </w:rPr>
        <w:t xml:space="preserve">  </w:t>
      </w:r>
      <w:r w:rsidRPr="00A635D0">
        <w:rPr>
          <w:b/>
        </w:rPr>
        <w:t xml:space="preserve"> s</w:t>
      </w:r>
      <w:r>
        <w:rPr>
          <w:b/>
        </w:rPr>
        <w:t> </w:t>
      </w:r>
      <w:r w:rsidRPr="00A635D0">
        <w:rPr>
          <w:b/>
        </w:rPr>
        <w:t>l</w:t>
      </w:r>
      <w:r>
        <w:rPr>
          <w:b/>
        </w:rPr>
        <w:t xml:space="preserve"> </w:t>
      </w:r>
      <w:r w:rsidRPr="00A635D0">
        <w:rPr>
          <w:b/>
        </w:rPr>
        <w:t>u</w:t>
      </w:r>
      <w:r>
        <w:rPr>
          <w:b/>
        </w:rPr>
        <w:t xml:space="preserve"> </w:t>
      </w:r>
      <w:r w:rsidRPr="00A635D0">
        <w:rPr>
          <w:b/>
        </w:rPr>
        <w:t>ž</w:t>
      </w:r>
      <w:r>
        <w:rPr>
          <w:b/>
        </w:rPr>
        <w:t xml:space="preserve"> </w:t>
      </w:r>
      <w:r w:rsidRPr="00A635D0">
        <w:rPr>
          <w:b/>
        </w:rPr>
        <w:t>e</w:t>
      </w:r>
      <w:r>
        <w:rPr>
          <w:b/>
        </w:rPr>
        <w:t xml:space="preserve"> </w:t>
      </w:r>
      <w:r w:rsidRPr="00A635D0">
        <w:rPr>
          <w:b/>
        </w:rPr>
        <w:t>b</w:t>
      </w:r>
      <w:proofErr w:type="gramEnd"/>
      <w:r>
        <w:rPr>
          <w:b/>
        </w:rPr>
        <w:t xml:space="preserve"> </w:t>
      </w:r>
    </w:p>
    <w:p w14:paraId="3F5DDAE9" w14:textId="77777777" w:rsidR="009C5DC4" w:rsidRDefault="00CF1026" w:rsidP="009C5DC4">
      <w:pPr>
        <w:jc w:val="center"/>
      </w:pPr>
      <w:r>
        <w:t>u</w:t>
      </w:r>
      <w:r w:rsidRPr="00CF1026">
        <w:t xml:space="preserve">zavřená mezi </w:t>
      </w:r>
      <w:r>
        <w:t>níže uvedenými účastníky ve smyslu zákona č. 85/1996 Sb., o advokacii, ve znění pozdějších předpisů, a ustanovení § 2430 zákona č. 89/2012 Sb., občanský zákoník, ve znění pozdějších předpisů</w:t>
      </w:r>
    </w:p>
    <w:p w14:paraId="42C0155A" w14:textId="0EA3FC55" w:rsidR="00A635D0" w:rsidRPr="00D014E2" w:rsidRDefault="00A635D0" w:rsidP="009C5DC4">
      <w:pPr>
        <w:rPr>
          <w:b/>
          <w:szCs w:val="24"/>
        </w:rPr>
      </w:pPr>
      <w:r w:rsidRPr="00D014E2">
        <w:rPr>
          <w:b/>
          <w:szCs w:val="24"/>
        </w:rPr>
        <w:t>Česká agentura na podporu obchodu/</w:t>
      </w:r>
      <w:proofErr w:type="spellStart"/>
      <w:r w:rsidRPr="00D014E2">
        <w:rPr>
          <w:b/>
          <w:szCs w:val="24"/>
        </w:rPr>
        <w:t>CzechTrade</w:t>
      </w:r>
      <w:proofErr w:type="spellEnd"/>
    </w:p>
    <w:p w14:paraId="5DFFF2AA" w14:textId="77777777" w:rsidR="00A635D0" w:rsidRPr="00036DFC" w:rsidRDefault="00A635D0" w:rsidP="00A635D0">
      <w:pPr>
        <w:keepNext/>
        <w:widowControl w:val="0"/>
        <w:tabs>
          <w:tab w:val="left" w:pos="2552"/>
          <w:tab w:val="left" w:pos="2884"/>
        </w:tabs>
        <w:spacing w:line="288" w:lineRule="auto"/>
        <w:rPr>
          <w:snapToGrid w:val="0"/>
          <w:szCs w:val="24"/>
        </w:rPr>
      </w:pPr>
      <w:r w:rsidRPr="00036DFC">
        <w:rPr>
          <w:snapToGrid w:val="0"/>
          <w:szCs w:val="24"/>
        </w:rPr>
        <w:t xml:space="preserve">IČ: </w:t>
      </w:r>
      <w:r w:rsidRPr="00036DFC">
        <w:rPr>
          <w:snapToGrid w:val="0"/>
          <w:szCs w:val="24"/>
        </w:rPr>
        <w:tab/>
      </w:r>
      <w:r w:rsidRPr="00A30E14">
        <w:rPr>
          <w:szCs w:val="24"/>
          <w:lang w:eastAsia="de-DE"/>
        </w:rPr>
        <w:t>00001171</w:t>
      </w:r>
    </w:p>
    <w:p w14:paraId="3F0D3CD9" w14:textId="77777777" w:rsidR="00A635D0" w:rsidRPr="00036DFC" w:rsidRDefault="00A635D0" w:rsidP="00A635D0">
      <w:pPr>
        <w:keepNext/>
        <w:widowControl w:val="0"/>
        <w:tabs>
          <w:tab w:val="left" w:pos="2552"/>
          <w:tab w:val="left" w:pos="2884"/>
        </w:tabs>
        <w:spacing w:line="288" w:lineRule="auto"/>
        <w:rPr>
          <w:snapToGrid w:val="0"/>
          <w:szCs w:val="24"/>
        </w:rPr>
      </w:pPr>
      <w:r w:rsidRPr="00036DFC">
        <w:rPr>
          <w:snapToGrid w:val="0"/>
          <w:szCs w:val="24"/>
        </w:rPr>
        <w:t xml:space="preserve">Se sídlem: </w:t>
      </w:r>
      <w:r w:rsidRPr="00036DFC">
        <w:rPr>
          <w:snapToGrid w:val="0"/>
          <w:szCs w:val="24"/>
        </w:rPr>
        <w:tab/>
      </w:r>
      <w:r w:rsidRPr="00A30E14">
        <w:rPr>
          <w:szCs w:val="24"/>
          <w:lang w:eastAsia="de-DE"/>
        </w:rPr>
        <w:t>Dittrichova 21, Praha 28, PSČ 128 01</w:t>
      </w:r>
    </w:p>
    <w:p w14:paraId="79E4298B" w14:textId="77777777" w:rsidR="00A635D0" w:rsidRPr="00036DFC" w:rsidRDefault="00A635D0" w:rsidP="00A635D0">
      <w:pPr>
        <w:keepNext/>
        <w:widowControl w:val="0"/>
        <w:tabs>
          <w:tab w:val="left" w:pos="2552"/>
          <w:tab w:val="left" w:pos="2884"/>
        </w:tabs>
        <w:spacing w:line="288" w:lineRule="auto"/>
        <w:ind w:left="2550" w:hanging="2550"/>
        <w:rPr>
          <w:color w:val="000000"/>
          <w:szCs w:val="24"/>
        </w:rPr>
      </w:pPr>
      <w:r w:rsidRPr="00036DFC">
        <w:rPr>
          <w:snapToGrid w:val="0"/>
          <w:szCs w:val="24"/>
        </w:rPr>
        <w:t>Zapsaná:</w:t>
      </w:r>
      <w:r w:rsidRPr="00036DFC">
        <w:rPr>
          <w:snapToGrid w:val="0"/>
          <w:szCs w:val="24"/>
        </w:rPr>
        <w:tab/>
      </w:r>
      <w:r w:rsidRPr="00A30E14">
        <w:rPr>
          <w:szCs w:val="24"/>
          <w:lang w:eastAsia="de-DE"/>
        </w:rPr>
        <w:t>příspěvková organizace nezapsaná v obchodním rejstříku</w:t>
      </w:r>
    </w:p>
    <w:p w14:paraId="411ABC19" w14:textId="77777777" w:rsidR="00A635D0" w:rsidRPr="00036DFC" w:rsidRDefault="00A635D0" w:rsidP="00A635D0">
      <w:pPr>
        <w:keepNext/>
        <w:widowControl w:val="0"/>
        <w:tabs>
          <w:tab w:val="left" w:pos="2552"/>
          <w:tab w:val="left" w:pos="2884"/>
        </w:tabs>
        <w:spacing w:line="288" w:lineRule="auto"/>
        <w:ind w:left="2550" w:hanging="2550"/>
        <w:rPr>
          <w:snapToGrid w:val="0"/>
          <w:szCs w:val="24"/>
        </w:rPr>
      </w:pPr>
      <w:r>
        <w:rPr>
          <w:color w:val="000000"/>
          <w:szCs w:val="24"/>
          <w:lang w:eastAsia="de-DE"/>
        </w:rPr>
        <w:t>B</w:t>
      </w:r>
      <w:r w:rsidRPr="00036DFC">
        <w:rPr>
          <w:color w:val="000000"/>
          <w:szCs w:val="24"/>
          <w:lang w:eastAsia="de-DE"/>
        </w:rPr>
        <w:t xml:space="preserve">ankovní spojení: </w:t>
      </w:r>
      <w:r w:rsidRPr="00036DFC">
        <w:rPr>
          <w:color w:val="000000"/>
          <w:szCs w:val="24"/>
          <w:lang w:eastAsia="de-DE"/>
        </w:rPr>
        <w:tab/>
      </w:r>
      <w:r w:rsidRPr="00A30E14">
        <w:rPr>
          <w:szCs w:val="24"/>
          <w:lang w:eastAsia="de-DE"/>
        </w:rPr>
        <w:t xml:space="preserve">Komerční banka, a.s., č. účtu: </w:t>
      </w:r>
      <w:r>
        <w:t>87434011/0100</w:t>
      </w:r>
    </w:p>
    <w:p w14:paraId="39AED5A3" w14:textId="77777777" w:rsidR="00A635D0" w:rsidRDefault="00A635D0" w:rsidP="00A635D0">
      <w:pPr>
        <w:keepNext/>
        <w:widowControl w:val="0"/>
        <w:tabs>
          <w:tab w:val="left" w:pos="2552"/>
          <w:tab w:val="left" w:pos="2884"/>
        </w:tabs>
        <w:spacing w:line="288" w:lineRule="auto"/>
        <w:rPr>
          <w:szCs w:val="24"/>
          <w:lang w:val="en-US" w:eastAsia="de-DE"/>
        </w:rPr>
      </w:pPr>
      <w:r w:rsidRPr="00036DFC">
        <w:rPr>
          <w:snapToGrid w:val="0"/>
          <w:szCs w:val="24"/>
        </w:rPr>
        <w:t>Za</w:t>
      </w:r>
      <w:r>
        <w:rPr>
          <w:snapToGrid w:val="0"/>
          <w:szCs w:val="24"/>
        </w:rPr>
        <w:t>stoupená</w:t>
      </w:r>
      <w:r w:rsidRPr="00036DFC">
        <w:rPr>
          <w:snapToGrid w:val="0"/>
          <w:szCs w:val="24"/>
        </w:rPr>
        <w:t xml:space="preserve">: </w:t>
      </w:r>
      <w:r w:rsidRPr="00036DFC">
        <w:rPr>
          <w:snapToGrid w:val="0"/>
          <w:szCs w:val="24"/>
        </w:rPr>
        <w:tab/>
      </w:r>
      <w:r>
        <w:rPr>
          <w:szCs w:val="24"/>
          <w:lang w:val="en-US" w:eastAsia="de-DE"/>
        </w:rPr>
        <w:t xml:space="preserve">Ing. </w:t>
      </w:r>
      <w:proofErr w:type="spellStart"/>
      <w:r>
        <w:rPr>
          <w:szCs w:val="24"/>
          <w:lang w:val="en-US" w:eastAsia="de-DE"/>
        </w:rPr>
        <w:t>Radomilem</w:t>
      </w:r>
      <w:proofErr w:type="spellEnd"/>
      <w:r>
        <w:rPr>
          <w:szCs w:val="24"/>
          <w:lang w:val="en-US" w:eastAsia="de-DE"/>
        </w:rPr>
        <w:t xml:space="preserve"> </w:t>
      </w:r>
      <w:proofErr w:type="spellStart"/>
      <w:r>
        <w:rPr>
          <w:szCs w:val="24"/>
          <w:lang w:val="en-US" w:eastAsia="de-DE"/>
        </w:rPr>
        <w:t>Doležalem</w:t>
      </w:r>
      <w:proofErr w:type="spellEnd"/>
      <w:r>
        <w:rPr>
          <w:szCs w:val="24"/>
          <w:lang w:val="en-US" w:eastAsia="de-DE"/>
        </w:rPr>
        <w:t xml:space="preserve">, MBA, </w:t>
      </w:r>
      <w:proofErr w:type="spellStart"/>
      <w:r>
        <w:rPr>
          <w:szCs w:val="24"/>
          <w:lang w:val="en-US" w:eastAsia="de-DE"/>
        </w:rPr>
        <w:t>generálním</w:t>
      </w:r>
      <w:proofErr w:type="spellEnd"/>
      <w:r>
        <w:rPr>
          <w:szCs w:val="24"/>
          <w:lang w:val="en-US" w:eastAsia="de-DE"/>
        </w:rPr>
        <w:t xml:space="preserve"> </w:t>
      </w:r>
      <w:proofErr w:type="spellStart"/>
      <w:r>
        <w:rPr>
          <w:szCs w:val="24"/>
          <w:lang w:val="en-US" w:eastAsia="de-DE"/>
        </w:rPr>
        <w:t>ředitelem</w:t>
      </w:r>
      <w:proofErr w:type="spellEnd"/>
    </w:p>
    <w:p w14:paraId="03469DCB" w14:textId="77777777" w:rsidR="00A635D0" w:rsidRPr="00517CCF" w:rsidRDefault="00A635D0" w:rsidP="00A635D0">
      <w:pPr>
        <w:keepNext/>
        <w:widowControl w:val="0"/>
        <w:tabs>
          <w:tab w:val="left" w:pos="2552"/>
          <w:tab w:val="left" w:pos="2884"/>
        </w:tabs>
        <w:spacing w:line="288" w:lineRule="auto"/>
        <w:rPr>
          <w:szCs w:val="24"/>
          <w:lang w:val="en-GB" w:eastAsia="de-DE"/>
        </w:rPr>
      </w:pPr>
    </w:p>
    <w:p w14:paraId="4720247A" w14:textId="77777777" w:rsidR="00A635D0" w:rsidRPr="00A635D0" w:rsidRDefault="00A635D0" w:rsidP="00A635D0">
      <w:pPr>
        <w:keepNext/>
        <w:widowControl w:val="0"/>
        <w:tabs>
          <w:tab w:val="left" w:pos="2552"/>
          <w:tab w:val="left" w:pos="2884"/>
        </w:tabs>
        <w:spacing w:line="288" w:lineRule="auto"/>
        <w:rPr>
          <w:szCs w:val="24"/>
          <w:lang w:val="de-DE" w:eastAsia="de-DE"/>
        </w:rPr>
      </w:pPr>
      <w:r>
        <w:rPr>
          <w:szCs w:val="24"/>
          <w:lang w:val="de-DE" w:eastAsia="de-DE"/>
        </w:rPr>
        <w:t>n</w:t>
      </w:r>
      <w:r w:rsidRPr="00A635D0">
        <w:rPr>
          <w:szCs w:val="24"/>
          <w:lang w:val="de-DE" w:eastAsia="de-DE"/>
        </w:rPr>
        <w:t xml:space="preserve">a </w:t>
      </w:r>
      <w:proofErr w:type="spellStart"/>
      <w:r>
        <w:rPr>
          <w:szCs w:val="24"/>
          <w:lang w:val="de-DE" w:eastAsia="de-DE"/>
        </w:rPr>
        <w:t>straně</w:t>
      </w:r>
      <w:proofErr w:type="spellEnd"/>
      <w:r>
        <w:rPr>
          <w:szCs w:val="24"/>
          <w:lang w:val="de-DE" w:eastAsia="de-DE"/>
        </w:rPr>
        <w:t xml:space="preserve"> </w:t>
      </w:r>
      <w:proofErr w:type="spellStart"/>
      <w:r>
        <w:rPr>
          <w:szCs w:val="24"/>
          <w:lang w:val="de-DE" w:eastAsia="de-DE"/>
        </w:rPr>
        <w:t>jedné</w:t>
      </w:r>
      <w:proofErr w:type="spellEnd"/>
      <w:r w:rsidRPr="00A635D0">
        <w:rPr>
          <w:szCs w:val="24"/>
          <w:lang w:val="de-DE" w:eastAsia="de-DE"/>
        </w:rPr>
        <w:t xml:space="preserve"> (</w:t>
      </w:r>
      <w:proofErr w:type="spellStart"/>
      <w:r w:rsidRPr="00A635D0">
        <w:rPr>
          <w:szCs w:val="24"/>
          <w:lang w:val="de-DE" w:eastAsia="de-DE"/>
        </w:rPr>
        <w:t>dále</w:t>
      </w:r>
      <w:proofErr w:type="spellEnd"/>
      <w:r w:rsidRPr="00A635D0">
        <w:rPr>
          <w:szCs w:val="24"/>
          <w:lang w:val="de-DE" w:eastAsia="de-DE"/>
        </w:rPr>
        <w:t xml:space="preserve"> </w:t>
      </w:r>
      <w:proofErr w:type="spellStart"/>
      <w:r w:rsidRPr="00A635D0">
        <w:rPr>
          <w:szCs w:val="24"/>
          <w:lang w:val="de-DE" w:eastAsia="de-DE"/>
        </w:rPr>
        <w:t>jen</w:t>
      </w:r>
      <w:proofErr w:type="spellEnd"/>
      <w:r w:rsidRPr="00A635D0">
        <w:rPr>
          <w:szCs w:val="24"/>
          <w:lang w:val="de-DE" w:eastAsia="de-DE"/>
        </w:rPr>
        <w:t xml:space="preserve"> “</w:t>
      </w:r>
      <w:proofErr w:type="spellStart"/>
      <w:r w:rsidRPr="00A635D0">
        <w:rPr>
          <w:szCs w:val="24"/>
          <w:lang w:val="de-DE" w:eastAsia="de-DE"/>
        </w:rPr>
        <w:t>mandant</w:t>
      </w:r>
      <w:proofErr w:type="spellEnd"/>
      <w:r w:rsidRPr="00A635D0">
        <w:rPr>
          <w:szCs w:val="24"/>
          <w:lang w:val="de-DE" w:eastAsia="de-DE"/>
        </w:rPr>
        <w:t>”)</w:t>
      </w:r>
    </w:p>
    <w:p w14:paraId="37242AD9" w14:textId="77777777" w:rsidR="00A635D0" w:rsidRPr="00A635D0" w:rsidRDefault="00A635D0" w:rsidP="00A635D0">
      <w:pPr>
        <w:keepNext/>
        <w:widowControl w:val="0"/>
        <w:tabs>
          <w:tab w:val="left" w:pos="2552"/>
          <w:tab w:val="left" w:pos="2884"/>
        </w:tabs>
        <w:spacing w:line="288" w:lineRule="auto"/>
        <w:rPr>
          <w:szCs w:val="24"/>
          <w:lang w:val="de-DE" w:eastAsia="de-DE"/>
        </w:rPr>
      </w:pPr>
    </w:p>
    <w:p w14:paraId="018C9F1A" w14:textId="77777777" w:rsidR="00A635D0" w:rsidRDefault="00A635D0" w:rsidP="00A635D0">
      <w:pPr>
        <w:keepNext/>
        <w:widowControl w:val="0"/>
        <w:tabs>
          <w:tab w:val="left" w:pos="2552"/>
          <w:tab w:val="left" w:pos="2884"/>
        </w:tabs>
        <w:spacing w:line="288" w:lineRule="auto"/>
        <w:rPr>
          <w:szCs w:val="24"/>
          <w:lang w:val="en-US" w:eastAsia="de-DE"/>
        </w:rPr>
      </w:pPr>
      <w:proofErr w:type="gramStart"/>
      <w:r>
        <w:rPr>
          <w:szCs w:val="24"/>
          <w:lang w:val="en-US" w:eastAsia="de-DE"/>
        </w:rPr>
        <w:t>a</w:t>
      </w:r>
      <w:proofErr w:type="gramEnd"/>
    </w:p>
    <w:p w14:paraId="0AC05AE0" w14:textId="77777777" w:rsidR="00A635D0" w:rsidRDefault="00A635D0" w:rsidP="00A635D0">
      <w:pPr>
        <w:keepNext/>
        <w:widowControl w:val="0"/>
        <w:tabs>
          <w:tab w:val="left" w:pos="2552"/>
          <w:tab w:val="left" w:pos="2884"/>
        </w:tabs>
        <w:spacing w:line="288" w:lineRule="auto"/>
        <w:rPr>
          <w:szCs w:val="24"/>
          <w:lang w:val="en-US" w:eastAsia="de-DE"/>
        </w:rPr>
      </w:pPr>
    </w:p>
    <w:p w14:paraId="106B0039" w14:textId="65742BC7" w:rsidR="00A635D0" w:rsidRPr="005C2115" w:rsidRDefault="005C2115" w:rsidP="00A635D0">
      <w:pPr>
        <w:keepNext/>
        <w:widowControl w:val="0"/>
        <w:tabs>
          <w:tab w:val="left" w:pos="2552"/>
          <w:tab w:val="left" w:pos="2884"/>
        </w:tabs>
        <w:spacing w:line="288" w:lineRule="auto"/>
        <w:rPr>
          <w:b/>
          <w:szCs w:val="24"/>
          <w:lang w:val="en-US" w:eastAsia="de-DE"/>
        </w:rPr>
      </w:pPr>
      <w:r w:rsidRPr="005C2115">
        <w:rPr>
          <w:b/>
          <w:szCs w:val="24"/>
          <w:lang w:val="en-US" w:eastAsia="de-DE"/>
        </w:rPr>
        <w:t xml:space="preserve">MT Legal s.r.o., </w:t>
      </w:r>
      <w:proofErr w:type="spellStart"/>
      <w:r w:rsidRPr="005C2115">
        <w:rPr>
          <w:b/>
          <w:szCs w:val="24"/>
          <w:lang w:val="en-US" w:eastAsia="de-DE"/>
        </w:rPr>
        <w:t>advokátní</w:t>
      </w:r>
      <w:proofErr w:type="spellEnd"/>
      <w:r w:rsidRPr="005C2115">
        <w:rPr>
          <w:b/>
          <w:szCs w:val="24"/>
          <w:lang w:val="en-US" w:eastAsia="de-DE"/>
        </w:rPr>
        <w:t xml:space="preserve"> </w:t>
      </w:r>
      <w:proofErr w:type="spellStart"/>
      <w:r w:rsidRPr="005C2115">
        <w:rPr>
          <w:b/>
          <w:szCs w:val="24"/>
          <w:lang w:val="en-US" w:eastAsia="de-DE"/>
        </w:rPr>
        <w:t>kancelář</w:t>
      </w:r>
      <w:proofErr w:type="spellEnd"/>
    </w:p>
    <w:p w14:paraId="73F43633" w14:textId="4E10151B" w:rsidR="00A635D0" w:rsidRPr="00A635D0" w:rsidRDefault="00A635D0" w:rsidP="00A635D0">
      <w:pPr>
        <w:keepNext/>
        <w:widowControl w:val="0"/>
        <w:tabs>
          <w:tab w:val="left" w:pos="2552"/>
          <w:tab w:val="left" w:pos="2884"/>
        </w:tabs>
        <w:spacing w:line="288" w:lineRule="auto"/>
        <w:rPr>
          <w:szCs w:val="24"/>
          <w:lang w:val="en-US" w:eastAsia="de-DE"/>
        </w:rPr>
      </w:pPr>
      <w:r w:rsidRPr="00036DFC">
        <w:rPr>
          <w:snapToGrid w:val="0"/>
          <w:szCs w:val="24"/>
        </w:rPr>
        <w:t>IČ:</w:t>
      </w:r>
      <w:r>
        <w:rPr>
          <w:snapToGrid w:val="0"/>
          <w:szCs w:val="24"/>
        </w:rPr>
        <w:tab/>
      </w:r>
      <w:r w:rsidR="005C2115">
        <w:rPr>
          <w:szCs w:val="24"/>
          <w:lang w:val="en-US" w:eastAsia="de-DE"/>
        </w:rPr>
        <w:t>28305043</w:t>
      </w:r>
    </w:p>
    <w:p w14:paraId="7AD04084" w14:textId="6AE2E34A" w:rsidR="00A635D0" w:rsidRPr="00A635D0" w:rsidRDefault="00A635D0" w:rsidP="00A635D0">
      <w:pPr>
        <w:keepNext/>
        <w:widowControl w:val="0"/>
        <w:tabs>
          <w:tab w:val="left" w:pos="2552"/>
          <w:tab w:val="left" w:pos="2884"/>
        </w:tabs>
        <w:spacing w:line="288" w:lineRule="auto"/>
        <w:rPr>
          <w:szCs w:val="24"/>
          <w:lang w:val="en-US" w:eastAsia="de-DE"/>
        </w:rPr>
      </w:pPr>
      <w:r w:rsidRPr="00036DFC">
        <w:rPr>
          <w:snapToGrid w:val="0"/>
          <w:szCs w:val="24"/>
        </w:rPr>
        <w:t>Se sídlem:</w:t>
      </w:r>
      <w:r>
        <w:rPr>
          <w:snapToGrid w:val="0"/>
          <w:szCs w:val="24"/>
        </w:rPr>
        <w:tab/>
      </w:r>
      <w:proofErr w:type="spellStart"/>
      <w:r w:rsidR="005C2115">
        <w:rPr>
          <w:szCs w:val="24"/>
          <w:lang w:val="en-US" w:eastAsia="de-DE"/>
        </w:rPr>
        <w:t>Jakubská</w:t>
      </w:r>
      <w:proofErr w:type="spellEnd"/>
      <w:r w:rsidR="005C2115">
        <w:rPr>
          <w:szCs w:val="24"/>
          <w:lang w:val="en-US" w:eastAsia="de-DE"/>
        </w:rPr>
        <w:t xml:space="preserve"> 121/1, Brno, PSČ 602 00</w:t>
      </w:r>
    </w:p>
    <w:p w14:paraId="22480576" w14:textId="0B76561A" w:rsidR="00A635D0" w:rsidRPr="00A635D0" w:rsidRDefault="00A635D0" w:rsidP="00A635D0">
      <w:pPr>
        <w:keepNext/>
        <w:widowControl w:val="0"/>
        <w:tabs>
          <w:tab w:val="left" w:pos="2552"/>
          <w:tab w:val="left" w:pos="2884"/>
        </w:tabs>
        <w:spacing w:line="288" w:lineRule="auto"/>
        <w:rPr>
          <w:szCs w:val="24"/>
          <w:lang w:val="en-US" w:eastAsia="de-DE"/>
        </w:rPr>
      </w:pPr>
      <w:r w:rsidRPr="00036DFC">
        <w:rPr>
          <w:snapToGrid w:val="0"/>
          <w:szCs w:val="24"/>
        </w:rPr>
        <w:t>Zapsaná:</w:t>
      </w:r>
      <w:r>
        <w:rPr>
          <w:snapToGrid w:val="0"/>
          <w:szCs w:val="24"/>
        </w:rPr>
        <w:tab/>
      </w:r>
      <w:r w:rsidR="005C2115">
        <w:rPr>
          <w:szCs w:val="24"/>
          <w:lang w:val="en-US" w:eastAsia="de-DE"/>
        </w:rPr>
        <w:t xml:space="preserve">v </w:t>
      </w:r>
      <w:proofErr w:type="spellStart"/>
      <w:r w:rsidR="005C2115">
        <w:rPr>
          <w:szCs w:val="24"/>
          <w:lang w:val="en-US" w:eastAsia="de-DE"/>
        </w:rPr>
        <w:t>obchodním</w:t>
      </w:r>
      <w:proofErr w:type="spellEnd"/>
      <w:r w:rsidR="005C2115">
        <w:rPr>
          <w:szCs w:val="24"/>
          <w:lang w:val="en-US" w:eastAsia="de-DE"/>
        </w:rPr>
        <w:t xml:space="preserve"> </w:t>
      </w:r>
      <w:proofErr w:type="spellStart"/>
      <w:r w:rsidR="005C2115">
        <w:rPr>
          <w:szCs w:val="24"/>
          <w:lang w:val="en-US" w:eastAsia="de-DE"/>
        </w:rPr>
        <w:t>rejstříku</w:t>
      </w:r>
      <w:proofErr w:type="spellEnd"/>
      <w:r w:rsidR="005C2115">
        <w:rPr>
          <w:szCs w:val="24"/>
          <w:lang w:val="en-US" w:eastAsia="de-DE"/>
        </w:rPr>
        <w:t xml:space="preserve"> </w:t>
      </w:r>
      <w:proofErr w:type="spellStart"/>
      <w:r w:rsidR="005C2115">
        <w:rPr>
          <w:szCs w:val="24"/>
          <w:lang w:val="en-US" w:eastAsia="de-DE"/>
        </w:rPr>
        <w:t>vedeném</w:t>
      </w:r>
      <w:proofErr w:type="spellEnd"/>
      <w:r w:rsidR="005C2115">
        <w:rPr>
          <w:szCs w:val="24"/>
          <w:lang w:val="en-US" w:eastAsia="de-DE"/>
        </w:rPr>
        <w:t xml:space="preserve"> u KS v </w:t>
      </w:r>
      <w:proofErr w:type="spellStart"/>
      <w:r w:rsidR="005C2115">
        <w:rPr>
          <w:szCs w:val="24"/>
          <w:lang w:val="en-US" w:eastAsia="de-DE"/>
        </w:rPr>
        <w:t>Brně</w:t>
      </w:r>
      <w:proofErr w:type="spellEnd"/>
      <w:r w:rsidR="00823004">
        <w:rPr>
          <w:szCs w:val="24"/>
          <w:lang w:val="en-US" w:eastAsia="de-DE"/>
        </w:rPr>
        <w:t xml:space="preserve">, </w:t>
      </w:r>
      <w:proofErr w:type="spellStart"/>
      <w:r w:rsidR="00823004">
        <w:rPr>
          <w:szCs w:val="24"/>
          <w:lang w:val="en-US" w:eastAsia="de-DE"/>
        </w:rPr>
        <w:t>oddíl</w:t>
      </w:r>
      <w:proofErr w:type="spellEnd"/>
      <w:r w:rsidR="00823004">
        <w:rPr>
          <w:szCs w:val="24"/>
          <w:lang w:val="en-US" w:eastAsia="de-DE"/>
        </w:rPr>
        <w:t xml:space="preserve"> C, </w:t>
      </w:r>
      <w:proofErr w:type="spellStart"/>
      <w:r w:rsidR="00823004">
        <w:rPr>
          <w:szCs w:val="24"/>
          <w:lang w:val="en-US" w:eastAsia="de-DE"/>
        </w:rPr>
        <w:t>vložka</w:t>
      </w:r>
      <w:proofErr w:type="spellEnd"/>
      <w:r w:rsidR="00823004">
        <w:rPr>
          <w:szCs w:val="24"/>
          <w:lang w:val="en-US" w:eastAsia="de-DE"/>
        </w:rPr>
        <w:t xml:space="preserve"> 60014</w:t>
      </w:r>
    </w:p>
    <w:p w14:paraId="40063CEF" w14:textId="6DB0AD01" w:rsidR="00A635D0" w:rsidRPr="00A635D0" w:rsidRDefault="00A635D0" w:rsidP="00A635D0">
      <w:pPr>
        <w:keepNext/>
        <w:widowControl w:val="0"/>
        <w:tabs>
          <w:tab w:val="left" w:pos="2552"/>
          <w:tab w:val="left" w:pos="2884"/>
        </w:tabs>
        <w:spacing w:line="288" w:lineRule="auto"/>
        <w:rPr>
          <w:szCs w:val="24"/>
          <w:lang w:val="en-US" w:eastAsia="de-DE"/>
        </w:rPr>
      </w:pPr>
      <w:r>
        <w:rPr>
          <w:color w:val="000000"/>
          <w:szCs w:val="24"/>
          <w:lang w:eastAsia="de-DE"/>
        </w:rPr>
        <w:t>B</w:t>
      </w:r>
      <w:r w:rsidRPr="00036DFC">
        <w:rPr>
          <w:color w:val="000000"/>
          <w:szCs w:val="24"/>
          <w:lang w:eastAsia="de-DE"/>
        </w:rPr>
        <w:t>ankovní spojení:</w:t>
      </w:r>
      <w:r>
        <w:rPr>
          <w:color w:val="000000"/>
          <w:szCs w:val="24"/>
          <w:lang w:eastAsia="de-DE"/>
        </w:rPr>
        <w:tab/>
      </w:r>
      <w:proofErr w:type="spellStart"/>
      <w:r w:rsidR="005C2115">
        <w:rPr>
          <w:color w:val="000000"/>
          <w:szCs w:val="24"/>
          <w:lang w:eastAsia="de-DE"/>
        </w:rPr>
        <w:t>UniCredit</w:t>
      </w:r>
      <w:proofErr w:type="spellEnd"/>
      <w:r w:rsidR="005C2115">
        <w:rPr>
          <w:color w:val="000000"/>
          <w:szCs w:val="24"/>
          <w:lang w:eastAsia="de-DE"/>
        </w:rPr>
        <w:t xml:space="preserve"> Bank Czech Republic, a.s., </w:t>
      </w:r>
      <w:r w:rsidR="005C2115">
        <w:rPr>
          <w:szCs w:val="24"/>
          <w:lang w:val="en-US" w:eastAsia="de-DE"/>
        </w:rPr>
        <w:t>1002755137/2700</w:t>
      </w:r>
    </w:p>
    <w:p w14:paraId="4A5C7816" w14:textId="71342A9D" w:rsidR="00A635D0" w:rsidRPr="00A635D0" w:rsidRDefault="00A635D0" w:rsidP="00A635D0">
      <w:pPr>
        <w:keepNext/>
        <w:widowControl w:val="0"/>
        <w:tabs>
          <w:tab w:val="left" w:pos="2552"/>
          <w:tab w:val="left" w:pos="2884"/>
        </w:tabs>
        <w:spacing w:line="288" w:lineRule="auto"/>
        <w:rPr>
          <w:szCs w:val="24"/>
          <w:lang w:val="en-US" w:eastAsia="de-DE"/>
        </w:rPr>
      </w:pPr>
      <w:r w:rsidRPr="00036DFC">
        <w:rPr>
          <w:snapToGrid w:val="0"/>
          <w:szCs w:val="24"/>
        </w:rPr>
        <w:t>Za</w:t>
      </w:r>
      <w:r>
        <w:rPr>
          <w:snapToGrid w:val="0"/>
          <w:szCs w:val="24"/>
        </w:rPr>
        <w:t>stoupená</w:t>
      </w:r>
      <w:r w:rsidRPr="00036DFC">
        <w:rPr>
          <w:snapToGrid w:val="0"/>
          <w:szCs w:val="24"/>
        </w:rPr>
        <w:t>:</w:t>
      </w:r>
      <w:r>
        <w:rPr>
          <w:snapToGrid w:val="0"/>
          <w:szCs w:val="24"/>
        </w:rPr>
        <w:tab/>
      </w:r>
      <w:r w:rsidR="005C2115">
        <w:rPr>
          <w:szCs w:val="24"/>
          <w:lang w:val="en-US" w:eastAsia="de-DE"/>
        </w:rPr>
        <w:t xml:space="preserve">Mgr. </w:t>
      </w:r>
      <w:proofErr w:type="spellStart"/>
      <w:r w:rsidR="005C2115">
        <w:rPr>
          <w:szCs w:val="24"/>
          <w:lang w:val="en-US" w:eastAsia="de-DE"/>
        </w:rPr>
        <w:t>Tomášem</w:t>
      </w:r>
      <w:proofErr w:type="spellEnd"/>
      <w:r w:rsidR="005C2115">
        <w:rPr>
          <w:szCs w:val="24"/>
          <w:lang w:val="en-US" w:eastAsia="de-DE"/>
        </w:rPr>
        <w:t xml:space="preserve"> </w:t>
      </w:r>
      <w:proofErr w:type="spellStart"/>
      <w:r w:rsidR="005C2115">
        <w:rPr>
          <w:szCs w:val="24"/>
          <w:lang w:val="en-US" w:eastAsia="de-DE"/>
        </w:rPr>
        <w:t>Machurkem</w:t>
      </w:r>
      <w:proofErr w:type="spellEnd"/>
      <w:r w:rsidR="00823004">
        <w:rPr>
          <w:szCs w:val="24"/>
          <w:lang w:val="en-US" w:eastAsia="de-DE"/>
        </w:rPr>
        <w:t xml:space="preserve">, </w:t>
      </w:r>
      <w:proofErr w:type="spellStart"/>
      <w:r w:rsidR="00823004">
        <w:rPr>
          <w:szCs w:val="24"/>
          <w:lang w:val="en-US" w:eastAsia="de-DE"/>
        </w:rPr>
        <w:t>jednatelem</w:t>
      </w:r>
      <w:proofErr w:type="spellEnd"/>
    </w:p>
    <w:p w14:paraId="5877C6F9" w14:textId="77777777" w:rsidR="00A635D0" w:rsidRDefault="00A635D0" w:rsidP="00A635D0">
      <w:pPr>
        <w:keepNext/>
        <w:widowControl w:val="0"/>
        <w:tabs>
          <w:tab w:val="left" w:pos="2552"/>
          <w:tab w:val="left" w:pos="2884"/>
        </w:tabs>
        <w:spacing w:line="288" w:lineRule="auto"/>
        <w:rPr>
          <w:color w:val="000000"/>
          <w:szCs w:val="24"/>
          <w:lang w:eastAsia="de-DE"/>
        </w:rPr>
      </w:pPr>
    </w:p>
    <w:p w14:paraId="06191647" w14:textId="77777777" w:rsidR="00A635D0" w:rsidRDefault="00A635D0" w:rsidP="00A635D0">
      <w:pPr>
        <w:keepNext/>
        <w:widowControl w:val="0"/>
        <w:tabs>
          <w:tab w:val="left" w:pos="2552"/>
          <w:tab w:val="left" w:pos="2884"/>
        </w:tabs>
        <w:spacing w:line="288" w:lineRule="auto"/>
        <w:rPr>
          <w:color w:val="000000"/>
          <w:szCs w:val="24"/>
          <w:lang w:eastAsia="de-DE"/>
        </w:rPr>
      </w:pPr>
      <w:r>
        <w:rPr>
          <w:color w:val="000000"/>
          <w:szCs w:val="24"/>
          <w:lang w:eastAsia="de-DE"/>
        </w:rPr>
        <w:t>na straně druhé (dále jen „advokátní kancelář“)</w:t>
      </w:r>
    </w:p>
    <w:p w14:paraId="0B7850C7" w14:textId="77777777" w:rsidR="00A635D0" w:rsidRDefault="00A635D0" w:rsidP="00A635D0">
      <w:pPr>
        <w:keepNext/>
        <w:widowControl w:val="0"/>
        <w:tabs>
          <w:tab w:val="left" w:pos="2552"/>
          <w:tab w:val="left" w:pos="2884"/>
        </w:tabs>
        <w:spacing w:line="288" w:lineRule="auto"/>
        <w:rPr>
          <w:snapToGrid w:val="0"/>
          <w:szCs w:val="24"/>
        </w:rPr>
      </w:pPr>
    </w:p>
    <w:p w14:paraId="21BF9180" w14:textId="77777777" w:rsidR="00CF1026" w:rsidRDefault="00CF1026" w:rsidP="00CF1026">
      <w:pPr>
        <w:keepNext/>
        <w:widowControl w:val="0"/>
        <w:tabs>
          <w:tab w:val="left" w:pos="2552"/>
          <w:tab w:val="left" w:pos="2884"/>
        </w:tabs>
        <w:spacing w:line="288" w:lineRule="auto"/>
        <w:jc w:val="center"/>
        <w:rPr>
          <w:snapToGrid w:val="0"/>
          <w:szCs w:val="24"/>
        </w:rPr>
      </w:pPr>
      <w:r>
        <w:rPr>
          <w:snapToGrid w:val="0"/>
          <w:szCs w:val="24"/>
        </w:rPr>
        <w:t>(mandant a advokátní kancelář jsou dále označováni společně též jako „smluvní strany“ a jednotlivě jako „smluvní strana“ a tato smlouva dále též jako „smlouva“)</w:t>
      </w:r>
    </w:p>
    <w:p w14:paraId="4D3D9F9C" w14:textId="77777777" w:rsidR="00CF1026" w:rsidRDefault="00CF1026" w:rsidP="00CF1026">
      <w:pPr>
        <w:keepNext/>
        <w:widowControl w:val="0"/>
        <w:tabs>
          <w:tab w:val="left" w:pos="2552"/>
          <w:tab w:val="left" w:pos="2884"/>
        </w:tabs>
        <w:spacing w:line="288" w:lineRule="auto"/>
        <w:jc w:val="center"/>
        <w:rPr>
          <w:snapToGrid w:val="0"/>
          <w:szCs w:val="24"/>
        </w:rPr>
      </w:pPr>
    </w:p>
    <w:p w14:paraId="502101C8" w14:textId="77777777" w:rsidR="00CF1026" w:rsidRPr="00212961" w:rsidRDefault="00CF1026" w:rsidP="00CF1026">
      <w:pPr>
        <w:keepNext/>
        <w:widowControl w:val="0"/>
        <w:tabs>
          <w:tab w:val="left" w:pos="2552"/>
          <w:tab w:val="left" w:pos="2884"/>
        </w:tabs>
        <w:spacing w:line="288" w:lineRule="auto"/>
        <w:jc w:val="center"/>
        <w:rPr>
          <w:b/>
          <w:snapToGrid w:val="0"/>
          <w:szCs w:val="24"/>
        </w:rPr>
      </w:pPr>
      <w:r w:rsidRPr="00212961">
        <w:rPr>
          <w:b/>
          <w:snapToGrid w:val="0"/>
          <w:szCs w:val="24"/>
        </w:rPr>
        <w:t>I.</w:t>
      </w:r>
    </w:p>
    <w:p w14:paraId="1D4E34E4" w14:textId="77777777" w:rsidR="00CF1026" w:rsidRPr="00B005D2" w:rsidRDefault="00CF1026" w:rsidP="00B005D2">
      <w:pPr>
        <w:keepNext/>
        <w:widowControl w:val="0"/>
        <w:tabs>
          <w:tab w:val="left" w:pos="2552"/>
          <w:tab w:val="left" w:pos="2884"/>
        </w:tabs>
        <w:spacing w:line="288" w:lineRule="auto"/>
        <w:jc w:val="center"/>
        <w:rPr>
          <w:b/>
          <w:snapToGrid w:val="0"/>
          <w:szCs w:val="24"/>
        </w:rPr>
      </w:pPr>
      <w:r w:rsidRPr="00B005D2">
        <w:rPr>
          <w:b/>
          <w:snapToGrid w:val="0"/>
          <w:szCs w:val="24"/>
        </w:rPr>
        <w:t>Předmět smlouvy</w:t>
      </w:r>
    </w:p>
    <w:p w14:paraId="5C4FE37F" w14:textId="44B5699E" w:rsidR="00B02B23" w:rsidRDefault="00CF1026" w:rsidP="00607F47">
      <w:pPr>
        <w:pStyle w:val="Odstavecseseznamem"/>
        <w:keepNext/>
        <w:widowControl w:val="0"/>
        <w:numPr>
          <w:ilvl w:val="0"/>
          <w:numId w:val="3"/>
        </w:numPr>
        <w:tabs>
          <w:tab w:val="left" w:pos="2552"/>
          <w:tab w:val="left" w:pos="2884"/>
        </w:tabs>
        <w:spacing w:line="288" w:lineRule="auto"/>
        <w:jc w:val="both"/>
        <w:rPr>
          <w:snapToGrid w:val="0"/>
          <w:szCs w:val="24"/>
        </w:rPr>
      </w:pPr>
      <w:r w:rsidRPr="00CF1026">
        <w:rPr>
          <w:snapToGrid w:val="0"/>
          <w:szCs w:val="24"/>
        </w:rPr>
        <w:t xml:space="preserve">Předmětem této smlouvy je poskytování právních služeb advokátní kanceláří na základě pokynu mandanta, přičemž poskytováním právních služeb se rozumí poskytování právního </w:t>
      </w:r>
      <w:r w:rsidRPr="00CF1026">
        <w:rPr>
          <w:snapToGrid w:val="0"/>
          <w:szCs w:val="24"/>
        </w:rPr>
        <w:lastRenderedPageBreak/>
        <w:t xml:space="preserve">poradenství </w:t>
      </w:r>
      <w:r w:rsidR="00607F47">
        <w:rPr>
          <w:snapToGrid w:val="0"/>
          <w:szCs w:val="24"/>
        </w:rPr>
        <w:t xml:space="preserve">v rozsahu činnosti a potřeb mandanta, a to zejména v oblasti smluvních vztahů mandanta spočívající v sepisu a připomínkování smluvních dokumentů, a to i v cizojazyčných mutacích, </w:t>
      </w:r>
      <w:r w:rsidR="00B02B23">
        <w:rPr>
          <w:snapToGrid w:val="0"/>
          <w:szCs w:val="24"/>
        </w:rPr>
        <w:t xml:space="preserve">právní </w:t>
      </w:r>
      <w:r w:rsidR="00607F47">
        <w:rPr>
          <w:snapToGrid w:val="0"/>
          <w:szCs w:val="24"/>
        </w:rPr>
        <w:t xml:space="preserve">poradenství v oblasti vnitřních předpisů mandanta, </w:t>
      </w:r>
      <w:r w:rsidR="00B02B23">
        <w:rPr>
          <w:snapToGrid w:val="0"/>
          <w:szCs w:val="24"/>
        </w:rPr>
        <w:t xml:space="preserve">právní poradenství v oblasti čerpání prostředků z Evropských strukturálních fondů při realizaci interních projektů spolufinancovaných ze </w:t>
      </w:r>
      <w:r w:rsidR="00212961">
        <w:rPr>
          <w:snapToGrid w:val="0"/>
          <w:szCs w:val="24"/>
        </w:rPr>
        <w:t>S</w:t>
      </w:r>
      <w:r w:rsidR="00B02B23">
        <w:rPr>
          <w:snapToGrid w:val="0"/>
          <w:szCs w:val="24"/>
        </w:rPr>
        <w:t>trukturálních fondů EU, právní poradenství v oblasti sporové agendy, a to i sporové agendy s mezinárodním prvkem, právní poradenství v oblasti práv duševního vlastnictví a práv průmyslových, v oblasti pracovněprávních vztahů apod., to vše ve formě zpracování příslušné dokumentace, sepisu listin, poskytování právních rad a konzultací, písemných vyjádření a odborných stanovisek, poskytování podpory při jednání mandanta a zastupování mandanta před soudy a jinými orgány na základě udělené plné moci.</w:t>
      </w:r>
    </w:p>
    <w:p w14:paraId="7FD762B6" w14:textId="77777777" w:rsidR="001D3C99" w:rsidRDefault="001D3C99" w:rsidP="001D3C99">
      <w:pPr>
        <w:pStyle w:val="Odstavecseseznamem"/>
        <w:keepNext/>
        <w:widowControl w:val="0"/>
        <w:tabs>
          <w:tab w:val="left" w:pos="2552"/>
          <w:tab w:val="left" w:pos="2884"/>
        </w:tabs>
        <w:spacing w:line="288" w:lineRule="auto"/>
        <w:jc w:val="both"/>
        <w:rPr>
          <w:snapToGrid w:val="0"/>
          <w:szCs w:val="24"/>
        </w:rPr>
      </w:pPr>
    </w:p>
    <w:p w14:paraId="04F2EFAF" w14:textId="77777777" w:rsidR="00CF1026" w:rsidRDefault="00B02B23" w:rsidP="00607F47">
      <w:pPr>
        <w:pStyle w:val="Odstavecseseznamem"/>
        <w:keepNext/>
        <w:widowControl w:val="0"/>
        <w:numPr>
          <w:ilvl w:val="0"/>
          <w:numId w:val="3"/>
        </w:numPr>
        <w:tabs>
          <w:tab w:val="left" w:pos="2552"/>
          <w:tab w:val="left" w:pos="2884"/>
        </w:tabs>
        <w:spacing w:line="288" w:lineRule="auto"/>
        <w:jc w:val="both"/>
        <w:rPr>
          <w:snapToGrid w:val="0"/>
          <w:szCs w:val="24"/>
        </w:rPr>
      </w:pPr>
      <w:r>
        <w:rPr>
          <w:snapToGrid w:val="0"/>
          <w:szCs w:val="24"/>
        </w:rPr>
        <w:t xml:space="preserve">Advokátní kancelář bude postupovat dle konkrétního pokynu a zadání mandanta ve smyslu zákona č. </w:t>
      </w:r>
      <w:r w:rsidR="001D3C99">
        <w:rPr>
          <w:snapToGrid w:val="0"/>
          <w:szCs w:val="24"/>
        </w:rPr>
        <w:t>85/1996 Sb., o advokacii, ve zně</w:t>
      </w:r>
      <w:r>
        <w:rPr>
          <w:snapToGrid w:val="0"/>
          <w:szCs w:val="24"/>
        </w:rPr>
        <w:t xml:space="preserve">ní pozdějších předpisů, dalších právních předpisů a stavovských předpisů České advokátní komory.  </w:t>
      </w:r>
    </w:p>
    <w:p w14:paraId="76E1C0F2" w14:textId="77777777" w:rsidR="001D3C99" w:rsidRPr="001D3C99" w:rsidRDefault="001D3C99" w:rsidP="001D3C99">
      <w:pPr>
        <w:pStyle w:val="Odstavecseseznamem"/>
        <w:rPr>
          <w:snapToGrid w:val="0"/>
          <w:szCs w:val="24"/>
        </w:rPr>
      </w:pPr>
    </w:p>
    <w:p w14:paraId="4DB402D8" w14:textId="77777777" w:rsidR="001D3C99" w:rsidRDefault="001D3C99" w:rsidP="00607F47">
      <w:pPr>
        <w:pStyle w:val="Odstavecseseznamem"/>
        <w:keepNext/>
        <w:widowControl w:val="0"/>
        <w:numPr>
          <w:ilvl w:val="0"/>
          <w:numId w:val="3"/>
        </w:numPr>
        <w:tabs>
          <w:tab w:val="left" w:pos="2552"/>
          <w:tab w:val="left" w:pos="2884"/>
        </w:tabs>
        <w:spacing w:line="288" w:lineRule="auto"/>
        <w:jc w:val="both"/>
        <w:rPr>
          <w:snapToGrid w:val="0"/>
          <w:szCs w:val="24"/>
        </w:rPr>
      </w:pPr>
      <w:r>
        <w:rPr>
          <w:snapToGrid w:val="0"/>
          <w:szCs w:val="24"/>
        </w:rPr>
        <w:t xml:space="preserve">Advokátní kancelář je povinna poskytnout mandantovi požadovanou právní službu ve lhůtě přiměřené konkrétnímu úkonu, vždy však v takové lhůtě, aby nedošlo k ohrožení zachování práv mandanta a/nebo k újmě na právech mandanta, a to při dodržení </w:t>
      </w:r>
      <w:r w:rsidR="00400596">
        <w:rPr>
          <w:snapToGrid w:val="0"/>
          <w:szCs w:val="24"/>
        </w:rPr>
        <w:t>náležité péče o právní záležitosti mandanta v dále vymezeném rozsahu a dosažení příslušného stupně ochrany jeho práv a zájmů právními prostředky.</w:t>
      </w:r>
    </w:p>
    <w:p w14:paraId="0DDDE6EC" w14:textId="77777777" w:rsidR="00400596" w:rsidRDefault="00400596" w:rsidP="00400596">
      <w:pPr>
        <w:pStyle w:val="Odstavecseseznamem"/>
        <w:rPr>
          <w:snapToGrid w:val="0"/>
          <w:szCs w:val="24"/>
        </w:rPr>
      </w:pPr>
    </w:p>
    <w:p w14:paraId="3146BF7D" w14:textId="77777777" w:rsidR="0028332E" w:rsidRPr="00400596" w:rsidRDefault="0028332E" w:rsidP="00400596">
      <w:pPr>
        <w:pStyle w:val="Odstavecseseznamem"/>
        <w:rPr>
          <w:snapToGrid w:val="0"/>
          <w:szCs w:val="24"/>
        </w:rPr>
      </w:pPr>
    </w:p>
    <w:p w14:paraId="14F0A608" w14:textId="77777777" w:rsidR="00400596" w:rsidRPr="00212961" w:rsidRDefault="00400596" w:rsidP="00400596">
      <w:pPr>
        <w:keepNext/>
        <w:widowControl w:val="0"/>
        <w:tabs>
          <w:tab w:val="left" w:pos="2552"/>
          <w:tab w:val="left" w:pos="2884"/>
        </w:tabs>
        <w:spacing w:line="288" w:lineRule="auto"/>
        <w:jc w:val="center"/>
        <w:rPr>
          <w:b/>
          <w:snapToGrid w:val="0"/>
          <w:szCs w:val="24"/>
        </w:rPr>
      </w:pPr>
      <w:r w:rsidRPr="00212961">
        <w:rPr>
          <w:b/>
          <w:snapToGrid w:val="0"/>
          <w:szCs w:val="24"/>
        </w:rPr>
        <w:t>II.</w:t>
      </w:r>
    </w:p>
    <w:p w14:paraId="6F1E4085" w14:textId="0E5B6A9A" w:rsidR="00400596" w:rsidRDefault="00400596" w:rsidP="00517CCF">
      <w:pPr>
        <w:pStyle w:val="Odstavecseseznamem"/>
        <w:keepNext/>
        <w:widowControl w:val="0"/>
        <w:numPr>
          <w:ilvl w:val="0"/>
          <w:numId w:val="4"/>
        </w:numPr>
        <w:tabs>
          <w:tab w:val="left" w:pos="2552"/>
          <w:tab w:val="left" w:pos="2884"/>
        </w:tabs>
        <w:spacing w:line="288" w:lineRule="auto"/>
        <w:jc w:val="both"/>
        <w:rPr>
          <w:snapToGrid w:val="0"/>
          <w:szCs w:val="24"/>
        </w:rPr>
      </w:pPr>
      <w:r>
        <w:rPr>
          <w:snapToGrid w:val="0"/>
          <w:szCs w:val="24"/>
        </w:rPr>
        <w:t xml:space="preserve">Tato smlouva je uzavřena na dobu určitou, a to od </w:t>
      </w:r>
      <w:r w:rsidR="0028332E">
        <w:rPr>
          <w:snapToGrid w:val="0"/>
          <w:szCs w:val="24"/>
        </w:rPr>
        <w:t>data podpisu smlouvy oběma smluvními stranami</w:t>
      </w:r>
      <w:r w:rsidR="00212961">
        <w:rPr>
          <w:snapToGrid w:val="0"/>
          <w:szCs w:val="24"/>
        </w:rPr>
        <w:t xml:space="preserve"> </w:t>
      </w:r>
      <w:r>
        <w:rPr>
          <w:snapToGrid w:val="0"/>
          <w:szCs w:val="24"/>
        </w:rPr>
        <w:t>do 31.</w:t>
      </w:r>
      <w:r w:rsidR="00212961">
        <w:rPr>
          <w:snapToGrid w:val="0"/>
          <w:szCs w:val="24"/>
        </w:rPr>
        <w:t xml:space="preserve"> </w:t>
      </w:r>
      <w:r>
        <w:rPr>
          <w:snapToGrid w:val="0"/>
          <w:szCs w:val="24"/>
        </w:rPr>
        <w:t>12.</w:t>
      </w:r>
      <w:r w:rsidR="00212961">
        <w:rPr>
          <w:snapToGrid w:val="0"/>
          <w:szCs w:val="24"/>
        </w:rPr>
        <w:t xml:space="preserve"> </w:t>
      </w:r>
      <w:r>
        <w:rPr>
          <w:snapToGrid w:val="0"/>
          <w:szCs w:val="24"/>
        </w:rPr>
        <w:t>2016.</w:t>
      </w:r>
    </w:p>
    <w:p w14:paraId="71CD4BE7" w14:textId="77777777" w:rsidR="00012396" w:rsidRPr="00012396" w:rsidRDefault="00400596" w:rsidP="00012396">
      <w:pPr>
        <w:pStyle w:val="Odstavecseseznamem"/>
        <w:keepNext/>
        <w:widowControl w:val="0"/>
        <w:numPr>
          <w:ilvl w:val="0"/>
          <w:numId w:val="4"/>
        </w:numPr>
        <w:tabs>
          <w:tab w:val="left" w:pos="2552"/>
          <w:tab w:val="left" w:pos="2884"/>
        </w:tabs>
        <w:spacing w:line="288" w:lineRule="auto"/>
        <w:rPr>
          <w:b/>
          <w:snapToGrid w:val="0"/>
          <w:szCs w:val="24"/>
        </w:rPr>
      </w:pPr>
      <w:r w:rsidRPr="00012396">
        <w:rPr>
          <w:snapToGrid w:val="0"/>
          <w:szCs w:val="24"/>
        </w:rPr>
        <w:t>Právní služby budou mandantovi poskytovány advokátní kanceláří v ujednaném rozsahu ode dne účinnosti této smlouvy.</w:t>
      </w:r>
      <w:r w:rsidR="00012396" w:rsidRPr="00012396">
        <w:rPr>
          <w:snapToGrid w:val="0"/>
          <w:szCs w:val="24"/>
        </w:rPr>
        <w:t xml:space="preserve"> </w:t>
      </w:r>
    </w:p>
    <w:p w14:paraId="6997E014" w14:textId="77777777" w:rsidR="00012396" w:rsidRDefault="00012396" w:rsidP="00012396">
      <w:pPr>
        <w:pStyle w:val="Odstavecseseznamem"/>
        <w:keepNext/>
        <w:widowControl w:val="0"/>
        <w:tabs>
          <w:tab w:val="left" w:pos="2552"/>
          <w:tab w:val="left" w:pos="2884"/>
        </w:tabs>
        <w:spacing w:line="288" w:lineRule="auto"/>
        <w:rPr>
          <w:snapToGrid w:val="0"/>
          <w:szCs w:val="24"/>
        </w:rPr>
      </w:pPr>
    </w:p>
    <w:p w14:paraId="022CF615" w14:textId="77777777" w:rsidR="0028332E" w:rsidRDefault="0028332E" w:rsidP="00012396">
      <w:pPr>
        <w:pStyle w:val="Odstavecseseznamem"/>
        <w:keepNext/>
        <w:widowControl w:val="0"/>
        <w:tabs>
          <w:tab w:val="left" w:pos="2552"/>
          <w:tab w:val="left" w:pos="2884"/>
        </w:tabs>
        <w:spacing w:line="288" w:lineRule="auto"/>
        <w:rPr>
          <w:snapToGrid w:val="0"/>
          <w:szCs w:val="24"/>
        </w:rPr>
      </w:pPr>
    </w:p>
    <w:p w14:paraId="28E50A1C" w14:textId="6BE5CA89" w:rsidR="00400596" w:rsidRPr="00012396" w:rsidRDefault="00400596" w:rsidP="00012396">
      <w:pPr>
        <w:pStyle w:val="Odstavecseseznamem"/>
        <w:keepNext/>
        <w:widowControl w:val="0"/>
        <w:tabs>
          <w:tab w:val="left" w:pos="2552"/>
          <w:tab w:val="left" w:pos="2884"/>
        </w:tabs>
        <w:spacing w:line="288" w:lineRule="auto"/>
        <w:jc w:val="center"/>
        <w:rPr>
          <w:b/>
          <w:snapToGrid w:val="0"/>
          <w:szCs w:val="24"/>
        </w:rPr>
      </w:pPr>
      <w:r w:rsidRPr="00012396">
        <w:rPr>
          <w:b/>
          <w:snapToGrid w:val="0"/>
          <w:szCs w:val="24"/>
        </w:rPr>
        <w:t>III.</w:t>
      </w:r>
    </w:p>
    <w:p w14:paraId="75C1926F" w14:textId="77777777" w:rsidR="00B005D2" w:rsidRPr="00B005D2" w:rsidRDefault="00B005D2" w:rsidP="00400596">
      <w:pPr>
        <w:keepNext/>
        <w:widowControl w:val="0"/>
        <w:tabs>
          <w:tab w:val="left" w:pos="2552"/>
          <w:tab w:val="left" w:pos="2884"/>
        </w:tabs>
        <w:spacing w:line="288" w:lineRule="auto"/>
        <w:jc w:val="center"/>
        <w:rPr>
          <w:b/>
          <w:snapToGrid w:val="0"/>
          <w:szCs w:val="24"/>
        </w:rPr>
      </w:pPr>
      <w:r w:rsidRPr="00B005D2">
        <w:rPr>
          <w:b/>
          <w:snapToGrid w:val="0"/>
          <w:szCs w:val="24"/>
        </w:rPr>
        <w:t>Práva a povinnosti smluvních stran</w:t>
      </w:r>
    </w:p>
    <w:p w14:paraId="1E1BAA5B" w14:textId="2007A1E6" w:rsidR="007D1651" w:rsidRDefault="007D1651"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Advokátní kancelář se zavazuje mít sjednáno </w:t>
      </w:r>
      <w:r w:rsidR="00D14D17">
        <w:rPr>
          <w:snapToGrid w:val="0"/>
          <w:szCs w:val="24"/>
        </w:rPr>
        <w:t xml:space="preserve">příslušné </w:t>
      </w:r>
      <w:r>
        <w:rPr>
          <w:snapToGrid w:val="0"/>
          <w:szCs w:val="24"/>
        </w:rPr>
        <w:t xml:space="preserve">pojištění </w:t>
      </w:r>
      <w:r w:rsidR="00D14D17">
        <w:rPr>
          <w:snapToGrid w:val="0"/>
          <w:szCs w:val="24"/>
        </w:rPr>
        <w:t xml:space="preserve">profesní </w:t>
      </w:r>
      <w:r>
        <w:rPr>
          <w:snapToGrid w:val="0"/>
          <w:szCs w:val="24"/>
        </w:rPr>
        <w:t>odpovědnosti</w:t>
      </w:r>
      <w:r w:rsidR="009C5DC4">
        <w:rPr>
          <w:snapToGrid w:val="0"/>
          <w:szCs w:val="24"/>
        </w:rPr>
        <w:t xml:space="preserve"> </w:t>
      </w:r>
      <w:r>
        <w:rPr>
          <w:snapToGrid w:val="0"/>
          <w:szCs w:val="24"/>
        </w:rPr>
        <w:t>po celou dobu trvání tohoto smluvního vztahu.</w:t>
      </w:r>
      <w:r w:rsidR="00D14D17">
        <w:rPr>
          <w:snapToGrid w:val="0"/>
          <w:szCs w:val="24"/>
        </w:rPr>
        <w:t xml:space="preserve"> </w:t>
      </w:r>
    </w:p>
    <w:p w14:paraId="26632C9E" w14:textId="77777777" w:rsidR="009847BD" w:rsidRDefault="007D1651"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 </w:t>
      </w:r>
      <w:r w:rsidR="00B005D2">
        <w:rPr>
          <w:snapToGrid w:val="0"/>
          <w:szCs w:val="24"/>
        </w:rPr>
        <w:t>Advokátní kancelář je povinna postupovat s odbornou péčí, chránit a prosazovat práva a oprávněné zájmy mandanta a řídit se jeho pokyny. Pokyny mandanta však není vázána, jsou-li v rozporu se zákonem nebo s příslušným stavovským předpisem. O této skutečnosti je advokátní kancelář však povinna mandanta přiměřeně poučit.</w:t>
      </w:r>
      <w:r w:rsidR="00024090">
        <w:rPr>
          <w:snapToGrid w:val="0"/>
          <w:szCs w:val="24"/>
        </w:rPr>
        <w:t xml:space="preserve"> Shledá-li advokátní kancelář některý z udělených pokynů mandanta jako nejasný a/nebo jsoucí v rozporu se zákonem, je</w:t>
      </w:r>
      <w:r w:rsidR="009847BD">
        <w:rPr>
          <w:snapToGrid w:val="0"/>
          <w:szCs w:val="24"/>
        </w:rPr>
        <w:t xml:space="preserve"> povinen na takovou </w:t>
      </w:r>
      <w:r w:rsidR="00024090">
        <w:rPr>
          <w:snapToGrid w:val="0"/>
          <w:szCs w:val="24"/>
        </w:rPr>
        <w:t>skutečnost mandanta upozornit.</w:t>
      </w:r>
    </w:p>
    <w:p w14:paraId="45B36EC8" w14:textId="77777777" w:rsidR="00400596" w:rsidRDefault="009847BD"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Advokátní kancelář se může od pokynů mandanta odchýlit pouze tehdy, je-li to nezbytně nutné v zájmu mandanta a nemůže-li včas získat jeho souhlas. Ani v těchto případech se nesmí </w:t>
      </w:r>
      <w:r>
        <w:rPr>
          <w:snapToGrid w:val="0"/>
          <w:szCs w:val="24"/>
        </w:rPr>
        <w:lastRenderedPageBreak/>
        <w:t>advokátní kancelář od pokynů mandanta odchýlit, je-li to výslovně zakázáno touto smlouvou nebo výslovným pokynem mandanta.</w:t>
      </w:r>
      <w:r w:rsidR="00024090">
        <w:rPr>
          <w:snapToGrid w:val="0"/>
          <w:szCs w:val="24"/>
        </w:rPr>
        <w:t xml:space="preserve"> </w:t>
      </w:r>
    </w:p>
    <w:p w14:paraId="0FADD024" w14:textId="77777777" w:rsidR="00B005D2" w:rsidRDefault="00B005D2"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Advokátní kancelář se zavazuje, že bude mandanta informovat o průběhu jednotlivých řízení, v kterých mandanta zastupuje a o jednáních s jinými subjekty v souvislosti s plněním předmětu této smlouvy. Komunikace mezi advokátní kanceláří a mandantem bude probíhat v českém jazyce.</w:t>
      </w:r>
    </w:p>
    <w:p w14:paraId="1A16B49F" w14:textId="77777777" w:rsidR="00B005D2" w:rsidRDefault="00B005D2"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Advokátní kancelář se nemůže zříci odpovědnosti za řádné plnění předmětu této smlouvy jakýmkoliv jednostranným právním úkonem.</w:t>
      </w:r>
      <w:r w:rsidR="001E19C1">
        <w:rPr>
          <w:snapToGrid w:val="0"/>
          <w:szCs w:val="24"/>
        </w:rPr>
        <w:t xml:space="preserve"> </w:t>
      </w:r>
      <w:r w:rsidR="00024090">
        <w:rPr>
          <w:snapToGrid w:val="0"/>
          <w:szCs w:val="24"/>
        </w:rPr>
        <w:t>V případě, kdy bude advokátní kancelář zastupovat mandanta ve sporném řízení, nemůže se zříci odpovědnosti za výsledek sporu.</w:t>
      </w:r>
    </w:p>
    <w:p w14:paraId="741BEC6F" w14:textId="16520763" w:rsidR="00024090" w:rsidRDefault="00024090"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Advokátní kancelář odpovídá mandantovi</w:t>
      </w:r>
      <w:r w:rsidR="00012396">
        <w:rPr>
          <w:snapToGrid w:val="0"/>
          <w:szCs w:val="24"/>
        </w:rPr>
        <w:t xml:space="preserve"> v plné výši</w:t>
      </w:r>
      <w:r>
        <w:rPr>
          <w:snapToGrid w:val="0"/>
          <w:szCs w:val="24"/>
        </w:rPr>
        <w:t xml:space="preserve"> za škodu, kterou způsobí porušením svých povinností při poskytování právních služeb dle této smlouvy. Advokátní kancelář odpovídá mandantovi rovněž za škodu, kterou mu způsobí i jiné osoby, které advokátní kancelář seznámila s údaji týkajícími se předmětu této smlouvy, pokud tato škoda souvisí s předmětem plnění podle této smlouvy.</w:t>
      </w:r>
    </w:p>
    <w:p w14:paraId="5E00444A" w14:textId="5915516F" w:rsidR="00CD3041" w:rsidRPr="00CD3041" w:rsidRDefault="009847BD" w:rsidP="00CD304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Advokátní kancelář a všichni její zaměstnanci je povinna udržovat veškeré údaje a informace získané od mandanta v souvislosti s poskytováním právních služeb dle této smlouvy v tajnosti a zachovávat o nich mlčenlivost ve vztahu k třetím osobám s výjimkou případů, kde z pokynu nebo zadání mandanta vyplývá, že advokátní kancelář je zmocněna jednat vůči určeným třetím osobám určitým způsobem. Advokátní kancelář se zavazuje udržovat veškeré poskytnuté dokumenty a informace v tajnosti, přičemž je oprávněna takové informace zpřístupnit pouze státním úřadům za podmínek stanovených zákonem při splnění předchozího oznámení takového zpřístupnění mandantovi. V ostatních případech je advokátní kancelář oprávněna takové informace nebo dokumenty zpřístupnit pouze na základě pokynu mandanta nebo s jeho předchozím písemným souhlasem. V případě porušení tohoto ustanovení odpovídá advokátní kancelář mandantovi za škodu způsobenou tímto porušením v plném rozsahu. Porušení tohoto závazku se považuje za závažné porušení této smlouvy.</w:t>
      </w:r>
      <w:r w:rsidR="00CD3041">
        <w:rPr>
          <w:snapToGrid w:val="0"/>
          <w:szCs w:val="24"/>
        </w:rPr>
        <w:t xml:space="preserve"> Tato povinnost platí i po zániku této smlouvy.</w:t>
      </w:r>
    </w:p>
    <w:p w14:paraId="3455E72B" w14:textId="77777777" w:rsidR="009847BD" w:rsidRDefault="009847BD" w:rsidP="001E19C1">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V případě, kdy by se advokátní kancelář či některý člen realizačního týmu mohla dostat při poskytování právních služeb do konfliktu zájmů mezi mandantem a jinou osobou, které poskytuje právní služby, je advokátní kancelář povinna bez zbytečného odkladu na tuto skutečnost mandanta upozornit a předložit mu návrh řešení.</w:t>
      </w:r>
      <w:r w:rsidR="00E95C09">
        <w:rPr>
          <w:snapToGrid w:val="0"/>
          <w:szCs w:val="24"/>
        </w:rPr>
        <w:t xml:space="preserve"> V případě porušení tohoto závazku odpovídá advokátní kancelář mandantovi za způsobenou škodu v plném rozsahu.</w:t>
      </w:r>
    </w:p>
    <w:p w14:paraId="5E923EDA" w14:textId="77777777" w:rsidR="00E95C09" w:rsidRDefault="00E95C09"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Advokátní kancelář není oprávněna přijmout na svůj účet žádná plnění učiněná ve prospěch mandanta.</w:t>
      </w:r>
    </w:p>
    <w:p w14:paraId="2B82100E" w14:textId="77777777" w:rsidR="00E95C09" w:rsidRDefault="00E95C09"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Advokátní kancelář je oprávněna pověřit plněním předmětu této smlouvy jiného advokáta, avšak pouze ve výjimečných případech a po předchozím písemném souhlasu mandanta. </w:t>
      </w:r>
    </w:p>
    <w:p w14:paraId="37AEC147" w14:textId="77777777" w:rsidR="00E95C09" w:rsidRDefault="00E95C09"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Mandant se zavazuje sdělit advokátní kanceláři veškeré skutečnosti k věci, ve které má být právní služba poskytnuta. Rovněž se zavazuje předat v čase dohodnutém s advokátní kanceláří všechny jí požadované podklady pro účely poskytnutí požadované právní služby. O převzetí případných originálních listin je advokátní kancelář povinna vydat mandantovi potvrzení.</w:t>
      </w:r>
    </w:p>
    <w:p w14:paraId="4639929D" w14:textId="77777777" w:rsidR="00E95C09" w:rsidRDefault="00E95C09"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Mandant je povinen informovat advokátní kancelář o všech skutečnostech, které nastaly po převzetí věci k plnění a této věci se týkají.</w:t>
      </w:r>
    </w:p>
    <w:p w14:paraId="29BA785D" w14:textId="77777777" w:rsidR="00E95C09" w:rsidRDefault="00E95C09"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V případě převzetí věci advokátní kanceláří, v níž již byl mandant zastupován jinou advokátní </w:t>
      </w:r>
      <w:r>
        <w:rPr>
          <w:snapToGrid w:val="0"/>
          <w:szCs w:val="24"/>
        </w:rPr>
        <w:lastRenderedPageBreak/>
        <w:t>kanceláří nebo jiným advokátem, je mandant povinen tuto skutečnost advokátní kanceláři sdělit a před tím ukončit toto předchozí zastoupení.</w:t>
      </w:r>
    </w:p>
    <w:p w14:paraId="7C0262DC" w14:textId="559C0889" w:rsidR="00CA50BC" w:rsidRDefault="00CA50BC" w:rsidP="00E95C09">
      <w:pPr>
        <w:pStyle w:val="Odstavecseseznamem"/>
        <w:keepNext/>
        <w:widowControl w:val="0"/>
        <w:numPr>
          <w:ilvl w:val="0"/>
          <w:numId w:val="5"/>
        </w:numPr>
        <w:tabs>
          <w:tab w:val="left" w:pos="2552"/>
          <w:tab w:val="left" w:pos="2884"/>
        </w:tabs>
        <w:spacing w:line="288" w:lineRule="auto"/>
        <w:jc w:val="both"/>
        <w:rPr>
          <w:snapToGrid w:val="0"/>
          <w:szCs w:val="24"/>
        </w:rPr>
      </w:pPr>
      <w:r>
        <w:rPr>
          <w:snapToGrid w:val="0"/>
          <w:szCs w:val="24"/>
        </w:rPr>
        <w:t xml:space="preserve">Vznikne-li advokátní kanceláři </w:t>
      </w:r>
      <w:r w:rsidR="00CD3041">
        <w:rPr>
          <w:snapToGrid w:val="0"/>
          <w:szCs w:val="24"/>
        </w:rPr>
        <w:t>bez jejího zapříčinění</w:t>
      </w:r>
      <w:r>
        <w:rPr>
          <w:snapToGrid w:val="0"/>
          <w:szCs w:val="24"/>
        </w:rPr>
        <w:t xml:space="preserve"> porušení</w:t>
      </w:r>
      <w:r w:rsidR="00CD3041">
        <w:rPr>
          <w:snapToGrid w:val="0"/>
          <w:szCs w:val="24"/>
        </w:rPr>
        <w:t>m</w:t>
      </w:r>
      <w:r>
        <w:rPr>
          <w:snapToGrid w:val="0"/>
          <w:szCs w:val="24"/>
        </w:rPr>
        <w:t xml:space="preserve"> povinnosti mandanta škoda, je mandant povinen tuto škodu advokátní kanceláři uhradit.</w:t>
      </w:r>
    </w:p>
    <w:p w14:paraId="60BC4B11" w14:textId="77777777" w:rsidR="00E95C09" w:rsidRDefault="00E95C09" w:rsidP="00E95C09">
      <w:pPr>
        <w:keepNext/>
        <w:widowControl w:val="0"/>
        <w:tabs>
          <w:tab w:val="left" w:pos="2552"/>
          <w:tab w:val="left" w:pos="2884"/>
        </w:tabs>
        <w:spacing w:line="288" w:lineRule="auto"/>
        <w:jc w:val="both"/>
        <w:rPr>
          <w:snapToGrid w:val="0"/>
          <w:szCs w:val="24"/>
        </w:rPr>
      </w:pPr>
    </w:p>
    <w:p w14:paraId="11E924AD" w14:textId="77777777" w:rsidR="0028332E" w:rsidRDefault="0028332E" w:rsidP="00E95C09">
      <w:pPr>
        <w:keepNext/>
        <w:widowControl w:val="0"/>
        <w:tabs>
          <w:tab w:val="left" w:pos="2552"/>
          <w:tab w:val="left" w:pos="2884"/>
        </w:tabs>
        <w:spacing w:line="288" w:lineRule="auto"/>
        <w:jc w:val="both"/>
        <w:rPr>
          <w:snapToGrid w:val="0"/>
          <w:szCs w:val="24"/>
        </w:rPr>
      </w:pPr>
    </w:p>
    <w:p w14:paraId="3298B68D" w14:textId="77777777" w:rsidR="00E95C09" w:rsidRPr="00F93081" w:rsidRDefault="00E95C09" w:rsidP="00F93081">
      <w:pPr>
        <w:keepNext/>
        <w:widowControl w:val="0"/>
        <w:tabs>
          <w:tab w:val="left" w:pos="2552"/>
          <w:tab w:val="left" w:pos="2884"/>
        </w:tabs>
        <w:spacing w:line="288" w:lineRule="auto"/>
        <w:jc w:val="center"/>
        <w:rPr>
          <w:b/>
          <w:snapToGrid w:val="0"/>
          <w:szCs w:val="24"/>
        </w:rPr>
      </w:pPr>
      <w:r w:rsidRPr="00F93081">
        <w:rPr>
          <w:b/>
          <w:snapToGrid w:val="0"/>
          <w:szCs w:val="24"/>
        </w:rPr>
        <w:t>IV.</w:t>
      </w:r>
    </w:p>
    <w:p w14:paraId="279FFDDD" w14:textId="77777777" w:rsidR="00E95C09" w:rsidRDefault="00E95C09" w:rsidP="00F93081">
      <w:pPr>
        <w:keepNext/>
        <w:widowControl w:val="0"/>
        <w:tabs>
          <w:tab w:val="left" w:pos="2552"/>
          <w:tab w:val="left" w:pos="2884"/>
        </w:tabs>
        <w:spacing w:line="288" w:lineRule="auto"/>
        <w:jc w:val="center"/>
        <w:rPr>
          <w:b/>
          <w:snapToGrid w:val="0"/>
          <w:szCs w:val="24"/>
        </w:rPr>
      </w:pPr>
      <w:r w:rsidRPr="00F93081">
        <w:rPr>
          <w:b/>
          <w:snapToGrid w:val="0"/>
          <w:szCs w:val="24"/>
        </w:rPr>
        <w:t>Odměna</w:t>
      </w:r>
    </w:p>
    <w:p w14:paraId="3FDADB6E" w14:textId="2F897C8D" w:rsidR="00F93081" w:rsidRPr="0028332E" w:rsidRDefault="00F93081" w:rsidP="0016095B">
      <w:pPr>
        <w:pStyle w:val="Odstavecseseznamem"/>
        <w:keepNext/>
        <w:widowControl w:val="0"/>
        <w:numPr>
          <w:ilvl w:val="0"/>
          <w:numId w:val="7"/>
        </w:numPr>
        <w:tabs>
          <w:tab w:val="left" w:pos="2552"/>
          <w:tab w:val="left" w:pos="2884"/>
        </w:tabs>
        <w:spacing w:line="288" w:lineRule="auto"/>
        <w:jc w:val="both"/>
        <w:rPr>
          <w:snapToGrid w:val="0"/>
          <w:szCs w:val="24"/>
        </w:rPr>
      </w:pPr>
      <w:r w:rsidRPr="0016095B">
        <w:rPr>
          <w:snapToGrid w:val="0"/>
          <w:szCs w:val="24"/>
        </w:rPr>
        <w:t>Advokátní kancelář je povinna sdělit před započetím plnění jednotlivých požadovaných právních služeb odhad hodinové náročnosti dané právní služby</w:t>
      </w:r>
      <w:r w:rsidR="00D14D17">
        <w:rPr>
          <w:snapToGrid w:val="0"/>
          <w:szCs w:val="24"/>
        </w:rPr>
        <w:t>, přičemž</w:t>
      </w:r>
      <w:r w:rsidRPr="0016095B">
        <w:rPr>
          <w:snapToGrid w:val="0"/>
          <w:szCs w:val="24"/>
        </w:rPr>
        <w:t xml:space="preserve"> tento odhad </w:t>
      </w:r>
      <w:r w:rsidR="00D14D17">
        <w:rPr>
          <w:snapToGrid w:val="0"/>
          <w:szCs w:val="24"/>
        </w:rPr>
        <w:t>bude</w:t>
      </w:r>
      <w:r w:rsidRPr="0016095B">
        <w:rPr>
          <w:snapToGrid w:val="0"/>
          <w:szCs w:val="24"/>
        </w:rPr>
        <w:t xml:space="preserve"> předmětem schvalovacího řízení mandantem. Bez předchozího schválení mandanta není možné tento odhad překročit.</w:t>
      </w:r>
      <w:r w:rsidR="00012396">
        <w:rPr>
          <w:snapToGrid w:val="0"/>
          <w:szCs w:val="24"/>
        </w:rPr>
        <w:t xml:space="preserve"> V případě, kdy bude plnění předmětu této smlouvy realizováno dílčími objednávkami, je advokátní kancelář povinna předložit mandantovi nejprve návrh ceny poskytnutí konkrétní právní služby. Cena takové dílčí objednávky musí být smluvními stranami </w:t>
      </w:r>
      <w:r w:rsidR="00012396" w:rsidRPr="0028332E">
        <w:rPr>
          <w:snapToGrid w:val="0"/>
          <w:szCs w:val="24"/>
        </w:rPr>
        <w:t xml:space="preserve">vždy předem odsouhlasena. </w:t>
      </w:r>
    </w:p>
    <w:p w14:paraId="4A20E420" w14:textId="6635C0FE" w:rsidR="00F93081" w:rsidRPr="0028332E" w:rsidRDefault="00F93081" w:rsidP="0016095B">
      <w:pPr>
        <w:pStyle w:val="Odstavecseseznamem"/>
        <w:keepNext/>
        <w:widowControl w:val="0"/>
        <w:numPr>
          <w:ilvl w:val="0"/>
          <w:numId w:val="7"/>
        </w:numPr>
        <w:tabs>
          <w:tab w:val="left" w:pos="2552"/>
          <w:tab w:val="left" w:pos="2884"/>
        </w:tabs>
        <w:spacing w:line="288" w:lineRule="auto"/>
        <w:jc w:val="both"/>
        <w:rPr>
          <w:snapToGrid w:val="0"/>
          <w:szCs w:val="24"/>
        </w:rPr>
      </w:pPr>
      <w:r w:rsidRPr="0028332E">
        <w:rPr>
          <w:snapToGrid w:val="0"/>
          <w:szCs w:val="24"/>
        </w:rPr>
        <w:t>Mandant se zavazuje za poskytnuté právní služby dle článku 1. této smlouvy uhradit advokátní kanceláři smluvní odměnu ve výši odpovídající skutečně provedené práce, a to na základě hodinov</w:t>
      </w:r>
      <w:r w:rsidR="00770BC0" w:rsidRPr="0028332E">
        <w:rPr>
          <w:snapToGrid w:val="0"/>
          <w:szCs w:val="24"/>
        </w:rPr>
        <w:t>é</w:t>
      </w:r>
      <w:r w:rsidRPr="0028332E">
        <w:rPr>
          <w:snapToGrid w:val="0"/>
          <w:szCs w:val="24"/>
        </w:rPr>
        <w:t xml:space="preserve"> saz</w:t>
      </w:r>
      <w:r w:rsidR="00770BC0" w:rsidRPr="0028332E">
        <w:rPr>
          <w:snapToGrid w:val="0"/>
          <w:szCs w:val="24"/>
        </w:rPr>
        <w:t>by</w:t>
      </w:r>
      <w:r w:rsidR="009A404F" w:rsidRPr="0028332E">
        <w:rPr>
          <w:snapToGrid w:val="0"/>
          <w:szCs w:val="24"/>
        </w:rPr>
        <w:t xml:space="preserve"> za hodinu právní služby</w:t>
      </w:r>
      <w:r w:rsidR="00D14D17" w:rsidRPr="0028332E">
        <w:rPr>
          <w:snapToGrid w:val="0"/>
          <w:szCs w:val="24"/>
        </w:rPr>
        <w:t xml:space="preserve"> v Kč bez DPH. H</w:t>
      </w:r>
      <w:r w:rsidRPr="0028332E">
        <w:rPr>
          <w:snapToGrid w:val="0"/>
          <w:szCs w:val="24"/>
        </w:rPr>
        <w:t>odinová sazba je</w:t>
      </w:r>
      <w:r w:rsidR="00D14D17" w:rsidRPr="0028332E">
        <w:rPr>
          <w:snapToGrid w:val="0"/>
          <w:szCs w:val="24"/>
        </w:rPr>
        <w:t xml:space="preserve"> </w:t>
      </w:r>
      <w:proofErr w:type="gramStart"/>
      <w:r w:rsidR="00D14D17" w:rsidRPr="0028332E">
        <w:rPr>
          <w:snapToGrid w:val="0"/>
          <w:szCs w:val="24"/>
        </w:rPr>
        <w:t>specifikována</w:t>
      </w:r>
      <w:r w:rsidRPr="0028332E">
        <w:rPr>
          <w:snapToGrid w:val="0"/>
          <w:szCs w:val="24"/>
        </w:rPr>
        <w:t xml:space="preserve">  v příloze</w:t>
      </w:r>
      <w:proofErr w:type="gramEnd"/>
      <w:r w:rsidRPr="0028332E">
        <w:rPr>
          <w:snapToGrid w:val="0"/>
          <w:szCs w:val="24"/>
        </w:rPr>
        <w:t xml:space="preserve"> č. 1 této smlouvy (dále jen „odměna za poskytnuté právní služby“), která je její nedílnou součástí, a </w:t>
      </w:r>
      <w:r w:rsidR="0016095B" w:rsidRPr="0028332E">
        <w:rPr>
          <w:snapToGrid w:val="0"/>
          <w:szCs w:val="24"/>
        </w:rPr>
        <w:t xml:space="preserve">je stanovena jako cena </w:t>
      </w:r>
      <w:r w:rsidR="00D14D17" w:rsidRPr="0028332E">
        <w:rPr>
          <w:snapToGrid w:val="0"/>
          <w:szCs w:val="24"/>
        </w:rPr>
        <w:t>konečná a maximální</w:t>
      </w:r>
      <w:r w:rsidRPr="0028332E">
        <w:rPr>
          <w:snapToGrid w:val="0"/>
          <w:szCs w:val="24"/>
        </w:rPr>
        <w:t>. K odměně za poskytnuté právní služby bude účtována daň z přidané hodnoty v souladu s příslušnými právními předpisy.</w:t>
      </w:r>
    </w:p>
    <w:p w14:paraId="6ADC7F4E" w14:textId="3B970C66" w:rsidR="00F93081" w:rsidRPr="0016095B" w:rsidRDefault="00F93081" w:rsidP="0016095B">
      <w:pPr>
        <w:pStyle w:val="Odstavecseseznamem"/>
        <w:keepNext/>
        <w:widowControl w:val="0"/>
        <w:numPr>
          <w:ilvl w:val="0"/>
          <w:numId w:val="7"/>
        </w:numPr>
        <w:tabs>
          <w:tab w:val="left" w:pos="2552"/>
          <w:tab w:val="left" w:pos="2884"/>
        </w:tabs>
        <w:spacing w:line="288" w:lineRule="auto"/>
        <w:jc w:val="both"/>
        <w:rPr>
          <w:snapToGrid w:val="0"/>
          <w:szCs w:val="24"/>
        </w:rPr>
      </w:pPr>
      <w:r w:rsidRPr="0016095B">
        <w:rPr>
          <w:snapToGrid w:val="0"/>
          <w:szCs w:val="24"/>
        </w:rPr>
        <w:t xml:space="preserve">V odměně za poskytnuté právní služby jsou </w:t>
      </w:r>
      <w:r w:rsidR="00564A9F">
        <w:rPr>
          <w:snapToGrid w:val="0"/>
          <w:szCs w:val="24"/>
        </w:rPr>
        <w:t xml:space="preserve">již </w:t>
      </w:r>
      <w:r w:rsidRPr="0016095B">
        <w:rPr>
          <w:snapToGrid w:val="0"/>
          <w:szCs w:val="24"/>
        </w:rPr>
        <w:t>zahrn</w:t>
      </w:r>
      <w:r w:rsidR="00564A9F">
        <w:rPr>
          <w:snapToGrid w:val="0"/>
          <w:szCs w:val="24"/>
        </w:rPr>
        <w:t>uty</w:t>
      </w:r>
      <w:r w:rsidR="00C76403">
        <w:rPr>
          <w:snapToGrid w:val="0"/>
          <w:szCs w:val="24"/>
        </w:rPr>
        <w:t xml:space="preserve"> všechny náklady advokátní kanceláře, </w:t>
      </w:r>
      <w:proofErr w:type="gramStart"/>
      <w:r w:rsidR="00C76403">
        <w:rPr>
          <w:snapToGrid w:val="0"/>
          <w:szCs w:val="24"/>
        </w:rPr>
        <w:t>tzn.</w:t>
      </w:r>
      <w:proofErr w:type="gramEnd"/>
      <w:r w:rsidR="00C76403">
        <w:rPr>
          <w:snapToGrid w:val="0"/>
          <w:szCs w:val="24"/>
        </w:rPr>
        <w:t xml:space="preserve"> advokátovi </w:t>
      </w:r>
      <w:proofErr w:type="gramStart"/>
      <w:r w:rsidR="00C76403">
        <w:rPr>
          <w:snapToGrid w:val="0"/>
          <w:szCs w:val="24"/>
        </w:rPr>
        <w:t>nepřísluší</w:t>
      </w:r>
      <w:proofErr w:type="gramEnd"/>
      <w:r w:rsidR="00C76403">
        <w:rPr>
          <w:snapToGrid w:val="0"/>
          <w:szCs w:val="24"/>
        </w:rPr>
        <w:t xml:space="preserve"> náhrada hotových výdajů advokátní kanceláří vynaložených (např. cestovní výdaje, poštovné, telekomunikační poplatky, překlady, opisy, poplatky za kopírování</w:t>
      </w:r>
      <w:r w:rsidR="00CA50BC">
        <w:rPr>
          <w:snapToGrid w:val="0"/>
          <w:szCs w:val="24"/>
        </w:rPr>
        <w:t>, náhrada za promeškaný čas</w:t>
      </w:r>
      <w:r w:rsidR="00C76403">
        <w:rPr>
          <w:snapToGrid w:val="0"/>
          <w:szCs w:val="24"/>
        </w:rPr>
        <w:t xml:space="preserve"> apod.). Tato odměna tedy nebude</w:t>
      </w:r>
      <w:r w:rsidRPr="0016095B">
        <w:rPr>
          <w:snapToGrid w:val="0"/>
          <w:szCs w:val="24"/>
        </w:rPr>
        <w:t xml:space="preserve"> navyšována vyjma připočtení daně z přidané hodnoty ve výši dle platných právních předpisů.</w:t>
      </w:r>
    </w:p>
    <w:p w14:paraId="280CD1D1" w14:textId="562A34F2" w:rsidR="00F93081" w:rsidRDefault="0016095B"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 xml:space="preserve">Advokátní kancelář má </w:t>
      </w:r>
      <w:r w:rsidR="00C76403">
        <w:rPr>
          <w:snapToGrid w:val="0"/>
          <w:szCs w:val="24"/>
        </w:rPr>
        <w:t>však nárok vyjma</w:t>
      </w:r>
      <w:r>
        <w:rPr>
          <w:snapToGrid w:val="0"/>
          <w:szCs w:val="24"/>
        </w:rPr>
        <w:t xml:space="preserve"> uvedené odměny na úhradu</w:t>
      </w:r>
      <w:r w:rsidR="00C76403">
        <w:rPr>
          <w:snapToGrid w:val="0"/>
          <w:szCs w:val="24"/>
        </w:rPr>
        <w:t xml:space="preserve"> vedlejších hotových nákladů, tzn.</w:t>
      </w:r>
      <w:r>
        <w:rPr>
          <w:snapToGrid w:val="0"/>
          <w:szCs w:val="24"/>
        </w:rPr>
        <w:t xml:space="preserve"> soudních, správních a jiných poplatků</w:t>
      </w:r>
      <w:r w:rsidR="00D14D17">
        <w:rPr>
          <w:snapToGrid w:val="0"/>
          <w:szCs w:val="24"/>
        </w:rPr>
        <w:t xml:space="preserve"> (např. poplatků za znalecké posudky</w:t>
      </w:r>
      <w:r w:rsidR="00C76403">
        <w:rPr>
          <w:snapToGrid w:val="0"/>
          <w:szCs w:val="24"/>
        </w:rPr>
        <w:t>, kolky apod.</w:t>
      </w:r>
      <w:r w:rsidR="00D14D17">
        <w:rPr>
          <w:snapToGrid w:val="0"/>
          <w:szCs w:val="24"/>
        </w:rPr>
        <w:t>)</w:t>
      </w:r>
      <w:r>
        <w:rPr>
          <w:snapToGrid w:val="0"/>
          <w:szCs w:val="24"/>
        </w:rPr>
        <w:t xml:space="preserve"> účelně vynaložených v souvislosti s poskytnutím právní služby. Na výši těchto poplatků je však povinna mandanta před jejich vynaložením písemně upozornit a jejich výši s mandantem v písemné formě před jejich vynaložením odsouhlasit.</w:t>
      </w:r>
    </w:p>
    <w:p w14:paraId="0EDA09C8" w14:textId="77777777" w:rsidR="0016095B" w:rsidRDefault="0016095B"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Odměna bude hrazena advokátní kanceláři na podkladě daňového dokladu</w:t>
      </w:r>
      <w:r w:rsidR="009A404F">
        <w:rPr>
          <w:snapToGrid w:val="0"/>
          <w:szCs w:val="24"/>
        </w:rPr>
        <w:t xml:space="preserve"> - faktury</w:t>
      </w:r>
      <w:r>
        <w:rPr>
          <w:snapToGrid w:val="0"/>
          <w:szCs w:val="24"/>
        </w:rPr>
        <w:t xml:space="preserve"> vystaveného v českých korunách</w:t>
      </w:r>
      <w:r w:rsidR="009A404F">
        <w:rPr>
          <w:snapToGrid w:val="0"/>
          <w:szCs w:val="24"/>
        </w:rPr>
        <w:t>. Fakturu vystaví advokátní kancelář vždy ke konci každého kalendářního měsíce, v němž byly poskytovány právní služby mandantovi. Vystavení faktury předchází vždy nejprve oboustranné odsouhlasení položkového rozpisu právních služeb skutečně realizovaných advokátní kanceláří pro mandanta za dané období. Takto předem odsouhlasený podrobný položkový rozpis bude obligatorní přílohou vystaveného daňového dokladu.</w:t>
      </w:r>
    </w:p>
    <w:p w14:paraId="5DB602BD" w14:textId="6018C4B9" w:rsidR="009A404F" w:rsidRDefault="009A404F"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Vystavená faktura je splatná ve lhůtě 14 dnů ode dne jejího doručení do sídla mandanta.</w:t>
      </w:r>
      <w:r w:rsidR="00CA50BC">
        <w:rPr>
          <w:snapToGrid w:val="0"/>
          <w:szCs w:val="24"/>
        </w:rPr>
        <w:t xml:space="preserve"> Mandant není povinen hradit fakturu, která nemá náležitosti stanovené platnými právními předpisy. Tuto je oprávněn vrátit ve lhůtě splatnosti advokátní kanceláři k opravě. Nová lhůta </w:t>
      </w:r>
      <w:r w:rsidR="00CA50BC">
        <w:rPr>
          <w:snapToGrid w:val="0"/>
          <w:szCs w:val="24"/>
        </w:rPr>
        <w:lastRenderedPageBreak/>
        <w:t>splatnosti poběží ode dne doručení opravené faktury do sídla mandanta. S neuhrazením vadně vystavené faktury se nedostává mandant do prodlení.</w:t>
      </w:r>
    </w:p>
    <w:p w14:paraId="1D4663D6" w14:textId="77777777" w:rsidR="00155640" w:rsidRDefault="00CA50BC" w:rsidP="0028332E">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Odměna za právní služby bude advokátní kanceláři uhrazena bezhotovostním převodem na číslo účtu uvedené advokátní kanceláří ve faktuře bez ohledu na číslo účtu uvedené v záhlaví této smlouvy.</w:t>
      </w:r>
    </w:p>
    <w:p w14:paraId="15D2B6D3" w14:textId="3070DC10" w:rsidR="00155640" w:rsidRPr="00155640" w:rsidRDefault="00155640" w:rsidP="00155640">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Ad</w:t>
      </w:r>
      <w:r w:rsidRPr="00911D6C">
        <w:rPr>
          <w:snapToGrid w:val="0"/>
          <w:szCs w:val="24"/>
        </w:rPr>
        <w:t>vokátní kancelář se zavazuje, že v souladu s příslušnými ustanoveními zákona č. 235/2004 Sb., o dani z přidané hodnoty, ve znění pozdějších předpisů ("Zákon o DPH"), odvede příslušnému správci daně  příslušnou DPH ve výši dle platných právních předpisů, která bude připočtena k úplatě a bude v její souvislosti uhrazena advokátní kanceláři dle této smlouvy.</w:t>
      </w:r>
    </w:p>
    <w:p w14:paraId="313FC9F8" w14:textId="1F560BE3" w:rsidR="00CA50BC" w:rsidRPr="00BA63B5" w:rsidRDefault="00155640" w:rsidP="00BA63B5">
      <w:pPr>
        <w:pStyle w:val="Odstavecseseznamem"/>
        <w:keepNext/>
        <w:widowControl w:val="0"/>
        <w:tabs>
          <w:tab w:val="left" w:pos="2552"/>
          <w:tab w:val="left" w:pos="2884"/>
        </w:tabs>
        <w:spacing w:line="288" w:lineRule="auto"/>
        <w:jc w:val="both"/>
        <w:rPr>
          <w:snapToGrid w:val="0"/>
          <w:szCs w:val="24"/>
        </w:rPr>
      </w:pPr>
      <w:r w:rsidRPr="00911D6C">
        <w:rPr>
          <w:snapToGrid w:val="0"/>
          <w:szCs w:val="24"/>
        </w:rPr>
        <w:t>V případě, že:</w:t>
      </w:r>
      <w:r w:rsidR="00911D6C">
        <w:rPr>
          <w:snapToGrid w:val="0"/>
          <w:szCs w:val="24"/>
        </w:rPr>
        <w:t xml:space="preserve"> </w:t>
      </w:r>
      <w:r w:rsidRPr="00911D6C">
        <w:rPr>
          <w:snapToGrid w:val="0"/>
          <w:szCs w:val="24"/>
        </w:rPr>
        <w:t>advokátní kancelář nesplní svou povinnost dle tohoto článku smlouvy a neodvede příslušnou DPH či její část v souvislosti s touto smlouvou příslušnému správci daně, a</w:t>
      </w:r>
      <w:r w:rsidR="00911D6C" w:rsidRPr="00911D6C">
        <w:rPr>
          <w:snapToGrid w:val="0"/>
          <w:szCs w:val="24"/>
        </w:rPr>
        <w:t xml:space="preserve"> </w:t>
      </w:r>
      <w:r w:rsidRPr="00911D6C">
        <w:rPr>
          <w:snapToGrid w:val="0"/>
          <w:szCs w:val="24"/>
        </w:rPr>
        <w:t>mandantovi vznikne za podmínek stanovených Zákonem o DPH z titulu zákonného ručení na základě výzvy příslušného správce daně povinnost příslušnou DPH či její část v souvislosti s touto smlouvou odvést, a</w:t>
      </w:r>
      <w:r w:rsidR="00911D6C" w:rsidRPr="00911D6C">
        <w:rPr>
          <w:snapToGrid w:val="0"/>
          <w:szCs w:val="24"/>
        </w:rPr>
        <w:t xml:space="preserve"> </w:t>
      </w:r>
      <w:r w:rsidRPr="00911D6C">
        <w:rPr>
          <w:snapToGrid w:val="0"/>
          <w:szCs w:val="24"/>
        </w:rPr>
        <w:t>mandant příslušnou DPH či její část příslušnému správci daně odvede, advokátní kancelář se zavazuje neprodleně po obdržení písemného oznámení mandanta, jehož přílohou bude doklad prokazující odvedení příslušné DPH či její části, příslušnému správci daně v souvislosti s touto smlouvou uhradit na účet uvedený v oznámení mandantem příslušnou DPH či její část, kterou za advokátní kancelář tento odvedl příslušnému správci daně.</w:t>
      </w:r>
      <w:r w:rsidR="00BA63B5">
        <w:rPr>
          <w:snapToGrid w:val="0"/>
          <w:szCs w:val="24"/>
        </w:rPr>
        <w:t xml:space="preserve"> </w:t>
      </w:r>
      <w:r w:rsidRPr="00BA63B5">
        <w:rPr>
          <w:snapToGrid w:val="0"/>
          <w:szCs w:val="24"/>
        </w:rPr>
        <w:t>Pokud dojde k porušení povinnosti advokátní kanceláře dle tohoto článku smlouvy a mandant odvede za advokátní kancelář příslušnou DPH či její část, mandant je oprávněn započíst tuto svou pohledávku za advokátní kanceláří proti jakékoliv pohledávce advokátní kanceláře za mandantem plynoucí z této smlouvy nebo proti jakékoliv jiné pohledávce advokátní kanceláře za mandantem.</w:t>
      </w:r>
    </w:p>
    <w:p w14:paraId="2A93F8A2" w14:textId="77777777" w:rsidR="009A404F" w:rsidRDefault="009A404F"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Mandant neposkytuje na realizaci právních služeb advokátní kanceláří dle této smlouvy zálohy.</w:t>
      </w:r>
    </w:p>
    <w:p w14:paraId="09B62EE1" w14:textId="77777777" w:rsidR="009A404F" w:rsidRDefault="009A404F"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 xml:space="preserve">V případě prodlení mandanta s úhradou odměny advokátní kanceláři je tato oprávněna účtovat mandantovi smluvní pokutu ve výši 0,01% z fakturované částky </w:t>
      </w:r>
      <w:r w:rsidR="004B264D">
        <w:rPr>
          <w:snapToGrid w:val="0"/>
          <w:szCs w:val="24"/>
        </w:rPr>
        <w:t>za každý den prodlení.</w:t>
      </w:r>
    </w:p>
    <w:p w14:paraId="714EE04B" w14:textId="02CC5A34" w:rsidR="00737B7E" w:rsidRPr="0016095B" w:rsidRDefault="00737B7E" w:rsidP="0016095B">
      <w:pPr>
        <w:pStyle w:val="Odstavecseseznamem"/>
        <w:keepNext/>
        <w:widowControl w:val="0"/>
        <w:numPr>
          <w:ilvl w:val="0"/>
          <w:numId w:val="7"/>
        </w:numPr>
        <w:tabs>
          <w:tab w:val="left" w:pos="2552"/>
          <w:tab w:val="left" w:pos="2884"/>
        </w:tabs>
        <w:spacing w:line="288" w:lineRule="auto"/>
        <w:jc w:val="both"/>
        <w:rPr>
          <w:snapToGrid w:val="0"/>
          <w:szCs w:val="24"/>
        </w:rPr>
      </w:pPr>
      <w:r>
        <w:rPr>
          <w:snapToGrid w:val="0"/>
          <w:szCs w:val="24"/>
        </w:rPr>
        <w:t>Advokátní kancelář se zavazuje uhradit mandantovi smluvní pokutu ve výši 0,05% z fakturované částky v případě, kdy se dostane do prodlení s řádným a bezvadným plněním požadovaných právních služeb, a to za každý, i započatý den prodlení s plněním.</w:t>
      </w:r>
    </w:p>
    <w:p w14:paraId="2D3120EA" w14:textId="77777777" w:rsidR="00E95C09" w:rsidRDefault="00E95C09" w:rsidP="0016095B">
      <w:pPr>
        <w:keepNext/>
        <w:widowControl w:val="0"/>
        <w:tabs>
          <w:tab w:val="left" w:pos="2552"/>
          <w:tab w:val="left" w:pos="2884"/>
        </w:tabs>
        <w:spacing w:line="288" w:lineRule="auto"/>
        <w:jc w:val="both"/>
        <w:rPr>
          <w:snapToGrid w:val="0"/>
          <w:szCs w:val="24"/>
        </w:rPr>
      </w:pPr>
    </w:p>
    <w:p w14:paraId="3830B84C" w14:textId="77777777" w:rsidR="0028332E" w:rsidRPr="0016095B" w:rsidRDefault="0028332E" w:rsidP="0016095B">
      <w:pPr>
        <w:keepNext/>
        <w:widowControl w:val="0"/>
        <w:tabs>
          <w:tab w:val="left" w:pos="2552"/>
          <w:tab w:val="left" w:pos="2884"/>
        </w:tabs>
        <w:spacing w:line="288" w:lineRule="auto"/>
        <w:jc w:val="both"/>
        <w:rPr>
          <w:snapToGrid w:val="0"/>
          <w:szCs w:val="24"/>
        </w:rPr>
      </w:pPr>
    </w:p>
    <w:p w14:paraId="50C88D2B" w14:textId="77777777" w:rsidR="00E95C09" w:rsidRPr="009A404F" w:rsidRDefault="00E95C09" w:rsidP="009A404F">
      <w:pPr>
        <w:keepNext/>
        <w:widowControl w:val="0"/>
        <w:tabs>
          <w:tab w:val="left" w:pos="2552"/>
          <w:tab w:val="left" w:pos="2884"/>
        </w:tabs>
        <w:spacing w:line="288" w:lineRule="auto"/>
        <w:jc w:val="center"/>
        <w:rPr>
          <w:b/>
          <w:snapToGrid w:val="0"/>
          <w:szCs w:val="24"/>
        </w:rPr>
      </w:pPr>
      <w:r w:rsidRPr="009A404F">
        <w:rPr>
          <w:b/>
          <w:snapToGrid w:val="0"/>
          <w:szCs w:val="24"/>
        </w:rPr>
        <w:t>V.</w:t>
      </w:r>
    </w:p>
    <w:p w14:paraId="38DC947F" w14:textId="77777777" w:rsidR="00E95C09" w:rsidRPr="00F93081" w:rsidRDefault="006D1730" w:rsidP="00F93081">
      <w:pPr>
        <w:keepNext/>
        <w:widowControl w:val="0"/>
        <w:tabs>
          <w:tab w:val="left" w:pos="2552"/>
          <w:tab w:val="left" w:pos="2884"/>
        </w:tabs>
        <w:spacing w:line="288" w:lineRule="auto"/>
        <w:jc w:val="center"/>
        <w:rPr>
          <w:b/>
          <w:snapToGrid w:val="0"/>
          <w:szCs w:val="24"/>
        </w:rPr>
      </w:pPr>
      <w:r w:rsidRPr="00F93081">
        <w:rPr>
          <w:b/>
          <w:snapToGrid w:val="0"/>
          <w:szCs w:val="24"/>
        </w:rPr>
        <w:t>Kontaktní osoby</w:t>
      </w:r>
      <w:r w:rsidR="00F93081" w:rsidRPr="00F93081">
        <w:rPr>
          <w:b/>
          <w:snapToGrid w:val="0"/>
          <w:szCs w:val="24"/>
        </w:rPr>
        <w:t xml:space="preserve"> a doručování</w:t>
      </w:r>
    </w:p>
    <w:p w14:paraId="013998DE" w14:textId="77777777" w:rsidR="006D1730" w:rsidRDefault="006D1730" w:rsidP="006D1730">
      <w:pPr>
        <w:pStyle w:val="Odstavecseseznamem"/>
        <w:keepNext/>
        <w:widowControl w:val="0"/>
        <w:numPr>
          <w:ilvl w:val="0"/>
          <w:numId w:val="6"/>
        </w:numPr>
        <w:tabs>
          <w:tab w:val="left" w:pos="2552"/>
          <w:tab w:val="left" w:pos="2884"/>
        </w:tabs>
        <w:spacing w:line="288" w:lineRule="auto"/>
        <w:jc w:val="both"/>
        <w:rPr>
          <w:snapToGrid w:val="0"/>
          <w:szCs w:val="24"/>
        </w:rPr>
      </w:pPr>
      <w:r>
        <w:rPr>
          <w:snapToGrid w:val="0"/>
          <w:szCs w:val="24"/>
        </w:rPr>
        <w:t>Smluvní strany se dohodly, že ze strany mandanta je oprávněn zadávat pokyny a jednotlivé požadavky na právní služby a výsledky přijímat:</w:t>
      </w:r>
    </w:p>
    <w:p w14:paraId="19AA3020" w14:textId="77777777" w:rsidR="006D1730" w:rsidRDefault="006D1730" w:rsidP="006D1730">
      <w:pPr>
        <w:pStyle w:val="Odstavecseseznamem"/>
        <w:keepNext/>
        <w:widowControl w:val="0"/>
        <w:tabs>
          <w:tab w:val="left" w:pos="2552"/>
          <w:tab w:val="left" w:pos="2884"/>
        </w:tabs>
        <w:spacing w:line="288" w:lineRule="auto"/>
        <w:jc w:val="both"/>
        <w:rPr>
          <w:snapToGrid w:val="0"/>
          <w:szCs w:val="24"/>
        </w:rPr>
      </w:pPr>
    </w:p>
    <w:p w14:paraId="7832685F" w14:textId="46BEC79B" w:rsidR="006D1730" w:rsidRDefault="005C2115" w:rsidP="006D1730">
      <w:pPr>
        <w:pStyle w:val="Odstavecseseznamem"/>
        <w:keepNext/>
        <w:widowControl w:val="0"/>
        <w:tabs>
          <w:tab w:val="left" w:pos="2552"/>
          <w:tab w:val="left" w:pos="2884"/>
        </w:tabs>
        <w:spacing w:line="288" w:lineRule="auto"/>
        <w:jc w:val="both"/>
        <w:rPr>
          <w:snapToGrid w:val="0"/>
          <w:szCs w:val="24"/>
        </w:rPr>
      </w:pPr>
      <w:r>
        <w:rPr>
          <w:snapToGrid w:val="0"/>
          <w:szCs w:val="24"/>
        </w:rPr>
        <w:t>Ing. Lenka Sokoltová, MBA</w:t>
      </w:r>
      <w:r w:rsidR="00CB17A1">
        <w:rPr>
          <w:snapToGrid w:val="0"/>
          <w:szCs w:val="24"/>
        </w:rPr>
        <w:t xml:space="preserve"> </w:t>
      </w:r>
      <w:r w:rsidR="006D1730">
        <w:rPr>
          <w:snapToGrid w:val="0"/>
          <w:szCs w:val="24"/>
        </w:rPr>
        <w:t>a dále osoby, které oprávněná osoba k takovému jednání určí.</w:t>
      </w:r>
    </w:p>
    <w:p w14:paraId="40DAF70A" w14:textId="77777777" w:rsidR="006D1730" w:rsidRDefault="006D1730" w:rsidP="006D1730">
      <w:pPr>
        <w:pStyle w:val="Odstavecseseznamem"/>
        <w:keepNext/>
        <w:widowControl w:val="0"/>
        <w:tabs>
          <w:tab w:val="left" w:pos="2552"/>
          <w:tab w:val="left" w:pos="2884"/>
        </w:tabs>
        <w:spacing w:line="288" w:lineRule="auto"/>
        <w:jc w:val="both"/>
        <w:rPr>
          <w:snapToGrid w:val="0"/>
          <w:szCs w:val="24"/>
        </w:rPr>
      </w:pPr>
    </w:p>
    <w:p w14:paraId="2B4419DE" w14:textId="77777777" w:rsidR="006D1730" w:rsidRDefault="006D1730" w:rsidP="006D1730">
      <w:pPr>
        <w:pStyle w:val="Odstavecseseznamem"/>
        <w:keepNext/>
        <w:widowControl w:val="0"/>
        <w:numPr>
          <w:ilvl w:val="0"/>
          <w:numId w:val="6"/>
        </w:numPr>
        <w:tabs>
          <w:tab w:val="left" w:pos="2552"/>
          <w:tab w:val="left" w:pos="2884"/>
        </w:tabs>
        <w:spacing w:line="288" w:lineRule="auto"/>
        <w:jc w:val="both"/>
        <w:rPr>
          <w:snapToGrid w:val="0"/>
          <w:szCs w:val="24"/>
        </w:rPr>
      </w:pPr>
      <w:r>
        <w:rPr>
          <w:snapToGrid w:val="0"/>
          <w:szCs w:val="24"/>
        </w:rPr>
        <w:t xml:space="preserve">Smluvní strany se dohodly, že ze strany advokátní kanceláře se na realizaci služby budou </w:t>
      </w:r>
      <w:r>
        <w:rPr>
          <w:snapToGrid w:val="0"/>
          <w:szCs w:val="24"/>
        </w:rPr>
        <w:lastRenderedPageBreak/>
        <w:t>podílet následující osoby:</w:t>
      </w:r>
    </w:p>
    <w:p w14:paraId="6EA12E51" w14:textId="77777777" w:rsidR="006D1730" w:rsidRDefault="006D1730" w:rsidP="006D1730">
      <w:pPr>
        <w:pStyle w:val="Odstavecseseznamem"/>
        <w:keepNext/>
        <w:widowControl w:val="0"/>
        <w:tabs>
          <w:tab w:val="left" w:pos="2552"/>
          <w:tab w:val="left" w:pos="2884"/>
        </w:tabs>
        <w:spacing w:line="288" w:lineRule="auto"/>
        <w:jc w:val="both"/>
        <w:rPr>
          <w:snapToGrid w:val="0"/>
          <w:szCs w:val="24"/>
        </w:rPr>
      </w:pPr>
    </w:p>
    <w:p w14:paraId="1AF5AAE6" w14:textId="4162D7E6" w:rsidR="00CB17A1" w:rsidRDefault="005C2115" w:rsidP="005C2115">
      <w:pPr>
        <w:pStyle w:val="Odstavecseseznamem"/>
        <w:keepNext/>
        <w:widowControl w:val="0"/>
        <w:tabs>
          <w:tab w:val="left" w:pos="2552"/>
          <w:tab w:val="left" w:pos="2884"/>
        </w:tabs>
        <w:spacing w:line="288" w:lineRule="auto"/>
        <w:ind w:left="708"/>
        <w:jc w:val="both"/>
        <w:rPr>
          <w:snapToGrid w:val="0"/>
          <w:szCs w:val="24"/>
        </w:rPr>
      </w:pPr>
      <w:r>
        <w:rPr>
          <w:snapToGrid w:val="0"/>
          <w:szCs w:val="24"/>
        </w:rPr>
        <w:t xml:space="preserve">Mgr. Tomáš </w:t>
      </w:r>
      <w:proofErr w:type="spellStart"/>
      <w:r>
        <w:rPr>
          <w:snapToGrid w:val="0"/>
          <w:szCs w:val="24"/>
        </w:rPr>
        <w:t>Machurek</w:t>
      </w:r>
      <w:proofErr w:type="spellEnd"/>
      <w:r>
        <w:rPr>
          <w:snapToGrid w:val="0"/>
          <w:szCs w:val="24"/>
        </w:rPr>
        <w:t xml:space="preserve">, </w:t>
      </w:r>
      <w:proofErr w:type="spellStart"/>
      <w:r>
        <w:rPr>
          <w:snapToGrid w:val="0"/>
          <w:szCs w:val="24"/>
        </w:rPr>
        <w:t>JuDr.</w:t>
      </w:r>
      <w:proofErr w:type="spellEnd"/>
      <w:r>
        <w:rPr>
          <w:snapToGrid w:val="0"/>
          <w:szCs w:val="24"/>
        </w:rPr>
        <w:t xml:space="preserve"> Petr Novotný</w:t>
      </w:r>
    </w:p>
    <w:p w14:paraId="2C5269B4" w14:textId="77777777" w:rsidR="00575C27" w:rsidRDefault="00575C27" w:rsidP="006D1730">
      <w:pPr>
        <w:pStyle w:val="Odstavecseseznamem"/>
        <w:keepNext/>
        <w:widowControl w:val="0"/>
        <w:tabs>
          <w:tab w:val="left" w:pos="2552"/>
          <w:tab w:val="left" w:pos="2884"/>
        </w:tabs>
        <w:spacing w:line="288" w:lineRule="auto"/>
        <w:jc w:val="both"/>
        <w:rPr>
          <w:snapToGrid w:val="0"/>
          <w:szCs w:val="24"/>
        </w:rPr>
      </w:pPr>
    </w:p>
    <w:p w14:paraId="57B1B8A3" w14:textId="7553690E" w:rsidR="006D1730" w:rsidRDefault="00CB17A1" w:rsidP="006D1730">
      <w:pPr>
        <w:pStyle w:val="Odstavecseseznamem"/>
        <w:keepNext/>
        <w:widowControl w:val="0"/>
        <w:tabs>
          <w:tab w:val="left" w:pos="2552"/>
          <w:tab w:val="left" w:pos="2884"/>
        </w:tabs>
        <w:spacing w:line="288" w:lineRule="auto"/>
        <w:jc w:val="both"/>
        <w:rPr>
          <w:snapToGrid w:val="0"/>
          <w:szCs w:val="24"/>
        </w:rPr>
      </w:pPr>
      <w:r>
        <w:rPr>
          <w:snapToGrid w:val="0"/>
          <w:szCs w:val="24"/>
        </w:rPr>
        <w:t>[•], p</w:t>
      </w:r>
      <w:r w:rsidR="006D1730">
        <w:rPr>
          <w:snapToGrid w:val="0"/>
          <w:szCs w:val="24"/>
        </w:rPr>
        <w:t xml:space="preserve">řičemž za advokátní kancelář je oprávněn přijímat pokyny mandanta a jednotlivé požadavky na právní služby a odpovědným ve věcech plnění předmětu této </w:t>
      </w:r>
      <w:proofErr w:type="gramStart"/>
      <w:r w:rsidR="006D1730">
        <w:rPr>
          <w:snapToGrid w:val="0"/>
          <w:szCs w:val="24"/>
        </w:rPr>
        <w:t>smlouvy :</w:t>
      </w:r>
      <w:proofErr w:type="gramEnd"/>
    </w:p>
    <w:p w14:paraId="580526EC" w14:textId="77777777" w:rsidR="006D1730" w:rsidRDefault="006D1730" w:rsidP="006D1730">
      <w:pPr>
        <w:pStyle w:val="Odstavecseseznamem"/>
        <w:keepNext/>
        <w:widowControl w:val="0"/>
        <w:tabs>
          <w:tab w:val="left" w:pos="2552"/>
          <w:tab w:val="left" w:pos="2884"/>
        </w:tabs>
        <w:spacing w:line="288" w:lineRule="auto"/>
        <w:jc w:val="both"/>
        <w:rPr>
          <w:snapToGrid w:val="0"/>
          <w:szCs w:val="24"/>
        </w:rPr>
      </w:pPr>
    </w:p>
    <w:p w14:paraId="661AB362" w14:textId="3B2C3EE8" w:rsidR="006D1730" w:rsidRDefault="005C2115" w:rsidP="006D1730">
      <w:pPr>
        <w:pStyle w:val="Odstavecseseznamem"/>
        <w:keepNext/>
        <w:widowControl w:val="0"/>
        <w:tabs>
          <w:tab w:val="left" w:pos="2552"/>
          <w:tab w:val="left" w:pos="2884"/>
        </w:tabs>
        <w:spacing w:line="288" w:lineRule="auto"/>
        <w:jc w:val="both"/>
        <w:rPr>
          <w:snapToGrid w:val="0"/>
          <w:szCs w:val="24"/>
        </w:rPr>
      </w:pPr>
      <w:proofErr w:type="spellStart"/>
      <w:r>
        <w:rPr>
          <w:snapToGrid w:val="0"/>
          <w:szCs w:val="24"/>
        </w:rPr>
        <w:t>JuDr.</w:t>
      </w:r>
      <w:proofErr w:type="spellEnd"/>
      <w:r>
        <w:rPr>
          <w:snapToGrid w:val="0"/>
          <w:szCs w:val="24"/>
        </w:rPr>
        <w:t xml:space="preserve"> Petr Novotná, </w:t>
      </w:r>
      <w:proofErr w:type="gramStart"/>
      <w:r>
        <w:rPr>
          <w:snapToGrid w:val="0"/>
          <w:szCs w:val="24"/>
        </w:rPr>
        <w:t>LL.M.</w:t>
      </w:r>
      <w:proofErr w:type="gramEnd"/>
    </w:p>
    <w:p w14:paraId="047C3B74" w14:textId="77777777" w:rsidR="00575C27" w:rsidRDefault="00575C27" w:rsidP="006D1730">
      <w:pPr>
        <w:pStyle w:val="Odstavecseseznamem"/>
        <w:keepNext/>
        <w:widowControl w:val="0"/>
        <w:tabs>
          <w:tab w:val="left" w:pos="2552"/>
          <w:tab w:val="left" w:pos="2884"/>
        </w:tabs>
        <w:spacing w:line="288" w:lineRule="auto"/>
        <w:jc w:val="both"/>
        <w:rPr>
          <w:snapToGrid w:val="0"/>
          <w:szCs w:val="24"/>
        </w:rPr>
      </w:pPr>
    </w:p>
    <w:p w14:paraId="1C7055AF" w14:textId="6B608CF2" w:rsidR="00CB17A1" w:rsidRDefault="005C2115" w:rsidP="006D1730">
      <w:pPr>
        <w:pStyle w:val="Odstavecseseznamem"/>
        <w:keepNext/>
        <w:widowControl w:val="0"/>
        <w:tabs>
          <w:tab w:val="left" w:pos="2552"/>
          <w:tab w:val="left" w:pos="2884"/>
        </w:tabs>
        <w:spacing w:line="288" w:lineRule="auto"/>
        <w:jc w:val="both"/>
        <w:rPr>
          <w:snapToGrid w:val="0"/>
          <w:szCs w:val="24"/>
        </w:rPr>
      </w:pPr>
      <w:r>
        <w:rPr>
          <w:snapToGrid w:val="0"/>
          <w:szCs w:val="24"/>
        </w:rPr>
        <w:t xml:space="preserve">Mgr. Tomáš </w:t>
      </w:r>
      <w:proofErr w:type="spellStart"/>
      <w:r>
        <w:rPr>
          <w:snapToGrid w:val="0"/>
          <w:szCs w:val="24"/>
        </w:rPr>
        <w:t>Machurek</w:t>
      </w:r>
      <w:proofErr w:type="spellEnd"/>
    </w:p>
    <w:p w14:paraId="2D017781" w14:textId="77777777" w:rsidR="00575C27" w:rsidRDefault="00575C27" w:rsidP="006D1730">
      <w:pPr>
        <w:pStyle w:val="Odstavecseseznamem"/>
        <w:keepNext/>
        <w:widowControl w:val="0"/>
        <w:tabs>
          <w:tab w:val="left" w:pos="2552"/>
          <w:tab w:val="left" w:pos="2884"/>
        </w:tabs>
        <w:spacing w:line="288" w:lineRule="auto"/>
        <w:jc w:val="both"/>
        <w:rPr>
          <w:snapToGrid w:val="0"/>
          <w:szCs w:val="24"/>
        </w:rPr>
      </w:pPr>
    </w:p>
    <w:p w14:paraId="34D3E7A1" w14:textId="77777777" w:rsidR="00CB17A1" w:rsidRDefault="00CB17A1" w:rsidP="006D1730">
      <w:pPr>
        <w:pStyle w:val="Odstavecseseznamem"/>
        <w:keepNext/>
        <w:widowControl w:val="0"/>
        <w:tabs>
          <w:tab w:val="left" w:pos="2552"/>
          <w:tab w:val="left" w:pos="2884"/>
        </w:tabs>
        <w:spacing w:line="288" w:lineRule="auto"/>
        <w:jc w:val="both"/>
        <w:rPr>
          <w:snapToGrid w:val="0"/>
          <w:szCs w:val="24"/>
        </w:rPr>
      </w:pPr>
    </w:p>
    <w:p w14:paraId="2960AC2A" w14:textId="77777777" w:rsidR="006D1730" w:rsidRDefault="006D1730" w:rsidP="006D1730">
      <w:pPr>
        <w:pStyle w:val="Odstavecseseznamem"/>
        <w:keepNext/>
        <w:widowControl w:val="0"/>
        <w:numPr>
          <w:ilvl w:val="0"/>
          <w:numId w:val="6"/>
        </w:numPr>
        <w:tabs>
          <w:tab w:val="left" w:pos="2552"/>
          <w:tab w:val="left" w:pos="2884"/>
        </w:tabs>
        <w:spacing w:line="288" w:lineRule="auto"/>
        <w:jc w:val="both"/>
        <w:rPr>
          <w:snapToGrid w:val="0"/>
          <w:szCs w:val="24"/>
        </w:rPr>
      </w:pPr>
      <w:r>
        <w:rPr>
          <w:snapToGrid w:val="0"/>
          <w:szCs w:val="24"/>
        </w:rPr>
        <w:t>V případech doručování písemných dokumentů bude dokument považován za řádně doručený, je-li poslán elektronickou poštou s potvrzením o doručení zprávy, datovou schránkou, faxem nebo držitelem poštovní licence na adresu dané smluvní strany uvedenou v záhlaví této smlouvy. V případě zaslání elektronickou poštou nebo faxem budou dokumenty zaslány bezodkladně rovněž v písemné formě.</w:t>
      </w:r>
    </w:p>
    <w:p w14:paraId="785D6E24" w14:textId="2848E074" w:rsidR="00041E27" w:rsidRDefault="006D1730" w:rsidP="00041E27">
      <w:pPr>
        <w:pStyle w:val="Odstavecseseznamem"/>
        <w:keepNext/>
        <w:widowControl w:val="0"/>
        <w:numPr>
          <w:ilvl w:val="0"/>
          <w:numId w:val="6"/>
        </w:numPr>
        <w:tabs>
          <w:tab w:val="left" w:pos="2552"/>
          <w:tab w:val="left" w:pos="2884"/>
        </w:tabs>
        <w:spacing w:line="288" w:lineRule="auto"/>
        <w:jc w:val="both"/>
        <w:rPr>
          <w:snapToGrid w:val="0"/>
          <w:szCs w:val="24"/>
        </w:rPr>
      </w:pPr>
      <w:r>
        <w:rPr>
          <w:snapToGrid w:val="0"/>
          <w:szCs w:val="24"/>
        </w:rPr>
        <w:t>Každá ze smluvních stran je odpovědná za aktuálnost adresy, kterou má k dispozici druhá smluvní strana. Vrácení zásilky držitelem poštovní licence se považuje za doručení zásilky desátým dnem ode dne učinění pokusu o doručení zásilky držitelem poštovní licence.</w:t>
      </w:r>
    </w:p>
    <w:p w14:paraId="0ED77924" w14:textId="77777777" w:rsidR="00CB17A1" w:rsidRDefault="00CB17A1" w:rsidP="00CB17A1">
      <w:pPr>
        <w:pStyle w:val="Odstavecseseznamem"/>
        <w:keepNext/>
        <w:widowControl w:val="0"/>
        <w:tabs>
          <w:tab w:val="left" w:pos="2552"/>
          <w:tab w:val="left" w:pos="2884"/>
        </w:tabs>
        <w:spacing w:line="288" w:lineRule="auto"/>
        <w:jc w:val="both"/>
        <w:rPr>
          <w:snapToGrid w:val="0"/>
          <w:szCs w:val="24"/>
        </w:rPr>
      </w:pPr>
    </w:p>
    <w:p w14:paraId="401B15F9" w14:textId="77777777" w:rsidR="0028332E" w:rsidRDefault="0028332E" w:rsidP="00CB17A1">
      <w:pPr>
        <w:pStyle w:val="Odstavecseseznamem"/>
        <w:keepNext/>
        <w:widowControl w:val="0"/>
        <w:tabs>
          <w:tab w:val="left" w:pos="2552"/>
          <w:tab w:val="left" w:pos="2884"/>
        </w:tabs>
        <w:spacing w:line="288" w:lineRule="auto"/>
        <w:jc w:val="both"/>
        <w:rPr>
          <w:snapToGrid w:val="0"/>
          <w:szCs w:val="24"/>
        </w:rPr>
      </w:pPr>
    </w:p>
    <w:p w14:paraId="6A26CD8B" w14:textId="77777777" w:rsidR="0028332E" w:rsidRPr="00CB17A1" w:rsidRDefault="0028332E" w:rsidP="00CB17A1">
      <w:pPr>
        <w:pStyle w:val="Odstavecseseznamem"/>
        <w:keepNext/>
        <w:widowControl w:val="0"/>
        <w:tabs>
          <w:tab w:val="left" w:pos="2552"/>
          <w:tab w:val="left" w:pos="2884"/>
        </w:tabs>
        <w:spacing w:line="288" w:lineRule="auto"/>
        <w:jc w:val="both"/>
        <w:rPr>
          <w:snapToGrid w:val="0"/>
          <w:szCs w:val="24"/>
        </w:rPr>
      </w:pPr>
    </w:p>
    <w:p w14:paraId="335740E8" w14:textId="77777777" w:rsidR="006D1730" w:rsidRPr="00F93081" w:rsidRDefault="00041E27" w:rsidP="00F93081">
      <w:pPr>
        <w:pStyle w:val="Odstavecseseznamem"/>
        <w:keepNext/>
        <w:widowControl w:val="0"/>
        <w:tabs>
          <w:tab w:val="left" w:pos="2552"/>
          <w:tab w:val="left" w:pos="2884"/>
        </w:tabs>
        <w:spacing w:line="288" w:lineRule="auto"/>
        <w:jc w:val="center"/>
        <w:rPr>
          <w:b/>
          <w:snapToGrid w:val="0"/>
          <w:szCs w:val="24"/>
        </w:rPr>
      </w:pPr>
      <w:r w:rsidRPr="00F93081">
        <w:rPr>
          <w:b/>
          <w:snapToGrid w:val="0"/>
          <w:szCs w:val="24"/>
        </w:rPr>
        <w:t>VI.</w:t>
      </w:r>
    </w:p>
    <w:p w14:paraId="3561D86D" w14:textId="77777777" w:rsidR="00041E27" w:rsidRPr="00F93081" w:rsidRDefault="00041E27" w:rsidP="00F93081">
      <w:pPr>
        <w:pStyle w:val="Odstavecseseznamem"/>
        <w:keepNext/>
        <w:widowControl w:val="0"/>
        <w:tabs>
          <w:tab w:val="left" w:pos="2552"/>
          <w:tab w:val="left" w:pos="2884"/>
        </w:tabs>
        <w:spacing w:line="288" w:lineRule="auto"/>
        <w:jc w:val="center"/>
        <w:rPr>
          <w:b/>
          <w:snapToGrid w:val="0"/>
          <w:szCs w:val="24"/>
        </w:rPr>
      </w:pPr>
      <w:r w:rsidRPr="00F93081">
        <w:rPr>
          <w:b/>
          <w:snapToGrid w:val="0"/>
          <w:szCs w:val="24"/>
        </w:rPr>
        <w:t>Ustanovení závěrečná</w:t>
      </w:r>
    </w:p>
    <w:p w14:paraId="05B8A6C4" w14:textId="77777777" w:rsidR="00041E27" w:rsidRDefault="00041E27" w:rsidP="006D1730">
      <w:pPr>
        <w:pStyle w:val="Odstavecseseznamem"/>
        <w:keepNext/>
        <w:widowControl w:val="0"/>
        <w:tabs>
          <w:tab w:val="left" w:pos="2552"/>
          <w:tab w:val="left" w:pos="2884"/>
        </w:tabs>
        <w:spacing w:line="288" w:lineRule="auto"/>
        <w:jc w:val="both"/>
        <w:rPr>
          <w:snapToGrid w:val="0"/>
          <w:szCs w:val="24"/>
        </w:rPr>
      </w:pPr>
    </w:p>
    <w:p w14:paraId="17E26687" w14:textId="2F5E28E2" w:rsidR="00041E27" w:rsidRDefault="00CB17A1"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Pr>
          <w:snapToGrid w:val="0"/>
          <w:szCs w:val="24"/>
        </w:rPr>
        <w:t xml:space="preserve"> </w:t>
      </w:r>
      <w:r w:rsidR="00041E27">
        <w:rPr>
          <w:snapToGrid w:val="0"/>
          <w:szCs w:val="24"/>
        </w:rPr>
        <w:t>Pokud tato smlouva nestanoví jinak, řídí se vzájemné vztahy smluvních stran obecnou právní úpravou, zejména pak zákonem o advokacii a občanským zákoníkem.</w:t>
      </w:r>
    </w:p>
    <w:p w14:paraId="6383FACB" w14:textId="2F2F7AD4" w:rsidR="00041E27" w:rsidRDefault="00041E27"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Pr>
          <w:snapToGrid w:val="0"/>
          <w:szCs w:val="24"/>
        </w:rPr>
        <w:t>Tuto smlouvu lze měnit a doplňovat pouze písemnými vzestupně číslovanými dodatky, schválenými a podepsanými oběma smluvními stranami.</w:t>
      </w:r>
    </w:p>
    <w:p w14:paraId="59392EF6" w14:textId="4B87D25C" w:rsidR="00041E27" w:rsidRDefault="00041E27"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Pr>
          <w:snapToGrid w:val="0"/>
          <w:szCs w:val="24"/>
        </w:rPr>
        <w:t>Tato smlouva je vyhotovena ve dvou vyhotoveních, přičemž každé má platnost originálu. Každá ze stran obdrží po jednom vyhotovení.</w:t>
      </w:r>
    </w:p>
    <w:p w14:paraId="01CB7ED2" w14:textId="349DE7DE" w:rsidR="00041E27" w:rsidRDefault="00041E27"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Pr>
          <w:snapToGrid w:val="0"/>
          <w:szCs w:val="24"/>
        </w:rPr>
        <w:t>Smluvní strany prohlašují, že se řádně seznámily s obsahem této smlouvy. Obsahu smlouvy plně porozuměly a celým svým obsahem odpovídá jejich vůli. Na důkaz této skutečnosti připojují smluvní strany své podpisy.</w:t>
      </w:r>
    </w:p>
    <w:p w14:paraId="3D4B7880" w14:textId="77777777" w:rsidR="00CB17A1" w:rsidRDefault="00041E27"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Pr>
          <w:snapToGrid w:val="0"/>
          <w:szCs w:val="24"/>
        </w:rPr>
        <w:t>Advokátní kancelář uděluje tímto mandantovi souhlas se zveřejněním celého textu této smlouvy na příslušných stránkách určených ke zveřejňování smluv uzavřených mandantem, a to včetně jejích případných příloh a dodatků. Zároveň tímto prohlašuje, že skutečnosti v této smlouvě uvedené nepovažuje za obchodní tajemství ve smyslu příslušných ustanovení platných právních předpisů a uděluje svůj souhlas k jejich užití a zveřejnění bez stanovení dalších podmínek a omezení.</w:t>
      </w:r>
    </w:p>
    <w:p w14:paraId="2C5BA0CC" w14:textId="135AAC41" w:rsidR="00F93081" w:rsidRDefault="00F93081" w:rsidP="0028332E">
      <w:pPr>
        <w:pStyle w:val="Odstavecseseznamem"/>
        <w:keepNext/>
        <w:widowControl w:val="0"/>
        <w:numPr>
          <w:ilvl w:val="0"/>
          <w:numId w:val="8"/>
        </w:numPr>
        <w:tabs>
          <w:tab w:val="left" w:pos="2552"/>
          <w:tab w:val="left" w:pos="2884"/>
        </w:tabs>
        <w:spacing w:line="288" w:lineRule="auto"/>
        <w:ind w:left="709"/>
        <w:jc w:val="both"/>
        <w:rPr>
          <w:snapToGrid w:val="0"/>
          <w:szCs w:val="24"/>
        </w:rPr>
      </w:pPr>
      <w:r w:rsidRPr="00CB17A1">
        <w:rPr>
          <w:snapToGrid w:val="0"/>
          <w:szCs w:val="24"/>
        </w:rPr>
        <w:t xml:space="preserve">Advokátní kancelář bere na vědomí, že mandant je subjektem povinným poskytovat informace ve smyslu příslušných ustanovení zákona č. 106/1999 Sb., zákon o svobodném přístupu </w:t>
      </w:r>
      <w:r w:rsidRPr="00CB17A1">
        <w:rPr>
          <w:snapToGrid w:val="0"/>
          <w:szCs w:val="24"/>
        </w:rPr>
        <w:lastRenderedPageBreak/>
        <w:t>k informacím, ve znění pozdějších předpisů, a proti této skutečnosti nemá žádných námitek.</w:t>
      </w:r>
    </w:p>
    <w:p w14:paraId="7A44BCFE" w14:textId="77777777" w:rsidR="00195FA7" w:rsidRDefault="00195FA7" w:rsidP="00195FA7">
      <w:pPr>
        <w:keepNext/>
        <w:widowControl w:val="0"/>
        <w:tabs>
          <w:tab w:val="left" w:pos="2552"/>
          <w:tab w:val="left" w:pos="2884"/>
        </w:tabs>
        <w:spacing w:line="288" w:lineRule="auto"/>
        <w:jc w:val="both"/>
        <w:rPr>
          <w:snapToGrid w:val="0"/>
          <w:szCs w:val="24"/>
        </w:rPr>
      </w:pPr>
    </w:p>
    <w:p w14:paraId="30E73674" w14:textId="73657377" w:rsidR="00195FA7" w:rsidRDefault="00195FA7" w:rsidP="00195FA7">
      <w:pPr>
        <w:keepNext/>
        <w:widowControl w:val="0"/>
        <w:tabs>
          <w:tab w:val="left" w:pos="2552"/>
          <w:tab w:val="left" w:pos="2884"/>
        </w:tabs>
        <w:spacing w:line="288" w:lineRule="auto"/>
        <w:jc w:val="both"/>
        <w:rPr>
          <w:snapToGrid w:val="0"/>
          <w:szCs w:val="24"/>
        </w:rPr>
      </w:pPr>
      <w:r>
        <w:rPr>
          <w:snapToGrid w:val="0"/>
          <w:szCs w:val="24"/>
        </w:rPr>
        <w:t>V Praze dne ………………………….</w:t>
      </w:r>
      <w:r>
        <w:rPr>
          <w:snapToGrid w:val="0"/>
          <w:szCs w:val="24"/>
        </w:rPr>
        <w:tab/>
      </w:r>
      <w:r>
        <w:rPr>
          <w:snapToGrid w:val="0"/>
          <w:szCs w:val="24"/>
        </w:rPr>
        <w:tab/>
      </w:r>
      <w:r>
        <w:rPr>
          <w:snapToGrid w:val="0"/>
          <w:szCs w:val="24"/>
        </w:rPr>
        <w:tab/>
      </w:r>
      <w:r>
        <w:rPr>
          <w:snapToGrid w:val="0"/>
          <w:szCs w:val="24"/>
        </w:rPr>
        <w:tab/>
      </w:r>
      <w:r>
        <w:rPr>
          <w:snapToGrid w:val="0"/>
          <w:szCs w:val="24"/>
        </w:rPr>
        <w:tab/>
        <w:t>V Praze dne ………………………….</w:t>
      </w:r>
      <w:bookmarkStart w:id="0" w:name="_GoBack"/>
      <w:bookmarkEnd w:id="0"/>
    </w:p>
    <w:p w14:paraId="18E3BA0E" w14:textId="77777777" w:rsidR="00195FA7" w:rsidRDefault="00195FA7" w:rsidP="00195FA7">
      <w:pPr>
        <w:keepNext/>
        <w:widowControl w:val="0"/>
        <w:tabs>
          <w:tab w:val="left" w:pos="2552"/>
          <w:tab w:val="left" w:pos="2884"/>
        </w:tabs>
        <w:spacing w:line="288" w:lineRule="auto"/>
        <w:jc w:val="both"/>
        <w:rPr>
          <w:snapToGrid w:val="0"/>
          <w:szCs w:val="24"/>
        </w:rPr>
      </w:pPr>
    </w:p>
    <w:p w14:paraId="160B87E8" w14:textId="77777777" w:rsidR="00195FA7" w:rsidRDefault="00195FA7" w:rsidP="00195FA7">
      <w:pPr>
        <w:keepNext/>
        <w:widowControl w:val="0"/>
        <w:tabs>
          <w:tab w:val="left" w:pos="2552"/>
          <w:tab w:val="left" w:pos="2884"/>
        </w:tabs>
        <w:spacing w:line="288" w:lineRule="auto"/>
        <w:jc w:val="both"/>
        <w:rPr>
          <w:snapToGrid w:val="0"/>
          <w:szCs w:val="24"/>
        </w:rPr>
      </w:pPr>
    </w:p>
    <w:p w14:paraId="53698381" w14:textId="77777777" w:rsidR="00195FA7" w:rsidRDefault="00195FA7" w:rsidP="00195FA7">
      <w:pPr>
        <w:keepNext/>
        <w:widowControl w:val="0"/>
        <w:tabs>
          <w:tab w:val="left" w:pos="2552"/>
          <w:tab w:val="left" w:pos="2884"/>
        </w:tabs>
        <w:spacing w:line="288" w:lineRule="auto"/>
        <w:jc w:val="both"/>
        <w:rPr>
          <w:snapToGrid w:val="0"/>
          <w:szCs w:val="24"/>
        </w:rPr>
      </w:pPr>
    </w:p>
    <w:p w14:paraId="11E6DCDC" w14:textId="228E868E" w:rsidR="00195FA7" w:rsidRDefault="00195FA7" w:rsidP="00195FA7">
      <w:pPr>
        <w:keepNext/>
        <w:widowControl w:val="0"/>
        <w:tabs>
          <w:tab w:val="left" w:pos="2552"/>
          <w:tab w:val="left" w:pos="2884"/>
        </w:tabs>
        <w:spacing w:line="288" w:lineRule="auto"/>
        <w:jc w:val="both"/>
        <w:rPr>
          <w:snapToGrid w:val="0"/>
          <w:szCs w:val="24"/>
        </w:rPr>
      </w:pPr>
      <w:r>
        <w:rPr>
          <w:snapToGrid w:val="0"/>
          <w:szCs w:val="24"/>
        </w:rPr>
        <w:t>-----------------------------------------</w:t>
      </w:r>
      <w:r>
        <w:rPr>
          <w:snapToGrid w:val="0"/>
          <w:szCs w:val="24"/>
        </w:rPr>
        <w:tab/>
      </w:r>
      <w:r>
        <w:rPr>
          <w:snapToGrid w:val="0"/>
          <w:szCs w:val="24"/>
        </w:rPr>
        <w:tab/>
      </w:r>
      <w:r>
        <w:rPr>
          <w:snapToGrid w:val="0"/>
          <w:szCs w:val="24"/>
        </w:rPr>
        <w:tab/>
      </w:r>
      <w:r>
        <w:rPr>
          <w:snapToGrid w:val="0"/>
          <w:szCs w:val="24"/>
        </w:rPr>
        <w:tab/>
      </w:r>
      <w:r>
        <w:rPr>
          <w:snapToGrid w:val="0"/>
          <w:szCs w:val="24"/>
        </w:rPr>
        <w:tab/>
        <w:t>------------------------------------------</w:t>
      </w:r>
    </w:p>
    <w:p w14:paraId="50CCAA69" w14:textId="57805605" w:rsidR="005C2115" w:rsidRDefault="00195FA7" w:rsidP="00195FA7">
      <w:pPr>
        <w:keepNext/>
        <w:widowControl w:val="0"/>
        <w:tabs>
          <w:tab w:val="left" w:pos="2552"/>
          <w:tab w:val="left" w:pos="2884"/>
        </w:tabs>
        <w:spacing w:line="288" w:lineRule="auto"/>
        <w:jc w:val="both"/>
        <w:rPr>
          <w:snapToGrid w:val="0"/>
          <w:szCs w:val="24"/>
        </w:rPr>
      </w:pPr>
      <w:r>
        <w:rPr>
          <w:snapToGrid w:val="0"/>
          <w:szCs w:val="24"/>
        </w:rPr>
        <w:t xml:space="preserve">       </w:t>
      </w:r>
      <w:r w:rsidR="00823004">
        <w:rPr>
          <w:snapToGrid w:val="0"/>
          <w:szCs w:val="24"/>
        </w:rPr>
        <w:t xml:space="preserve">         mandant</w:t>
      </w:r>
      <w:r w:rsidR="00823004">
        <w:rPr>
          <w:snapToGrid w:val="0"/>
          <w:szCs w:val="24"/>
        </w:rPr>
        <w:tab/>
      </w:r>
      <w:r w:rsidR="00823004">
        <w:rPr>
          <w:snapToGrid w:val="0"/>
          <w:szCs w:val="24"/>
        </w:rPr>
        <w:tab/>
      </w:r>
      <w:r w:rsidR="00823004">
        <w:rPr>
          <w:snapToGrid w:val="0"/>
          <w:szCs w:val="24"/>
        </w:rPr>
        <w:tab/>
      </w:r>
      <w:r w:rsidR="00823004">
        <w:rPr>
          <w:snapToGrid w:val="0"/>
          <w:szCs w:val="24"/>
        </w:rPr>
        <w:tab/>
      </w:r>
      <w:r w:rsidR="00823004">
        <w:rPr>
          <w:snapToGrid w:val="0"/>
          <w:szCs w:val="24"/>
        </w:rPr>
        <w:tab/>
        <w:t xml:space="preserve">            MT </w:t>
      </w:r>
      <w:proofErr w:type="spellStart"/>
      <w:r w:rsidR="00823004">
        <w:rPr>
          <w:snapToGrid w:val="0"/>
          <w:szCs w:val="24"/>
        </w:rPr>
        <w:t>Legal</w:t>
      </w:r>
      <w:proofErr w:type="spellEnd"/>
      <w:r w:rsidR="00823004">
        <w:rPr>
          <w:snapToGrid w:val="0"/>
          <w:szCs w:val="24"/>
        </w:rPr>
        <w:t xml:space="preserve"> s.r.o., advokátní kancelář</w:t>
      </w:r>
    </w:p>
    <w:p w14:paraId="7170E3A4" w14:textId="31574FB3" w:rsidR="00823004" w:rsidRDefault="00823004" w:rsidP="00195FA7">
      <w:pPr>
        <w:keepNext/>
        <w:widowControl w:val="0"/>
        <w:tabs>
          <w:tab w:val="left" w:pos="2552"/>
          <w:tab w:val="left" w:pos="2884"/>
        </w:tabs>
        <w:spacing w:line="288" w:lineRule="auto"/>
        <w:jc w:val="both"/>
        <w:rPr>
          <w:snapToGrid w:val="0"/>
          <w:szCs w:val="24"/>
        </w:rPr>
      </w:pP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 xml:space="preserve">Mgr. Tomáš </w:t>
      </w:r>
      <w:proofErr w:type="spellStart"/>
      <w:r>
        <w:rPr>
          <w:snapToGrid w:val="0"/>
          <w:szCs w:val="24"/>
        </w:rPr>
        <w:t>Machurek</w:t>
      </w:r>
      <w:proofErr w:type="spellEnd"/>
      <w:r>
        <w:rPr>
          <w:snapToGrid w:val="0"/>
          <w:szCs w:val="24"/>
        </w:rPr>
        <w:t>, jednatel</w:t>
      </w:r>
    </w:p>
    <w:p w14:paraId="43D520F6" w14:textId="77777777" w:rsidR="005C2115" w:rsidRDefault="005C2115">
      <w:pPr>
        <w:rPr>
          <w:snapToGrid w:val="0"/>
          <w:szCs w:val="24"/>
        </w:rPr>
      </w:pPr>
      <w:r>
        <w:rPr>
          <w:snapToGrid w:val="0"/>
          <w:szCs w:val="24"/>
        </w:rPr>
        <w:br w:type="page"/>
      </w:r>
    </w:p>
    <w:p w14:paraId="51DAC307" w14:textId="59BA0D1D" w:rsidR="00195FA7" w:rsidRDefault="005C2115" w:rsidP="00195FA7">
      <w:pPr>
        <w:keepNext/>
        <w:widowControl w:val="0"/>
        <w:tabs>
          <w:tab w:val="left" w:pos="2552"/>
          <w:tab w:val="left" w:pos="2884"/>
        </w:tabs>
        <w:spacing w:line="288" w:lineRule="auto"/>
        <w:jc w:val="both"/>
        <w:rPr>
          <w:snapToGrid w:val="0"/>
          <w:szCs w:val="24"/>
        </w:rPr>
      </w:pPr>
      <w:r>
        <w:rPr>
          <w:snapToGrid w:val="0"/>
          <w:szCs w:val="24"/>
        </w:rPr>
        <w:lastRenderedPageBreak/>
        <w:t>Příloha č. 1 ke Smlouvě o poskytování právních služeb</w:t>
      </w:r>
    </w:p>
    <w:p w14:paraId="625E60F2" w14:textId="77777777" w:rsidR="005C2115" w:rsidRDefault="005C2115" w:rsidP="00195FA7">
      <w:pPr>
        <w:keepNext/>
        <w:widowControl w:val="0"/>
        <w:tabs>
          <w:tab w:val="left" w:pos="2552"/>
          <w:tab w:val="left" w:pos="2884"/>
        </w:tabs>
        <w:spacing w:line="288" w:lineRule="auto"/>
        <w:jc w:val="both"/>
        <w:rPr>
          <w:snapToGrid w:val="0"/>
          <w:szCs w:val="24"/>
        </w:rPr>
      </w:pPr>
    </w:p>
    <w:p w14:paraId="5195EC46" w14:textId="3B3D31F0" w:rsidR="005C2115" w:rsidRDefault="005C2115" w:rsidP="00195FA7">
      <w:pPr>
        <w:keepNext/>
        <w:widowControl w:val="0"/>
        <w:tabs>
          <w:tab w:val="left" w:pos="2552"/>
          <w:tab w:val="left" w:pos="2884"/>
        </w:tabs>
        <w:spacing w:line="288" w:lineRule="auto"/>
        <w:jc w:val="both"/>
        <w:rPr>
          <w:snapToGrid w:val="0"/>
          <w:szCs w:val="24"/>
        </w:rPr>
      </w:pPr>
      <w:r>
        <w:rPr>
          <w:snapToGrid w:val="0"/>
          <w:szCs w:val="24"/>
        </w:rPr>
        <w:t>Odměna za poskytnuté právní služby</w:t>
      </w:r>
    </w:p>
    <w:p w14:paraId="7F9611FE" w14:textId="77777777" w:rsidR="005C2115" w:rsidRDefault="005C2115" w:rsidP="00195FA7">
      <w:pPr>
        <w:keepNext/>
        <w:widowControl w:val="0"/>
        <w:tabs>
          <w:tab w:val="left" w:pos="2552"/>
          <w:tab w:val="left" w:pos="2884"/>
        </w:tabs>
        <w:spacing w:line="288" w:lineRule="auto"/>
        <w:jc w:val="both"/>
        <w:rPr>
          <w:snapToGrid w:val="0"/>
          <w:szCs w:val="24"/>
        </w:rPr>
      </w:pPr>
    </w:p>
    <w:tbl>
      <w:tblPr>
        <w:tblStyle w:val="Mkatabulky"/>
        <w:tblW w:w="0" w:type="auto"/>
        <w:tblLook w:val="04A0" w:firstRow="1" w:lastRow="0" w:firstColumn="1" w:lastColumn="0" w:noHBand="0" w:noVBand="1"/>
      </w:tblPr>
      <w:tblGrid>
        <w:gridCol w:w="4815"/>
        <w:gridCol w:w="1559"/>
        <w:gridCol w:w="1276"/>
        <w:gridCol w:w="1412"/>
      </w:tblGrid>
      <w:tr w:rsidR="005C2115" w14:paraId="70FA190B" w14:textId="77777777" w:rsidTr="005C2115">
        <w:tc>
          <w:tcPr>
            <w:tcW w:w="4815" w:type="dxa"/>
          </w:tcPr>
          <w:p w14:paraId="616B494A" w14:textId="7B9DC305" w:rsidR="005C2115" w:rsidRDefault="005C2115" w:rsidP="00195FA7">
            <w:pPr>
              <w:keepNext/>
              <w:widowControl w:val="0"/>
              <w:tabs>
                <w:tab w:val="left" w:pos="2552"/>
                <w:tab w:val="left" w:pos="2884"/>
              </w:tabs>
              <w:spacing w:line="288" w:lineRule="auto"/>
              <w:jc w:val="both"/>
              <w:rPr>
                <w:snapToGrid w:val="0"/>
                <w:szCs w:val="24"/>
              </w:rPr>
            </w:pPr>
            <w:r>
              <w:rPr>
                <w:snapToGrid w:val="0"/>
                <w:szCs w:val="24"/>
              </w:rPr>
              <w:t>Právní služby</w:t>
            </w:r>
          </w:p>
        </w:tc>
        <w:tc>
          <w:tcPr>
            <w:tcW w:w="1559" w:type="dxa"/>
          </w:tcPr>
          <w:p w14:paraId="6BE789B0" w14:textId="44C105F6"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Cena v Kč bez DPH</w:t>
            </w:r>
          </w:p>
        </w:tc>
        <w:tc>
          <w:tcPr>
            <w:tcW w:w="1276" w:type="dxa"/>
          </w:tcPr>
          <w:p w14:paraId="2C9A1961" w14:textId="38F78E09"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DPH sazba 21 % v Kč</w:t>
            </w:r>
          </w:p>
        </w:tc>
        <w:tc>
          <w:tcPr>
            <w:tcW w:w="1412" w:type="dxa"/>
          </w:tcPr>
          <w:p w14:paraId="2ECC5C35" w14:textId="700AA4B9"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Cena v Kč včetně DPH</w:t>
            </w:r>
          </w:p>
        </w:tc>
      </w:tr>
      <w:tr w:rsidR="005C2115" w14:paraId="5AE418F1" w14:textId="77777777" w:rsidTr="005C2115">
        <w:tc>
          <w:tcPr>
            <w:tcW w:w="4815" w:type="dxa"/>
          </w:tcPr>
          <w:p w14:paraId="459FB940" w14:textId="411EA061" w:rsidR="005C2115" w:rsidRDefault="005C2115" w:rsidP="005C2115">
            <w:pPr>
              <w:keepNext/>
              <w:widowControl w:val="0"/>
              <w:tabs>
                <w:tab w:val="left" w:pos="2552"/>
                <w:tab w:val="left" w:pos="2884"/>
              </w:tabs>
              <w:spacing w:line="288" w:lineRule="auto"/>
              <w:jc w:val="both"/>
              <w:rPr>
                <w:snapToGrid w:val="0"/>
                <w:szCs w:val="24"/>
              </w:rPr>
            </w:pPr>
            <w:r>
              <w:rPr>
                <w:snapToGrid w:val="0"/>
                <w:szCs w:val="24"/>
              </w:rPr>
              <w:t>Odměna za 1 hodinu poskytování právních služeb (hodinová sazba)</w:t>
            </w:r>
          </w:p>
        </w:tc>
        <w:tc>
          <w:tcPr>
            <w:tcW w:w="1559" w:type="dxa"/>
          </w:tcPr>
          <w:p w14:paraId="1B92A8A4" w14:textId="4EFB91EA"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1.100,-</w:t>
            </w:r>
          </w:p>
        </w:tc>
        <w:tc>
          <w:tcPr>
            <w:tcW w:w="1276" w:type="dxa"/>
          </w:tcPr>
          <w:p w14:paraId="645C4DA1" w14:textId="24198E55"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213,-</w:t>
            </w:r>
          </w:p>
        </w:tc>
        <w:tc>
          <w:tcPr>
            <w:tcW w:w="1412" w:type="dxa"/>
          </w:tcPr>
          <w:p w14:paraId="441B0037" w14:textId="037621EF" w:rsidR="005C2115" w:rsidRDefault="005C2115" w:rsidP="005C2115">
            <w:pPr>
              <w:keepNext/>
              <w:widowControl w:val="0"/>
              <w:tabs>
                <w:tab w:val="left" w:pos="2552"/>
                <w:tab w:val="left" w:pos="2884"/>
              </w:tabs>
              <w:spacing w:line="288" w:lineRule="auto"/>
              <w:jc w:val="center"/>
              <w:rPr>
                <w:snapToGrid w:val="0"/>
                <w:szCs w:val="24"/>
              </w:rPr>
            </w:pPr>
            <w:r>
              <w:rPr>
                <w:snapToGrid w:val="0"/>
                <w:szCs w:val="24"/>
              </w:rPr>
              <w:t>1.331,-</w:t>
            </w:r>
          </w:p>
        </w:tc>
      </w:tr>
    </w:tbl>
    <w:p w14:paraId="35B196FC" w14:textId="77777777" w:rsidR="005C2115" w:rsidRPr="00195FA7" w:rsidRDefault="005C2115" w:rsidP="00195FA7">
      <w:pPr>
        <w:keepNext/>
        <w:widowControl w:val="0"/>
        <w:tabs>
          <w:tab w:val="left" w:pos="2552"/>
          <w:tab w:val="left" w:pos="2884"/>
        </w:tabs>
        <w:spacing w:line="288" w:lineRule="auto"/>
        <w:jc w:val="both"/>
        <w:rPr>
          <w:snapToGrid w:val="0"/>
          <w:szCs w:val="24"/>
        </w:rPr>
      </w:pPr>
    </w:p>
    <w:sectPr w:rsidR="005C2115" w:rsidRPr="00195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30DC9"/>
    <w:multiLevelType w:val="hybridMultilevel"/>
    <w:tmpl w:val="39F02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8F559A"/>
    <w:multiLevelType w:val="hybridMultilevel"/>
    <w:tmpl w:val="D8B4F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76D71"/>
    <w:multiLevelType w:val="hybridMultilevel"/>
    <w:tmpl w:val="6F022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237290"/>
    <w:multiLevelType w:val="singleLevel"/>
    <w:tmpl w:val="E5E08296"/>
    <w:lvl w:ilvl="0">
      <w:start w:val="1"/>
      <w:numFmt w:val="decimal"/>
      <w:lvlText w:val="%1."/>
      <w:legacy w:legacy="1" w:legacySpace="0" w:legacyIndent="0"/>
      <w:lvlJc w:val="left"/>
      <w:pPr>
        <w:ind w:left="0" w:firstLine="0"/>
      </w:pPr>
    </w:lvl>
  </w:abstractNum>
  <w:abstractNum w:abstractNumId="4" w15:restartNumberingAfterBreak="0">
    <w:nsid w:val="4A5273CB"/>
    <w:multiLevelType w:val="hybridMultilevel"/>
    <w:tmpl w:val="C83E8150"/>
    <w:lvl w:ilvl="0" w:tplc="F10E547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C364B99"/>
    <w:multiLevelType w:val="hybridMultilevel"/>
    <w:tmpl w:val="04F8EEA4"/>
    <w:lvl w:ilvl="0" w:tplc="A82C40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F1748"/>
    <w:multiLevelType w:val="hybridMultilevel"/>
    <w:tmpl w:val="151642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E84C30"/>
    <w:multiLevelType w:val="hybridMultilevel"/>
    <w:tmpl w:val="2A960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E706B0"/>
    <w:multiLevelType w:val="hybridMultilevel"/>
    <w:tmpl w:val="1FF67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D719B6"/>
    <w:multiLevelType w:val="hybridMultilevel"/>
    <w:tmpl w:val="16808924"/>
    <w:lvl w:ilvl="0" w:tplc="097C48AC">
      <w:start w:val="1"/>
      <w:numFmt w:val="bullet"/>
      <w:lvlText w:val="­"/>
      <w:lvlJc w:val="left"/>
      <w:pPr>
        <w:tabs>
          <w:tab w:val="num" w:pos="1854"/>
        </w:tabs>
        <w:ind w:left="1854" w:hanging="360"/>
      </w:pPr>
      <w:rPr>
        <w:rFonts w:ascii="Times New Roman" w:hAnsi="Times New Roman" w:hint="default"/>
        <w:sz w:val="24"/>
      </w:rPr>
    </w:lvl>
    <w:lvl w:ilvl="1" w:tplc="04050003" w:tentative="1">
      <w:start w:val="1"/>
      <w:numFmt w:val="bullet"/>
      <w:lvlText w:val="o"/>
      <w:lvlJc w:val="left"/>
      <w:pPr>
        <w:tabs>
          <w:tab w:val="num" w:pos="2574"/>
        </w:tabs>
        <w:ind w:left="2574" w:hanging="360"/>
      </w:pPr>
      <w:rPr>
        <w:rFonts w:ascii="Courier New" w:hAnsi="Courier New" w:cs="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0"/>
    <w:rsid w:val="00012396"/>
    <w:rsid w:val="00024090"/>
    <w:rsid w:val="00041E27"/>
    <w:rsid w:val="00155640"/>
    <w:rsid w:val="0016095B"/>
    <w:rsid w:val="00195FA7"/>
    <w:rsid w:val="001A1AEE"/>
    <w:rsid w:val="001D3C99"/>
    <w:rsid w:val="001E19C1"/>
    <w:rsid w:val="00212961"/>
    <w:rsid w:val="0028332E"/>
    <w:rsid w:val="00400596"/>
    <w:rsid w:val="004B264D"/>
    <w:rsid w:val="00517CCF"/>
    <w:rsid w:val="00564A9F"/>
    <w:rsid w:val="00575C27"/>
    <w:rsid w:val="005C2115"/>
    <w:rsid w:val="00607F47"/>
    <w:rsid w:val="006A0B76"/>
    <w:rsid w:val="006D1730"/>
    <w:rsid w:val="00737B7E"/>
    <w:rsid w:val="00770BC0"/>
    <w:rsid w:val="007D1651"/>
    <w:rsid w:val="00823004"/>
    <w:rsid w:val="00911D6C"/>
    <w:rsid w:val="009847BD"/>
    <w:rsid w:val="009A404F"/>
    <w:rsid w:val="009C5DC4"/>
    <w:rsid w:val="00A635D0"/>
    <w:rsid w:val="00AF44E7"/>
    <w:rsid w:val="00B005D2"/>
    <w:rsid w:val="00B02B23"/>
    <w:rsid w:val="00BA63B5"/>
    <w:rsid w:val="00BD5BB5"/>
    <w:rsid w:val="00C76403"/>
    <w:rsid w:val="00CA50BC"/>
    <w:rsid w:val="00CB17A1"/>
    <w:rsid w:val="00CD3041"/>
    <w:rsid w:val="00CF1026"/>
    <w:rsid w:val="00D14D17"/>
    <w:rsid w:val="00E95C09"/>
    <w:rsid w:val="00F93081"/>
    <w:rsid w:val="00FA0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B0B4"/>
  <w15:docId w15:val="{1E75B600-B815-4C1A-AD7A-84CEA93A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35D0"/>
    <w:pPr>
      <w:ind w:left="720"/>
      <w:contextualSpacing/>
    </w:pPr>
  </w:style>
  <w:style w:type="character" w:styleId="Odkaznakoment">
    <w:name w:val="annotation reference"/>
    <w:basedOn w:val="Standardnpsmoodstavce"/>
    <w:uiPriority w:val="99"/>
    <w:semiHidden/>
    <w:unhideWhenUsed/>
    <w:rsid w:val="0016095B"/>
    <w:rPr>
      <w:sz w:val="16"/>
      <w:szCs w:val="16"/>
    </w:rPr>
  </w:style>
  <w:style w:type="paragraph" w:styleId="Textkomente">
    <w:name w:val="annotation text"/>
    <w:basedOn w:val="Normln"/>
    <w:link w:val="TextkomenteChar"/>
    <w:uiPriority w:val="99"/>
    <w:semiHidden/>
    <w:unhideWhenUsed/>
    <w:rsid w:val="0016095B"/>
    <w:pPr>
      <w:spacing w:line="240" w:lineRule="auto"/>
    </w:pPr>
    <w:rPr>
      <w:sz w:val="20"/>
      <w:szCs w:val="20"/>
    </w:rPr>
  </w:style>
  <w:style w:type="character" w:customStyle="1" w:styleId="TextkomenteChar">
    <w:name w:val="Text komentáře Char"/>
    <w:basedOn w:val="Standardnpsmoodstavce"/>
    <w:link w:val="Textkomente"/>
    <w:uiPriority w:val="99"/>
    <w:semiHidden/>
    <w:rsid w:val="0016095B"/>
    <w:rPr>
      <w:sz w:val="20"/>
      <w:szCs w:val="20"/>
    </w:rPr>
  </w:style>
  <w:style w:type="paragraph" w:styleId="Pedmtkomente">
    <w:name w:val="annotation subject"/>
    <w:basedOn w:val="Textkomente"/>
    <w:next w:val="Textkomente"/>
    <w:link w:val="PedmtkomenteChar"/>
    <w:uiPriority w:val="99"/>
    <w:semiHidden/>
    <w:unhideWhenUsed/>
    <w:rsid w:val="0016095B"/>
    <w:rPr>
      <w:b/>
      <w:bCs/>
    </w:rPr>
  </w:style>
  <w:style w:type="character" w:customStyle="1" w:styleId="PedmtkomenteChar">
    <w:name w:val="Předmět komentáře Char"/>
    <w:basedOn w:val="TextkomenteChar"/>
    <w:link w:val="Pedmtkomente"/>
    <w:uiPriority w:val="99"/>
    <w:semiHidden/>
    <w:rsid w:val="0016095B"/>
    <w:rPr>
      <w:b/>
      <w:bCs/>
      <w:sz w:val="20"/>
      <w:szCs w:val="20"/>
    </w:rPr>
  </w:style>
  <w:style w:type="paragraph" w:styleId="Textbubliny">
    <w:name w:val="Balloon Text"/>
    <w:basedOn w:val="Normln"/>
    <w:link w:val="TextbublinyChar"/>
    <w:uiPriority w:val="99"/>
    <w:semiHidden/>
    <w:unhideWhenUsed/>
    <w:rsid w:val="001609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95B"/>
    <w:rPr>
      <w:rFonts w:ascii="Segoe UI" w:hAnsi="Segoe UI" w:cs="Segoe UI"/>
      <w:sz w:val="18"/>
      <w:szCs w:val="18"/>
    </w:rPr>
  </w:style>
  <w:style w:type="paragraph" w:customStyle="1" w:styleId="NoSpacing1">
    <w:name w:val="No Spacing1"/>
    <w:rsid w:val="00155640"/>
    <w:pPr>
      <w:suppressAutoHyphens/>
      <w:overflowPunct w:val="0"/>
      <w:autoSpaceDE w:val="0"/>
      <w:autoSpaceDN w:val="0"/>
      <w:adjustRightInd w:val="0"/>
      <w:spacing w:after="0" w:line="240" w:lineRule="auto"/>
      <w:textAlignment w:val="baseline"/>
    </w:pPr>
    <w:rPr>
      <w:rFonts w:ascii="Calibri" w:eastAsia="Times New Roman" w:hAnsi="Calibri" w:cs="Times New Roman"/>
      <w:kern w:val="1"/>
      <w:lang w:eastAsia="zh-CN"/>
    </w:rPr>
  </w:style>
  <w:style w:type="table" w:styleId="Mkatabulky">
    <w:name w:val="Table Grid"/>
    <w:basedOn w:val="Normlntabulka"/>
    <w:uiPriority w:val="39"/>
    <w:rsid w:val="005C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60A7-CC6B-4ADC-B01E-74EDA2FD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2305</Words>
  <Characters>13606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15880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Veselkova Andrea</dc:creator>
  <cp:keywords/>
  <dc:description/>
  <cp:lastModifiedBy>Sokoltova Lenka, Ing.</cp:lastModifiedBy>
  <cp:revision>4</cp:revision>
  <dcterms:created xsi:type="dcterms:W3CDTF">2016-08-23T09:40:00Z</dcterms:created>
  <dcterms:modified xsi:type="dcterms:W3CDTF">2016-08-25T12:05:00Z</dcterms:modified>
</cp:coreProperties>
</file>