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B75D5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D5F">
        <w:t>Podlahy Pokorný s.r.o.</w:t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75D5F">
        <w:t>07137991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B75D5F">
        <w:t>28.1.2021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B75D5F">
        <w:t>37/21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B75D5F">
        <w:t xml:space="preserve">výměnu podlahové krytiny ve </w:t>
      </w:r>
      <w:proofErr w:type="gramStart"/>
      <w:r w:rsidR="00B75D5F">
        <w:t>sborovně 2.st.</w:t>
      </w:r>
      <w:proofErr w:type="gramEnd"/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75D5F">
        <w:t>39</w:t>
      </w:r>
      <w:r w:rsidR="00C43BC3">
        <w:t xml:space="preserve"> 000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  <w:bookmarkStart w:id="0" w:name="_GoBack"/>
      <w:bookmarkEnd w:id="0"/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B75D5F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19</cp:revision>
  <cp:lastPrinted>2020-10-09T13:13:00Z</cp:lastPrinted>
  <dcterms:created xsi:type="dcterms:W3CDTF">2017-01-25T08:28:00Z</dcterms:created>
  <dcterms:modified xsi:type="dcterms:W3CDTF">2021-02-11T12:23:00Z</dcterms:modified>
</cp:coreProperties>
</file>