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43BC" w:rsidRPr="00D06D0F" w:rsidRDefault="00704B43" w:rsidP="00704B43">
      <w:pPr>
        <w:pStyle w:val="StylDoprava"/>
        <w:jc w:val="center"/>
      </w:pPr>
      <w:r>
        <w:t xml:space="preserve">                                                                                                                       </w:t>
      </w:r>
      <w:r w:rsidR="004243BC" w:rsidRPr="00D06D0F">
        <w:t>Č.j. SPÚ</w:t>
      </w:r>
      <w:r w:rsidR="0097315C">
        <w:t xml:space="preserve"> 044898/2021</w:t>
      </w:r>
    </w:p>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rsidR="00FB6E4E" w:rsidRPr="00D06D0F" w:rsidRDefault="00BC17A6" w:rsidP="000B0AA7">
      <w:pPr>
        <w:pStyle w:val="VnitrniText"/>
        <w:ind w:firstLine="0"/>
      </w:pPr>
      <w:r w:rsidRPr="00D06D0F">
        <w:t>adresa Libušina 502/5, 70200 Ostrava</w:t>
      </w:r>
    </w:p>
    <w:p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DIAMO, státní podnik</w:t>
      </w:r>
    </w:p>
    <w:p w:rsidR="00BC17A6" w:rsidRPr="00D06D0F" w:rsidRDefault="00BC17A6" w:rsidP="000B0AA7">
      <w:pPr>
        <w:pStyle w:val="VnitrniText"/>
        <w:ind w:firstLine="0"/>
      </w:pPr>
      <w:r w:rsidRPr="00D06D0F">
        <w:t xml:space="preserve">se sídlem </w:t>
      </w:r>
      <w:r w:rsidR="002C66B3">
        <w:t>Máchova 201, Stráž pod Ralskem</w:t>
      </w:r>
      <w:r w:rsidRPr="00D06D0F">
        <w:t xml:space="preserve">, PSČ </w:t>
      </w:r>
      <w:r w:rsidR="002C66B3">
        <w:t>47121</w:t>
      </w:r>
    </w:p>
    <w:p w:rsidR="00BC17A6" w:rsidRDefault="00BC17A6" w:rsidP="000B0AA7">
      <w:pPr>
        <w:pStyle w:val="VnitrniText"/>
        <w:ind w:firstLine="0"/>
      </w:pPr>
      <w:r w:rsidRPr="00D06D0F">
        <w:t>IČO: 00002739</w:t>
      </w:r>
    </w:p>
    <w:p w:rsidR="00704B43" w:rsidRDefault="00704B43" w:rsidP="000B0AA7">
      <w:pPr>
        <w:pStyle w:val="VnitrniText"/>
        <w:ind w:firstLine="0"/>
      </w:pPr>
      <w:r>
        <w:t>Statutární orgán: Ing. Ludvík Kašpar, ředitel státního podniku</w:t>
      </w:r>
    </w:p>
    <w:p w:rsidR="00704B43" w:rsidRDefault="00704B43" w:rsidP="000B0AA7">
      <w:pPr>
        <w:pStyle w:val="VnitrniText"/>
        <w:ind w:firstLine="0"/>
      </w:pPr>
      <w:r>
        <w:t xml:space="preserve">Jednající: Ing. Petr Kříž, Ph.D., vedoucí </w:t>
      </w:r>
      <w:proofErr w:type="spellStart"/>
      <w:r>
        <w:t>o.z</w:t>
      </w:r>
      <w:proofErr w:type="spellEnd"/>
      <w:r>
        <w:t>. ODRA</w:t>
      </w:r>
    </w:p>
    <w:p w:rsidR="00704B43" w:rsidRPr="00D06D0F" w:rsidRDefault="00704B43" w:rsidP="000B0AA7">
      <w:pPr>
        <w:pStyle w:val="VnitrniText"/>
        <w:ind w:firstLine="0"/>
      </w:pPr>
      <w:r>
        <w:t>na základě pověření ze dne 22.12.2020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r w:rsidR="00704B43">
        <w:br/>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xml:space="preserve">. § 14 a násl. vyhlášky č. 62/2001 Sb., o hospodaření organizačních složek státu a státních organizací s majetkem státu, ve znění pozdějších předpisů </w:t>
      </w:r>
      <w:r w:rsidR="00704B43">
        <w:br/>
      </w:r>
      <w:r>
        <w:t>a přejímající podle zákona č. 77/1997 Sb., o státním podniku,</w:t>
      </w:r>
      <w:r w:rsidR="00704B43">
        <w:t xml:space="preserve"> </w:t>
      </w:r>
      <w:r>
        <w:t>ve znění pozdějších předpisů</w:t>
      </w:r>
      <w:r w:rsidRPr="002350B4">
        <w:t>, tuto</w:t>
      </w:r>
    </w:p>
    <w:p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rsidR="00CF17C0" w:rsidRDefault="00CF17C0" w:rsidP="001274AE"/>
    <w:p w:rsidR="00830569" w:rsidRPr="00D06D0F" w:rsidRDefault="00830569" w:rsidP="001274AE"/>
    <w:p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1001H21/71</w:t>
      </w:r>
    </w:p>
    <w:p w:rsidR="00CF17C0" w:rsidRPr="00D06D0F" w:rsidRDefault="00CF17C0" w:rsidP="00D06D0F"/>
    <w:p w:rsidR="00CF17C0" w:rsidRPr="00D06D0F" w:rsidRDefault="00CF17C0" w:rsidP="00D06D0F"/>
    <w:p w:rsidR="00CF17C0"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rsidR="00704B43" w:rsidRPr="00D917C5" w:rsidRDefault="00704B43" w:rsidP="00D06D0F">
      <w:pPr>
        <w:pStyle w:val="para"/>
        <w:rPr>
          <w:rFonts w:ascii="Arial" w:hAnsi="Arial" w:cs="Arial"/>
          <w:sz w:val="20"/>
        </w:rPr>
      </w:pP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FF3FFE">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Hrušov</w:t>
      </w:r>
      <w:r w:rsidRPr="00257EB0">
        <w:rPr>
          <w:rStyle w:val="tabulkyNemovitosti"/>
        </w:rPr>
        <w:tab/>
        <w:t>2039</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Hrušov</w:t>
      </w:r>
      <w:r w:rsidRPr="00257EB0">
        <w:rPr>
          <w:rStyle w:val="tabulkyNemovitosti"/>
        </w:rPr>
        <w:tab/>
        <w:t>2044</w:t>
      </w:r>
      <w:r w:rsidRPr="00257EB0">
        <w:rPr>
          <w:rStyle w:val="tabulkyNemovitosti"/>
        </w:rPr>
        <w:tab/>
        <w:t>trvalý travní porost</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Ostrava</w:t>
      </w:r>
      <w:r w:rsidRPr="00257EB0">
        <w:rPr>
          <w:rStyle w:val="tabulkyNemovitosti"/>
        </w:rPr>
        <w:tab/>
        <w:t>Hrušov</w:t>
      </w:r>
      <w:r w:rsidRPr="00257EB0">
        <w:rPr>
          <w:rStyle w:val="tabulkyNemovitosti"/>
        </w:rPr>
        <w:tab/>
        <w:t>2045</w:t>
      </w:r>
      <w:r w:rsidRPr="00257EB0">
        <w:rPr>
          <w:rStyle w:val="tabulkyNemovitosti"/>
        </w:rPr>
        <w:tab/>
        <w:t>trvalý travní porost</w:t>
      </w:r>
      <w:r w:rsidRPr="00257EB0">
        <w:rPr>
          <w:rStyle w:val="tabulkyNemovitosti"/>
        </w:rPr>
        <w:tab/>
        <w:t>10002</w:t>
      </w:r>
    </w:p>
    <w:p w:rsidR="007431BA" w:rsidRPr="007431BA" w:rsidRDefault="007431BA" w:rsidP="00112F3C">
      <w:pPr>
        <w:pStyle w:val="cary"/>
      </w:pPr>
      <w:r w:rsidRPr="007431BA">
        <w:t>-------------------------------------------------------------------------------------------------------------------------------------</w:t>
      </w:r>
    </w:p>
    <w:p w:rsidR="009B091D" w:rsidRDefault="009B091D" w:rsidP="009B091D">
      <w:pPr>
        <w:pStyle w:val="VnitrniText"/>
        <w:ind w:firstLine="0"/>
      </w:pPr>
      <w:r>
        <w:t>zapsané na výše uvedených LV u Katastrálního úřadu pro Moravskoslezský kraj, Katastrální pracoviště Ostrava.</w:t>
      </w:r>
    </w:p>
    <w:p w:rsidR="006E33CA" w:rsidRDefault="006E33CA" w:rsidP="00D06D0F">
      <w:pPr>
        <w:pStyle w:val="para"/>
        <w:rPr>
          <w:rFonts w:ascii="Arial" w:hAnsi="Arial" w:cs="Arial"/>
          <w:sz w:val="20"/>
        </w:rPr>
      </w:pPr>
      <w:r w:rsidRPr="00D917C5">
        <w:rPr>
          <w:rFonts w:ascii="Arial" w:hAnsi="Arial" w:cs="Arial"/>
          <w:sz w:val="20"/>
        </w:rPr>
        <w:t>II.</w:t>
      </w:r>
    </w:p>
    <w:p w:rsidR="00704B43" w:rsidRPr="00D917C5" w:rsidRDefault="00704B43" w:rsidP="00D06D0F">
      <w:pPr>
        <w:pStyle w:val="para"/>
        <w:rPr>
          <w:rFonts w:ascii="Arial" w:hAnsi="Arial" w:cs="Arial"/>
          <w:sz w:val="20"/>
        </w:rPr>
      </w:pPr>
    </w:p>
    <w:p w:rsidR="00F65859" w:rsidRDefault="00F65859" w:rsidP="006D1A0C">
      <w:pPr>
        <w:pStyle w:val="VnitrniText"/>
        <w:ind w:firstLine="0"/>
      </w:pPr>
      <w:r w:rsidRPr="002350B4">
        <w:t>Přejímající prohlašuje:</w:t>
      </w:r>
    </w:p>
    <w:p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rsidR="0038399F" w:rsidRDefault="0038399F" w:rsidP="006D1A0C">
      <w:pPr>
        <w:pStyle w:val="VnitrniText"/>
      </w:pPr>
    </w:p>
    <w:p w:rsidR="00704B43" w:rsidRDefault="006D1A0C" w:rsidP="00704B43">
      <w:pPr>
        <w:pStyle w:val="VnitrniText"/>
      </w:pPr>
      <w:r>
        <w:t xml:space="preserve">2. </w:t>
      </w:r>
      <w:r w:rsidR="00F65859" w:rsidRPr="00AF03B3">
        <w:t xml:space="preserve">že pozemky uvedené v čl. I. této smlouvy potřebuje pro zabezpečení </w:t>
      </w:r>
      <w:r w:rsidR="00F65859" w:rsidRPr="00EE4E00">
        <w:t xml:space="preserve">výkonu </w:t>
      </w:r>
      <w:r w:rsidR="00F65859">
        <w:t>své působnosti a činnosti,</w:t>
      </w:r>
    </w:p>
    <w:p w:rsidR="00704B43" w:rsidRPr="005C5AF6" w:rsidRDefault="00F65859" w:rsidP="00704B43">
      <w:pPr>
        <w:pStyle w:val="VnitrniText"/>
      </w:pPr>
      <w:r>
        <w:t>3</w:t>
      </w:r>
      <w:r w:rsidR="006D1A0C">
        <w:t>.</w:t>
      </w:r>
      <w:r>
        <w:t xml:space="preserve"> </w:t>
      </w:r>
      <w:r w:rsidR="00704B43">
        <w:t>že pozemky uvedené v článku I. potřebuje při sanaci a rekultivaci Úložného místa těžebních odpadů Heřmanice.</w:t>
      </w:r>
    </w:p>
    <w:p w:rsidR="006E33CA" w:rsidRDefault="006E33CA" w:rsidP="006069E5">
      <w:pPr>
        <w:pStyle w:val="para"/>
        <w:rPr>
          <w:rFonts w:ascii="Arial" w:hAnsi="Arial" w:cs="Arial"/>
          <w:sz w:val="20"/>
        </w:rPr>
      </w:pPr>
      <w:r w:rsidRPr="00D917C5">
        <w:rPr>
          <w:rFonts w:ascii="Arial" w:hAnsi="Arial" w:cs="Arial"/>
          <w:sz w:val="20"/>
        </w:rPr>
        <w:lastRenderedPageBreak/>
        <w:t>III.</w:t>
      </w:r>
    </w:p>
    <w:p w:rsidR="00704B43" w:rsidRPr="00D917C5" w:rsidRDefault="00704B43" w:rsidP="006069E5">
      <w:pPr>
        <w:pStyle w:val="para"/>
        <w:rPr>
          <w:rFonts w:ascii="Arial" w:hAnsi="Arial" w:cs="Arial"/>
          <w:sz w:val="20"/>
        </w:rPr>
      </w:pPr>
    </w:p>
    <w:p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rsidR="00CF17C0" w:rsidRPr="00D06D0F" w:rsidRDefault="00D4325F" w:rsidP="000B0AA7">
      <w:pPr>
        <w:pStyle w:val="VnitrniText"/>
      </w:pPr>
      <w:r w:rsidRPr="00D06D0F">
        <w:t xml:space="preserve"> </w:t>
      </w:r>
    </w:p>
    <w:p w:rsidR="00864B6B" w:rsidRDefault="00864B6B" w:rsidP="006069E5">
      <w:pPr>
        <w:pStyle w:val="para"/>
        <w:rPr>
          <w:rFonts w:ascii="Arial" w:hAnsi="Arial" w:cs="Arial"/>
          <w:sz w:val="20"/>
        </w:rPr>
      </w:pPr>
      <w:r w:rsidRPr="00D917C5">
        <w:rPr>
          <w:rFonts w:ascii="Arial" w:hAnsi="Arial" w:cs="Arial"/>
          <w:sz w:val="20"/>
        </w:rPr>
        <w:t>IV.</w:t>
      </w:r>
    </w:p>
    <w:p w:rsidR="00704B43" w:rsidRPr="00D917C5" w:rsidRDefault="00704B43" w:rsidP="006069E5">
      <w:pPr>
        <w:pStyle w:val="para"/>
        <w:rPr>
          <w:rFonts w:ascii="Arial" w:hAnsi="Arial" w:cs="Arial"/>
          <w:sz w:val="20"/>
        </w:rPr>
      </w:pPr>
    </w:p>
    <w:p w:rsidR="002553D3" w:rsidRDefault="00864B6B" w:rsidP="002553D3">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D35D8B">
        <w:t> </w:t>
      </w:r>
      <w:r w:rsidRPr="002350B4">
        <w:t xml:space="preserve">pozemkům </w:t>
      </w:r>
      <w:r>
        <w:t xml:space="preserve">právo hospodařit </w:t>
      </w:r>
      <w:r w:rsidR="00A21916">
        <w:t>dnem podání návrhu na změnu v katastru nemovitostí.</w:t>
      </w:r>
    </w:p>
    <w:p w:rsidR="00864B6B" w:rsidRDefault="00864B6B" w:rsidP="00864B6B">
      <w:pPr>
        <w:pStyle w:val="VnitrniText"/>
      </w:pPr>
    </w:p>
    <w:p w:rsidR="00864B6B" w:rsidRDefault="00864B6B" w:rsidP="00864B6B">
      <w:pPr>
        <w:pStyle w:val="para"/>
        <w:rPr>
          <w:rFonts w:ascii="Arial" w:hAnsi="Arial" w:cs="Arial"/>
          <w:sz w:val="20"/>
        </w:rPr>
      </w:pPr>
      <w:r w:rsidRPr="00D917C5">
        <w:rPr>
          <w:rFonts w:ascii="Arial" w:hAnsi="Arial" w:cs="Arial"/>
          <w:sz w:val="20"/>
        </w:rPr>
        <w:t>V.</w:t>
      </w:r>
    </w:p>
    <w:p w:rsidR="00704B43" w:rsidRPr="00D917C5" w:rsidRDefault="00704B43" w:rsidP="00864B6B">
      <w:pPr>
        <w:pStyle w:val="para"/>
        <w:rPr>
          <w:rFonts w:ascii="Arial" w:hAnsi="Arial" w:cs="Arial"/>
          <w:sz w:val="20"/>
        </w:rPr>
      </w:pPr>
    </w:p>
    <w:p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2C66B3">
        <w:t xml:space="preserve"> </w:t>
      </w:r>
      <w:r w:rsidRPr="002774C6">
        <w:t>Sb</w:t>
      </w:r>
      <w:r w:rsidR="002C66B3">
        <w:t>.</w:t>
      </w:r>
      <w:r w:rsidRPr="00D4409F">
        <w:t xml:space="preserve"> </w:t>
      </w:r>
    </w:p>
    <w:p w:rsidR="007D5D62" w:rsidRDefault="007D5D62" w:rsidP="00F675B5">
      <w:pPr>
        <w:pStyle w:val="VnitrniText"/>
      </w:pPr>
    </w:p>
    <w:p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rsidR="00F675B5" w:rsidRDefault="00F675B5" w:rsidP="00F675B5">
      <w:pPr>
        <w:pStyle w:val="VnitrniText"/>
        <w:rPr>
          <w:color w:val="000000"/>
        </w:rPr>
      </w:pPr>
    </w:p>
    <w:p w:rsidR="008A1428" w:rsidRDefault="008A1428" w:rsidP="008A1428">
      <w:pPr>
        <w:pStyle w:val="VnitrniText"/>
        <w:ind w:firstLine="0"/>
      </w:pPr>
      <w:r>
        <w:t>Pozemky:</w:t>
      </w:r>
    </w:p>
    <w:p w:rsidR="008A1428" w:rsidRDefault="008A1428" w:rsidP="008A1428">
      <w:pPr>
        <w:pStyle w:val="cary"/>
      </w:pPr>
      <w:r>
        <w:t>-------------------------------------------------------------------------------------------------------------------------------------</w:t>
      </w:r>
    </w:p>
    <w:p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rsidR="008A1428" w:rsidRPr="008A1428" w:rsidRDefault="008A1428" w:rsidP="008A1428">
      <w:pPr>
        <w:pStyle w:val="cary"/>
      </w:pPr>
      <w:r>
        <w:t>-------------------------------------------------------------------------------------------------------------------------------------</w:t>
      </w:r>
    </w:p>
    <w:p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Hrušov</w:t>
      </w:r>
      <w:r w:rsidRPr="008A1428">
        <w:rPr>
          <w:rStyle w:val="Styl11b"/>
          <w:sz w:val="16"/>
          <w:szCs w:val="16"/>
        </w:rPr>
        <w:tab/>
        <w:t>2039</w:t>
      </w:r>
      <w:r w:rsidRPr="008A1428">
        <w:rPr>
          <w:rStyle w:val="Styl11b"/>
          <w:sz w:val="16"/>
          <w:szCs w:val="16"/>
        </w:rPr>
        <w:tab/>
        <w:t>18 072,25 Kč</w:t>
      </w:r>
    </w:p>
    <w:p w:rsidR="008A1428" w:rsidRPr="008A1428" w:rsidRDefault="008A1428" w:rsidP="008A1428">
      <w:pPr>
        <w:tabs>
          <w:tab w:val="left" w:pos="2268"/>
          <w:tab w:val="right" w:pos="6804"/>
          <w:tab w:val="right" w:pos="9639"/>
        </w:tabs>
        <w:rPr>
          <w:rStyle w:val="Styl11b"/>
          <w:sz w:val="16"/>
          <w:szCs w:val="16"/>
        </w:rPr>
      </w:pPr>
    </w:p>
    <w:p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Hrušov</w:t>
      </w:r>
      <w:r w:rsidRPr="008A1428">
        <w:rPr>
          <w:rStyle w:val="Styl11b"/>
          <w:sz w:val="16"/>
          <w:szCs w:val="16"/>
        </w:rPr>
        <w:tab/>
        <w:t>2044</w:t>
      </w:r>
      <w:r w:rsidRPr="008A1428">
        <w:rPr>
          <w:rStyle w:val="Styl11b"/>
          <w:sz w:val="16"/>
          <w:szCs w:val="16"/>
        </w:rPr>
        <w:tab/>
        <w:t>130 607,64 Kč</w:t>
      </w:r>
    </w:p>
    <w:p w:rsidR="008A1428" w:rsidRPr="008A1428" w:rsidRDefault="008A1428" w:rsidP="008A1428">
      <w:pPr>
        <w:tabs>
          <w:tab w:val="left" w:pos="2268"/>
          <w:tab w:val="right" w:pos="6804"/>
          <w:tab w:val="right" w:pos="9639"/>
        </w:tabs>
        <w:rPr>
          <w:rStyle w:val="Styl11b"/>
          <w:sz w:val="16"/>
          <w:szCs w:val="16"/>
        </w:rPr>
      </w:pPr>
    </w:p>
    <w:p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Hrušov</w:t>
      </w:r>
      <w:r w:rsidRPr="008A1428">
        <w:rPr>
          <w:rStyle w:val="Styl11b"/>
          <w:sz w:val="16"/>
          <w:szCs w:val="16"/>
        </w:rPr>
        <w:tab/>
        <w:t>2045</w:t>
      </w:r>
      <w:r w:rsidRPr="008A1428">
        <w:rPr>
          <w:rStyle w:val="Styl11b"/>
          <w:sz w:val="16"/>
          <w:szCs w:val="16"/>
        </w:rPr>
        <w:tab/>
        <w:t>97 690,86 Kč</w:t>
      </w:r>
    </w:p>
    <w:p w:rsidR="008A1428" w:rsidRPr="008A1428" w:rsidRDefault="008A1428" w:rsidP="008A1428">
      <w:pPr>
        <w:pStyle w:val="cary"/>
      </w:pPr>
      <w:r>
        <w:t>-------------------------------------------------------------------------------------------------------------------------------------</w:t>
      </w:r>
    </w:p>
    <w:p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246 370,75 Kč</w:t>
      </w:r>
    </w:p>
    <w:p w:rsidR="00F675B5" w:rsidRDefault="00F675B5" w:rsidP="00864B6B">
      <w:pPr>
        <w:pStyle w:val="VnitrniText"/>
      </w:pPr>
    </w:p>
    <w:p w:rsidR="00011A73"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rsidR="00704B43" w:rsidRPr="00D917C5" w:rsidRDefault="00704B43" w:rsidP="006069E5">
      <w:pPr>
        <w:pStyle w:val="para"/>
        <w:rPr>
          <w:rFonts w:ascii="Arial" w:hAnsi="Arial" w:cs="Arial"/>
          <w:sz w:val="20"/>
        </w:rPr>
      </w:pP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rsidR="001D73FD" w:rsidRDefault="00A66E77" w:rsidP="00704B43">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rsidR="009F03F9" w:rsidRPr="00D06D0F" w:rsidRDefault="009F03F9" w:rsidP="00704B43">
      <w:pPr>
        <w:pStyle w:val="VnitrniText"/>
      </w:pPr>
    </w:p>
    <w:p w:rsidR="00C8663B" w:rsidRDefault="00C8663B" w:rsidP="00EB6C54">
      <w:pPr>
        <w:pStyle w:val="VnitrniText"/>
      </w:pPr>
      <w:r>
        <w:t>2</w:t>
      </w:r>
      <w:r w:rsidR="003316EA">
        <w:t>.</w:t>
      </w:r>
      <w:r>
        <w:t xml:space="preserve">  Užívací vztah k převáděným pozemkům</w:t>
      </w:r>
    </w:p>
    <w:p w:rsidR="00C8663B" w:rsidRDefault="00C8663B" w:rsidP="00EB6C54">
      <w:pPr>
        <w:pStyle w:val="VnitrniText"/>
      </w:pPr>
      <w:r>
        <w:t xml:space="preserve">Hrušov KN 2044, </w:t>
      </w:r>
    </w:p>
    <w:p w:rsidR="00C8663B" w:rsidRDefault="00C8663B" w:rsidP="00EB6C54">
      <w:pPr>
        <w:pStyle w:val="VnitrniText"/>
      </w:pPr>
      <w:r>
        <w:t>Hrušov KN 2045</w:t>
      </w:r>
    </w:p>
    <w:p w:rsidR="001D73FD" w:rsidRDefault="00C8663B" w:rsidP="000B0AA7">
      <w:pPr>
        <w:pStyle w:val="VnitrniText"/>
      </w:pPr>
      <w:r>
        <w:t xml:space="preserve"> je řešen nájemní smlouvou č. 4N11/71, kterou se Státním pozemkovým úřadem uzavřel Ostravská těžební, a.s., jakožto nájemce. S obsahem nájemní smlouvy byl přejímající seznámen před podpisem této smlouvy, což stvrzuje svým podpisem.</w:t>
      </w:r>
    </w:p>
    <w:p w:rsidR="009F03F9" w:rsidRDefault="009F03F9" w:rsidP="000B0AA7">
      <w:pPr>
        <w:pStyle w:val="VnitrniText"/>
      </w:pPr>
    </w:p>
    <w:p w:rsidR="007D2608" w:rsidRDefault="007D2608" w:rsidP="00EB6C54">
      <w:pPr>
        <w:pStyle w:val="VnitrniText"/>
      </w:pPr>
      <w:r>
        <w:t xml:space="preserve">3. Pozemky </w:t>
      </w:r>
      <w:proofErr w:type="spellStart"/>
      <w:r>
        <w:t>p</w:t>
      </w:r>
      <w:r w:rsidR="00704B43">
        <w:t>.</w:t>
      </w:r>
      <w:r>
        <w:t>č</w:t>
      </w:r>
      <w:proofErr w:type="spellEnd"/>
      <w:r>
        <w:t xml:space="preserve">. 2044, 2045 převáděné z vlastnictví státu do vlastnictví nabyvatele je součástí společenstevní honitby Honební společenstvo Heřmanice, jejímž držitelem je Honební společenstvo Heřmanice. Jedná se </w:t>
      </w:r>
      <w:r w:rsidR="009F03F9">
        <w:t>bezesmluvní</w:t>
      </w:r>
      <w:r>
        <w:t xml:space="preserve"> užívání, není uzavřena oboustranná dohoda o náhradě za užívání.</w:t>
      </w:r>
    </w:p>
    <w:p w:rsidR="007D2608" w:rsidRDefault="007D2608" w:rsidP="00EB6C54">
      <w:pPr>
        <w:pStyle w:val="VnitrniText"/>
      </w:pPr>
    </w:p>
    <w:p w:rsidR="007D2608" w:rsidRDefault="007D2608" w:rsidP="00EB6C54">
      <w:pPr>
        <w:pStyle w:val="VnitrniText"/>
      </w:pPr>
      <w:r>
        <w:t>4. Na prodávaných pozemcích vázne toto právo třetí osoby: ve věci zřizování a provozování vedení plynárenského zařízení, včetně ochranného pásma s právem vstupu a vjezdu v souvislosti, se zřizováním, provozováním, opravami, údržbou, případě odstraněním tohoto zařízení a ochranného pásma.</w:t>
      </w:r>
    </w:p>
    <w:p w:rsidR="007D2608" w:rsidRDefault="007D2608" w:rsidP="00EB6C54">
      <w:pPr>
        <w:pStyle w:val="VnitrniText"/>
      </w:pPr>
    </w:p>
    <w:p w:rsidR="007D2608" w:rsidRDefault="007D2608" w:rsidP="00EB6C54">
      <w:pPr>
        <w:pStyle w:val="VnitrniText"/>
      </w:pPr>
      <w:r>
        <w:t>5. SPÚ upozorňuje přejímajícího, že pozemek p. č. 2039, 2044, 2045 jsou určeny zcela nebo zčásti na základě územně plánovací dokumentace obce/kraje pro realizaci územního systému ekologické stability.</w:t>
      </w:r>
    </w:p>
    <w:p w:rsidR="007D2608" w:rsidRDefault="007D2608" w:rsidP="00EB6C54">
      <w:pPr>
        <w:pStyle w:val="VnitrniText"/>
      </w:pPr>
    </w:p>
    <w:p w:rsidR="0037157C" w:rsidRPr="00D06D0F" w:rsidRDefault="0037157C" w:rsidP="00EB6C54">
      <w:pPr>
        <w:pStyle w:val="VnitrniText"/>
      </w:pPr>
    </w:p>
    <w:p w:rsidR="00011A73"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rsidR="009F03F9" w:rsidRPr="00D917C5" w:rsidRDefault="009F03F9" w:rsidP="006069E5">
      <w:pPr>
        <w:pStyle w:val="para"/>
        <w:rPr>
          <w:rFonts w:ascii="Arial" w:hAnsi="Arial" w:cs="Arial"/>
          <w:sz w:val="20"/>
        </w:rPr>
      </w:pPr>
    </w:p>
    <w:p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rsidR="00D4325F" w:rsidRPr="00D06D0F" w:rsidRDefault="00D4325F" w:rsidP="00D4325F"/>
    <w:p w:rsidR="00011A73"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rsidR="009F03F9" w:rsidRPr="00D917C5" w:rsidRDefault="009F03F9" w:rsidP="006069E5">
      <w:pPr>
        <w:pStyle w:val="para"/>
        <w:rPr>
          <w:rFonts w:ascii="Arial" w:hAnsi="Arial" w:cs="Arial"/>
          <w:sz w:val="20"/>
        </w:rPr>
      </w:pPr>
    </w:p>
    <w:p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rsidR="006D1A0C" w:rsidRPr="002350B4" w:rsidRDefault="006D1A0C" w:rsidP="00651DC0">
      <w:pPr>
        <w:pStyle w:val="VnitrniText"/>
      </w:pPr>
    </w:p>
    <w:p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rsidR="006D1A0C" w:rsidRDefault="006D1A0C" w:rsidP="00651DC0">
      <w:pPr>
        <w:pStyle w:val="VnitrniText"/>
      </w:pPr>
    </w:p>
    <w:p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rsidR="002B0E7B" w:rsidRDefault="002B0E7B" w:rsidP="00DE7590">
      <w:pPr>
        <w:pStyle w:val="VnitrniText"/>
        <w:rPr>
          <w:lang w:val="en-US"/>
        </w:rPr>
      </w:pPr>
    </w:p>
    <w:p w:rsidR="00DE7590" w:rsidRDefault="00DE7590" w:rsidP="00DE7590">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rsidR="00651DC0" w:rsidRDefault="00651DC0" w:rsidP="00651DC0">
      <w:pPr>
        <w:pStyle w:val="VnitrniText"/>
      </w:pPr>
    </w:p>
    <w:p w:rsidR="00651DC0" w:rsidRDefault="00704B43" w:rsidP="00651DC0">
      <w:pPr>
        <w:pStyle w:val="para"/>
        <w:rPr>
          <w:rFonts w:ascii="Arial" w:hAnsi="Arial" w:cs="Arial"/>
          <w:sz w:val="20"/>
        </w:rPr>
      </w:pPr>
      <w:r>
        <w:rPr>
          <w:rFonts w:ascii="Arial" w:hAnsi="Arial" w:cs="Arial"/>
          <w:sz w:val="20"/>
        </w:rPr>
        <w:t>IX</w:t>
      </w:r>
      <w:r w:rsidR="00651DC0" w:rsidRPr="00D917C5">
        <w:rPr>
          <w:rFonts w:ascii="Arial" w:hAnsi="Arial" w:cs="Arial"/>
          <w:sz w:val="20"/>
        </w:rPr>
        <w:t>.</w:t>
      </w:r>
    </w:p>
    <w:p w:rsidR="009F03F9" w:rsidRPr="00D917C5" w:rsidRDefault="009F03F9" w:rsidP="00651DC0">
      <w:pPr>
        <w:pStyle w:val="para"/>
        <w:rPr>
          <w:rFonts w:ascii="Arial" w:hAnsi="Arial" w:cs="Arial"/>
          <w:sz w:val="20"/>
        </w:rPr>
      </w:pPr>
    </w:p>
    <w:p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Default="003D6A83" w:rsidP="003D6A83">
      <w:r w:rsidRPr="00D06D0F">
        <w:t xml:space="preserve"> </w:t>
      </w:r>
    </w:p>
    <w:p w:rsidR="009F03F9" w:rsidRPr="00D06D0F" w:rsidRDefault="009F03F9" w:rsidP="003D6A83"/>
    <w:p w:rsidR="00CF17C0" w:rsidRPr="00D06D0F" w:rsidRDefault="00CF17C0" w:rsidP="00F02239">
      <w:pPr>
        <w:pStyle w:val="VnitrniText"/>
        <w:ind w:firstLine="0"/>
      </w:pPr>
      <w:r w:rsidRPr="00D06D0F">
        <w:tab/>
      </w:r>
      <w:r w:rsidRPr="00D06D0F">
        <w:tab/>
        <w:t xml:space="preserve">    </w:t>
      </w:r>
    </w:p>
    <w:tbl>
      <w:tblPr>
        <w:tblW w:w="0" w:type="auto"/>
        <w:tblLook w:val="04A0" w:firstRow="1" w:lastRow="0" w:firstColumn="1" w:lastColumn="0" w:noHBand="0" w:noVBand="1"/>
      </w:tblPr>
      <w:tblGrid>
        <w:gridCol w:w="4819"/>
        <w:gridCol w:w="4818"/>
      </w:tblGrid>
      <w:tr w:rsidR="001353EA" w:rsidRPr="00704B43" w:rsidTr="00704B43">
        <w:tc>
          <w:tcPr>
            <w:tcW w:w="4888" w:type="dxa"/>
            <w:shd w:val="clear" w:color="auto" w:fill="auto"/>
            <w:hideMark/>
          </w:tcPr>
          <w:p w:rsidR="001353EA" w:rsidRDefault="001353EA" w:rsidP="00704B43">
            <w:pPr>
              <w:pStyle w:val="VnitrniText"/>
              <w:ind w:firstLine="0"/>
            </w:pPr>
            <w:r>
              <w:t xml:space="preserve">V Ostravě dne </w:t>
            </w:r>
            <w:r w:rsidR="0097315C">
              <w:t>10.2.2021</w:t>
            </w:r>
          </w:p>
        </w:tc>
        <w:tc>
          <w:tcPr>
            <w:tcW w:w="4889" w:type="dxa"/>
            <w:shd w:val="clear" w:color="auto" w:fill="auto"/>
            <w:hideMark/>
          </w:tcPr>
          <w:p w:rsidR="001353EA" w:rsidRDefault="001353EA" w:rsidP="00704B43">
            <w:pPr>
              <w:pStyle w:val="VnitrniText"/>
              <w:tabs>
                <w:tab w:val="left" w:pos="4820"/>
              </w:tabs>
              <w:ind w:firstLine="0"/>
            </w:pPr>
            <w:r>
              <w:t>V</w:t>
            </w:r>
            <w:r w:rsidR="0097315C">
              <w:t xml:space="preserve"> Ostravě</w:t>
            </w:r>
            <w:r>
              <w:t xml:space="preserve"> dne </w:t>
            </w:r>
            <w:r w:rsidR="0097315C">
              <w:t>2.2.2021</w:t>
            </w:r>
            <w:bookmarkStart w:id="0" w:name="_GoBack"/>
            <w:bookmarkEnd w:id="0"/>
          </w:p>
        </w:tc>
      </w:tr>
    </w:tbl>
    <w:p w:rsidR="001353EA" w:rsidRDefault="001353EA" w:rsidP="001353EA">
      <w:pPr>
        <w:pStyle w:val="VnitrniText"/>
        <w:tabs>
          <w:tab w:val="left" w:pos="4820"/>
        </w:tabs>
        <w:ind w:firstLine="142"/>
      </w:pPr>
      <w:r>
        <w:tab/>
      </w:r>
    </w:p>
    <w:p w:rsidR="001353EA" w:rsidRDefault="001353EA" w:rsidP="001353EA">
      <w:pPr>
        <w:pStyle w:val="VnitrniText"/>
        <w:tabs>
          <w:tab w:val="left" w:pos="5103"/>
        </w:tabs>
        <w:ind w:firstLine="142"/>
      </w:pPr>
    </w:p>
    <w:p w:rsidR="001353EA" w:rsidRDefault="001353EA" w:rsidP="001353EA">
      <w:pPr>
        <w:pStyle w:val="VnitrniText"/>
        <w:tabs>
          <w:tab w:val="left" w:pos="5103"/>
        </w:tabs>
        <w:ind w:firstLine="142"/>
      </w:pPr>
    </w:p>
    <w:p w:rsidR="009F03F9" w:rsidRDefault="009F03F9" w:rsidP="001353EA">
      <w:pPr>
        <w:pStyle w:val="VnitrniText"/>
        <w:tabs>
          <w:tab w:val="left" w:pos="5103"/>
        </w:tabs>
        <w:ind w:firstLine="142"/>
      </w:pPr>
    </w:p>
    <w:tbl>
      <w:tblPr>
        <w:tblW w:w="0" w:type="auto"/>
        <w:tblLook w:val="04A0" w:firstRow="1" w:lastRow="0" w:firstColumn="1" w:lastColumn="0" w:noHBand="0" w:noVBand="1"/>
      </w:tblPr>
      <w:tblGrid>
        <w:gridCol w:w="4818"/>
        <w:gridCol w:w="4819"/>
      </w:tblGrid>
      <w:tr w:rsidR="001353EA" w:rsidRPr="00704B43" w:rsidTr="00704B43">
        <w:tc>
          <w:tcPr>
            <w:tcW w:w="4888" w:type="dxa"/>
            <w:shd w:val="clear" w:color="auto" w:fill="auto"/>
          </w:tcPr>
          <w:p w:rsidR="001353EA" w:rsidRDefault="001353EA" w:rsidP="00704B43">
            <w:pPr>
              <w:pStyle w:val="VnitrniText"/>
              <w:ind w:firstLine="0"/>
            </w:pPr>
          </w:p>
        </w:tc>
        <w:tc>
          <w:tcPr>
            <w:tcW w:w="4889" w:type="dxa"/>
            <w:shd w:val="clear" w:color="auto" w:fill="auto"/>
          </w:tcPr>
          <w:p w:rsidR="001353EA" w:rsidRDefault="001353EA" w:rsidP="00704B43">
            <w:pPr>
              <w:pStyle w:val="VnitrniText"/>
              <w:tabs>
                <w:tab w:val="left" w:pos="5103"/>
              </w:tabs>
              <w:ind w:firstLine="0"/>
            </w:pPr>
          </w:p>
        </w:tc>
      </w:tr>
      <w:tr w:rsidR="001353EA" w:rsidRPr="00704B43" w:rsidTr="00704B43">
        <w:tc>
          <w:tcPr>
            <w:tcW w:w="4888" w:type="dxa"/>
            <w:shd w:val="clear" w:color="auto" w:fill="auto"/>
          </w:tcPr>
          <w:p w:rsidR="001353EA" w:rsidRDefault="001353EA" w:rsidP="00704B43">
            <w:pPr>
              <w:pStyle w:val="VnitrniText"/>
              <w:tabs>
                <w:tab w:val="left" w:pos="5103"/>
              </w:tabs>
              <w:ind w:firstLine="0"/>
              <w:jc w:val="left"/>
            </w:pPr>
            <w:r>
              <w:t>............................................</w:t>
            </w:r>
          </w:p>
        </w:tc>
        <w:tc>
          <w:tcPr>
            <w:tcW w:w="4889" w:type="dxa"/>
            <w:shd w:val="clear" w:color="auto" w:fill="auto"/>
          </w:tcPr>
          <w:p w:rsidR="001353EA" w:rsidRDefault="001353EA" w:rsidP="00704B43">
            <w:pPr>
              <w:pStyle w:val="VnitrniText"/>
              <w:tabs>
                <w:tab w:val="left" w:pos="5103"/>
              </w:tabs>
              <w:ind w:firstLine="0"/>
              <w:jc w:val="left"/>
            </w:pPr>
            <w:r>
              <w:t>............................................</w:t>
            </w:r>
          </w:p>
        </w:tc>
      </w:tr>
      <w:tr w:rsidR="001353EA" w:rsidRPr="00704B43" w:rsidTr="00704B43">
        <w:tc>
          <w:tcPr>
            <w:tcW w:w="4888" w:type="dxa"/>
            <w:shd w:val="clear" w:color="auto" w:fill="auto"/>
          </w:tcPr>
          <w:p w:rsidR="001353EA" w:rsidRPr="00704B43" w:rsidRDefault="001353EA" w:rsidP="00704B43">
            <w:pPr>
              <w:suppressAutoHyphens w:val="0"/>
              <w:autoSpaceDE w:val="0"/>
              <w:autoSpaceDN w:val="0"/>
              <w:adjustRightInd w:val="0"/>
              <w:rPr>
                <w:rFonts w:ascii="Arial" w:hAnsi="Arial" w:cs="Arial"/>
                <w:sz w:val="20"/>
                <w:szCs w:val="20"/>
              </w:rPr>
            </w:pPr>
            <w:r w:rsidRPr="00704B43">
              <w:rPr>
                <w:rFonts w:ascii="Arial" w:hAnsi="Arial" w:cs="Arial"/>
                <w:sz w:val="20"/>
                <w:szCs w:val="20"/>
              </w:rPr>
              <w:t>Státní pozemkový úřad</w:t>
            </w:r>
          </w:p>
        </w:tc>
        <w:tc>
          <w:tcPr>
            <w:tcW w:w="4889" w:type="dxa"/>
            <w:shd w:val="clear" w:color="auto" w:fill="auto"/>
          </w:tcPr>
          <w:p w:rsidR="001353EA" w:rsidRPr="00704B43" w:rsidRDefault="001353EA" w:rsidP="00704B43">
            <w:pPr>
              <w:suppressAutoHyphens w:val="0"/>
              <w:autoSpaceDE w:val="0"/>
              <w:autoSpaceDN w:val="0"/>
              <w:adjustRightInd w:val="0"/>
              <w:rPr>
                <w:rFonts w:ascii="Arial" w:hAnsi="Arial" w:cs="Arial"/>
                <w:sz w:val="20"/>
                <w:szCs w:val="20"/>
              </w:rPr>
            </w:pPr>
            <w:r w:rsidRPr="00704B43">
              <w:rPr>
                <w:rFonts w:ascii="Arial" w:hAnsi="Arial" w:cs="Arial"/>
                <w:sz w:val="20"/>
                <w:szCs w:val="20"/>
              </w:rPr>
              <w:t>DIAMO, státní podnik</w:t>
            </w:r>
          </w:p>
        </w:tc>
      </w:tr>
      <w:tr w:rsidR="001353EA" w:rsidRPr="00704B43" w:rsidTr="00704B43">
        <w:tc>
          <w:tcPr>
            <w:tcW w:w="4888" w:type="dxa"/>
            <w:shd w:val="clear" w:color="auto" w:fill="auto"/>
          </w:tcPr>
          <w:p w:rsidR="001353EA" w:rsidRPr="00704B43" w:rsidRDefault="001353EA" w:rsidP="00704B43">
            <w:pPr>
              <w:suppressAutoHyphens w:val="0"/>
              <w:autoSpaceDE w:val="0"/>
              <w:autoSpaceDN w:val="0"/>
              <w:adjustRightInd w:val="0"/>
              <w:rPr>
                <w:rFonts w:ascii="Arial" w:hAnsi="Arial" w:cs="Arial"/>
                <w:sz w:val="20"/>
                <w:szCs w:val="20"/>
              </w:rPr>
            </w:pPr>
            <w:r w:rsidRPr="00704B43">
              <w:rPr>
                <w:rFonts w:ascii="Arial" w:hAnsi="Arial" w:cs="Arial"/>
                <w:sz w:val="20"/>
                <w:szCs w:val="20"/>
              </w:rPr>
              <w:t>ředitelka Krajského pozemkového úřadu</w:t>
            </w:r>
          </w:p>
        </w:tc>
        <w:tc>
          <w:tcPr>
            <w:tcW w:w="4889" w:type="dxa"/>
            <w:shd w:val="clear" w:color="auto" w:fill="auto"/>
          </w:tcPr>
          <w:p w:rsidR="001353EA" w:rsidRPr="00704B43" w:rsidRDefault="009F03F9" w:rsidP="00704B43">
            <w:pPr>
              <w:suppressAutoHyphens w:val="0"/>
              <w:autoSpaceDE w:val="0"/>
              <w:autoSpaceDN w:val="0"/>
              <w:adjustRightInd w:val="0"/>
              <w:rPr>
                <w:rFonts w:ascii="Arial" w:hAnsi="Arial" w:cs="Arial"/>
                <w:sz w:val="20"/>
                <w:szCs w:val="20"/>
              </w:rPr>
            </w:pPr>
            <w:r>
              <w:rPr>
                <w:rFonts w:ascii="Arial" w:hAnsi="Arial" w:cs="Arial"/>
                <w:sz w:val="20"/>
                <w:szCs w:val="20"/>
              </w:rPr>
              <w:t xml:space="preserve">vedoucí </w:t>
            </w:r>
            <w:proofErr w:type="spellStart"/>
            <w:r>
              <w:rPr>
                <w:rFonts w:ascii="Arial" w:hAnsi="Arial" w:cs="Arial"/>
                <w:sz w:val="20"/>
                <w:szCs w:val="20"/>
              </w:rPr>
              <w:t>o.z</w:t>
            </w:r>
            <w:proofErr w:type="spellEnd"/>
            <w:r>
              <w:rPr>
                <w:rFonts w:ascii="Arial" w:hAnsi="Arial" w:cs="Arial"/>
                <w:sz w:val="20"/>
                <w:szCs w:val="20"/>
              </w:rPr>
              <w:t>. ODRA</w:t>
            </w:r>
          </w:p>
        </w:tc>
      </w:tr>
      <w:tr w:rsidR="001353EA" w:rsidRPr="00704B43" w:rsidTr="00704B43">
        <w:tc>
          <w:tcPr>
            <w:tcW w:w="4888" w:type="dxa"/>
            <w:shd w:val="clear" w:color="auto" w:fill="auto"/>
          </w:tcPr>
          <w:p w:rsidR="001353EA" w:rsidRPr="00704B43" w:rsidRDefault="001353EA" w:rsidP="00704B43">
            <w:pPr>
              <w:suppressAutoHyphens w:val="0"/>
              <w:autoSpaceDE w:val="0"/>
              <w:autoSpaceDN w:val="0"/>
              <w:adjustRightInd w:val="0"/>
              <w:rPr>
                <w:rFonts w:ascii="Arial" w:hAnsi="Arial" w:cs="Arial"/>
                <w:sz w:val="20"/>
                <w:szCs w:val="20"/>
              </w:rPr>
            </w:pPr>
            <w:r w:rsidRPr="00704B43">
              <w:rPr>
                <w:rFonts w:ascii="Arial" w:hAnsi="Arial" w:cs="Arial"/>
                <w:sz w:val="20"/>
                <w:szCs w:val="20"/>
              </w:rPr>
              <w:t>Mgr. Dana Lišková</w:t>
            </w:r>
          </w:p>
        </w:tc>
        <w:tc>
          <w:tcPr>
            <w:tcW w:w="4889" w:type="dxa"/>
            <w:shd w:val="clear" w:color="auto" w:fill="auto"/>
          </w:tcPr>
          <w:p w:rsidR="001353EA" w:rsidRPr="00704B43" w:rsidRDefault="009F03F9" w:rsidP="00704B43">
            <w:pPr>
              <w:suppressAutoHyphens w:val="0"/>
              <w:autoSpaceDE w:val="0"/>
              <w:autoSpaceDN w:val="0"/>
              <w:adjustRightInd w:val="0"/>
              <w:rPr>
                <w:rFonts w:ascii="Arial" w:hAnsi="Arial" w:cs="Arial"/>
                <w:sz w:val="20"/>
                <w:szCs w:val="20"/>
              </w:rPr>
            </w:pPr>
            <w:r>
              <w:rPr>
                <w:rFonts w:ascii="Arial" w:hAnsi="Arial" w:cs="Arial"/>
                <w:sz w:val="20"/>
                <w:szCs w:val="20"/>
              </w:rPr>
              <w:t>Ing. Petr Kříž, Ph.D.</w:t>
            </w:r>
          </w:p>
        </w:tc>
      </w:tr>
      <w:tr w:rsidR="001353EA" w:rsidRPr="00704B43" w:rsidTr="00704B43">
        <w:tc>
          <w:tcPr>
            <w:tcW w:w="4888" w:type="dxa"/>
            <w:shd w:val="clear" w:color="auto" w:fill="auto"/>
          </w:tcPr>
          <w:p w:rsidR="001353EA" w:rsidRPr="00704B43" w:rsidRDefault="001353EA" w:rsidP="00704B43">
            <w:pPr>
              <w:suppressAutoHyphens w:val="0"/>
              <w:autoSpaceDE w:val="0"/>
              <w:autoSpaceDN w:val="0"/>
              <w:adjustRightInd w:val="0"/>
              <w:rPr>
                <w:rFonts w:ascii="Arial" w:hAnsi="Arial" w:cs="Arial"/>
                <w:sz w:val="20"/>
                <w:szCs w:val="20"/>
              </w:rPr>
            </w:pPr>
            <w:r w:rsidRPr="00704B43">
              <w:rPr>
                <w:rFonts w:ascii="Arial" w:hAnsi="Arial" w:cs="Arial"/>
                <w:sz w:val="20"/>
                <w:szCs w:val="20"/>
              </w:rPr>
              <w:t>předávající</w:t>
            </w:r>
          </w:p>
        </w:tc>
        <w:tc>
          <w:tcPr>
            <w:tcW w:w="4889" w:type="dxa"/>
            <w:shd w:val="clear" w:color="auto" w:fill="auto"/>
          </w:tcPr>
          <w:p w:rsidR="001353EA" w:rsidRPr="00704B43" w:rsidRDefault="009F03F9" w:rsidP="00704B43">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1353EA" w:rsidRDefault="001353EA">
      <w:pPr>
        <w:suppressAutoHyphens w:val="0"/>
        <w:autoSpaceDE w:val="0"/>
        <w:autoSpaceDN w:val="0"/>
        <w:adjustRightInd w:val="0"/>
        <w:rPr>
          <w:rFonts w:ascii="Arial" w:hAnsi="Arial" w:cs="Arial"/>
          <w:sz w:val="20"/>
          <w:szCs w:val="20"/>
        </w:rPr>
      </w:pPr>
    </w:p>
    <w:p w:rsidR="0083268B" w:rsidRPr="00D06D0F" w:rsidRDefault="0083268B" w:rsidP="0083268B">
      <w:pPr>
        <w:pStyle w:val="VnitrniText"/>
        <w:ind w:firstLine="142"/>
      </w:pPr>
    </w:p>
    <w:p w:rsidR="00722C9B" w:rsidRPr="00D06D0F" w:rsidRDefault="00722C9B" w:rsidP="000B0AA7">
      <w:pPr>
        <w:pStyle w:val="VnitrniText"/>
      </w:pPr>
    </w:p>
    <w:p w:rsidR="00F66E72" w:rsidRDefault="00F66E72" w:rsidP="000B0AA7">
      <w:pPr>
        <w:pStyle w:val="VnitrniText"/>
        <w:ind w:firstLine="0"/>
      </w:pPr>
    </w:p>
    <w:p w:rsidR="000528C7" w:rsidRDefault="000528C7" w:rsidP="000B0AA7">
      <w:pPr>
        <w:pStyle w:val="VnitrniText"/>
        <w:ind w:firstLine="0"/>
      </w:pPr>
    </w:p>
    <w:p w:rsidR="000528C7" w:rsidRPr="00A87810" w:rsidRDefault="009F03F9" w:rsidP="000528C7">
      <w:pPr>
        <w:spacing w:before="120"/>
        <w:jc w:val="both"/>
        <w:rPr>
          <w:rFonts w:ascii="Arial" w:hAnsi="Arial" w:cs="Arial"/>
          <w:sz w:val="20"/>
          <w:szCs w:val="20"/>
        </w:rPr>
      </w:pPr>
      <w:r>
        <w:rPr>
          <w:rFonts w:ascii="Arial" w:hAnsi="Arial" w:cs="Arial"/>
          <w:sz w:val="20"/>
          <w:szCs w:val="20"/>
        </w:rPr>
        <w:br w:type="page"/>
      </w:r>
      <w:r w:rsidR="000528C7" w:rsidRPr="00A87810">
        <w:rPr>
          <w:rFonts w:ascii="Arial" w:hAnsi="Arial" w:cs="Arial"/>
          <w:sz w:val="20"/>
          <w:szCs w:val="20"/>
        </w:rPr>
        <w:lastRenderedPageBreak/>
        <w:t xml:space="preserve">Tato smlouva byla uveřejněna v registru smluv, vedeném dle zákona č. 340/2015 Sb., o registru smluv. </w:t>
      </w:r>
    </w:p>
    <w:p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0528C7" w:rsidRPr="00A87810" w:rsidRDefault="000528C7" w:rsidP="000528C7">
      <w:pPr>
        <w:spacing w:before="120"/>
        <w:jc w:val="both"/>
        <w:rPr>
          <w:rFonts w:ascii="Arial" w:hAnsi="Arial" w:cs="Arial"/>
          <w:sz w:val="20"/>
          <w:szCs w:val="20"/>
        </w:rPr>
      </w:pPr>
    </w:p>
    <w:p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0528C7" w:rsidRPr="00D06D0F" w:rsidRDefault="000528C7" w:rsidP="000B0AA7">
      <w:pPr>
        <w:pStyle w:val="VnitrniText"/>
        <w:ind w:firstLine="0"/>
      </w:pPr>
    </w:p>
    <w:p w:rsidR="00B4772C" w:rsidRDefault="00337C94" w:rsidP="000B0AA7">
      <w:pPr>
        <w:pStyle w:val="VnitrniText"/>
        <w:ind w:firstLine="0"/>
      </w:pPr>
      <w:r w:rsidRPr="0023665E">
        <w:t xml:space="preserve"> </w:t>
      </w:r>
    </w:p>
    <w:p w:rsidR="000528C7" w:rsidRDefault="000528C7" w:rsidP="00B4772C">
      <w:pPr>
        <w:pStyle w:val="VnitrniText"/>
        <w:ind w:firstLine="0"/>
      </w:pPr>
    </w:p>
    <w:p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p>
    <w:p w:rsidR="00B4772C" w:rsidRPr="00B4772C" w:rsidRDefault="00B4772C" w:rsidP="00B4772C">
      <w:pPr>
        <w:pStyle w:val="VnitrniText"/>
        <w:ind w:firstLine="0"/>
      </w:pPr>
      <w:r w:rsidRPr="00B4772C">
        <w:t>Ing. Miloslav Havlíček</w:t>
      </w:r>
    </w:p>
    <w:p w:rsidR="00706967" w:rsidRDefault="009F03F9" w:rsidP="00706967">
      <w:pPr>
        <w:pStyle w:val="VnitrniText"/>
        <w:ind w:firstLine="0"/>
      </w:pPr>
      <w:r>
        <w:t>v z. Ing. Zdeňka Fusková, pověřena vedením oddělením převodu majetku státu KPÚ pro Moravskoslezský kraj</w:t>
      </w:r>
    </w:p>
    <w:p w:rsidR="00706967" w:rsidRDefault="00706967" w:rsidP="00706967">
      <w:pPr>
        <w:pStyle w:val="VnitrniText"/>
        <w:ind w:firstLine="0"/>
      </w:pPr>
    </w:p>
    <w:p w:rsidR="00706967" w:rsidRDefault="00706967" w:rsidP="00706967">
      <w:pPr>
        <w:pStyle w:val="VnitrniText"/>
        <w:ind w:firstLine="0"/>
      </w:pPr>
    </w:p>
    <w:p w:rsidR="009F03F9" w:rsidRDefault="009F03F9" w:rsidP="00706967">
      <w:pPr>
        <w:pStyle w:val="VnitrniText"/>
        <w:ind w:firstLine="0"/>
      </w:pPr>
    </w:p>
    <w:p w:rsidR="00706967" w:rsidRDefault="00706967" w:rsidP="00706967">
      <w:pPr>
        <w:pStyle w:val="VnitrniText"/>
        <w:ind w:firstLine="0"/>
      </w:pPr>
      <w:r>
        <w:t>.................................................</w:t>
      </w:r>
    </w:p>
    <w:p w:rsidR="00706967" w:rsidRDefault="00706967" w:rsidP="00706967">
      <w:pPr>
        <w:pStyle w:val="VnitrniText"/>
        <w:ind w:firstLine="0"/>
      </w:pPr>
      <w:r>
        <w:tab/>
        <w:t>podpis</w:t>
      </w:r>
    </w:p>
    <w:p w:rsidR="00706967" w:rsidRDefault="00706967" w:rsidP="00706967">
      <w:pPr>
        <w:pStyle w:val="VnitrniText"/>
        <w:ind w:firstLine="0"/>
      </w:pPr>
    </w:p>
    <w:p w:rsidR="00706967" w:rsidRDefault="00706967" w:rsidP="00706967">
      <w:pPr>
        <w:pStyle w:val="VnitrniText"/>
        <w:ind w:firstLine="0"/>
      </w:pPr>
    </w:p>
    <w:p w:rsidR="00706967" w:rsidRDefault="00706967" w:rsidP="00706967">
      <w:pPr>
        <w:pStyle w:val="VnitrniText"/>
        <w:ind w:firstLine="0"/>
      </w:pPr>
      <w:r>
        <w:t>Za správnost KPÚ: Ing. Zdeňka Fusková</w:t>
      </w:r>
    </w:p>
    <w:p w:rsidR="00706967" w:rsidRDefault="00706967" w:rsidP="00706967">
      <w:pPr>
        <w:pStyle w:val="VnitrniText"/>
        <w:ind w:firstLine="0"/>
      </w:pPr>
    </w:p>
    <w:p w:rsidR="00706967" w:rsidRDefault="00706967" w:rsidP="00706967">
      <w:pPr>
        <w:pStyle w:val="VnitrniText"/>
        <w:ind w:firstLine="0"/>
      </w:pPr>
    </w:p>
    <w:p w:rsidR="00706967" w:rsidRDefault="00706967" w:rsidP="00706967">
      <w:pPr>
        <w:pStyle w:val="VnitrniText"/>
        <w:ind w:firstLine="0"/>
      </w:pPr>
    </w:p>
    <w:p w:rsidR="00706967" w:rsidRDefault="00706967" w:rsidP="00706967">
      <w:pPr>
        <w:pStyle w:val="VnitrniText"/>
        <w:ind w:firstLine="0"/>
      </w:pPr>
      <w:r>
        <w:t>.................................................</w:t>
      </w:r>
    </w:p>
    <w:p w:rsidR="00706967" w:rsidRDefault="00706967" w:rsidP="00706967">
      <w:pPr>
        <w:pStyle w:val="VnitrniText"/>
        <w:ind w:firstLine="0"/>
      </w:pPr>
      <w:r>
        <w:tab/>
        <w:t>podpis</w:t>
      </w:r>
    </w:p>
    <w:p w:rsidR="00722C9B" w:rsidRPr="00D06D0F" w:rsidRDefault="00722C9B" w:rsidP="000B0AA7">
      <w:pPr>
        <w:pStyle w:val="VnitrniText"/>
      </w:pP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B43" w:rsidRDefault="00704B43">
      <w:r>
        <w:separator/>
      </w:r>
    </w:p>
  </w:endnote>
  <w:endnote w:type="continuationSeparator" w:id="0">
    <w:p w:rsidR="00704B43" w:rsidRDefault="0070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B43" w:rsidRDefault="00704B43">
    <w:pPr>
      <w:pStyle w:val="Zpat"/>
      <w:jc w:val="right"/>
    </w:pPr>
    <w:r>
      <w:fldChar w:fldCharType="begin"/>
    </w:r>
    <w:r>
      <w:instrText>PAGE   \* MERGEFORMAT</w:instrText>
    </w:r>
    <w:r>
      <w:fldChar w:fldCharType="separate"/>
    </w:r>
    <w:r>
      <w:t>2</w:t>
    </w:r>
    <w:r>
      <w:fldChar w:fldCharType="end"/>
    </w:r>
  </w:p>
  <w:p w:rsidR="00704B43" w:rsidRDefault="00704B4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B43" w:rsidRDefault="00704B43">
      <w:r>
        <w:separator/>
      </w:r>
    </w:p>
  </w:footnote>
  <w:footnote w:type="continuationSeparator" w:id="0">
    <w:p w:rsidR="00704B43" w:rsidRDefault="0070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C66B3"/>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E11C1"/>
    <w:rsid w:val="004E368B"/>
    <w:rsid w:val="004E6319"/>
    <w:rsid w:val="00504E88"/>
    <w:rsid w:val="005211F0"/>
    <w:rsid w:val="00526280"/>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4B43"/>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7315C"/>
    <w:rsid w:val="009A1E9A"/>
    <w:rsid w:val="009A30E2"/>
    <w:rsid w:val="009B091D"/>
    <w:rsid w:val="009B300A"/>
    <w:rsid w:val="009C2C86"/>
    <w:rsid w:val="009C62CC"/>
    <w:rsid w:val="009C6747"/>
    <w:rsid w:val="009C6A18"/>
    <w:rsid w:val="009D0DDC"/>
    <w:rsid w:val="009D1A88"/>
    <w:rsid w:val="009D2F14"/>
    <w:rsid w:val="009D4580"/>
    <w:rsid w:val="009E2AED"/>
    <w:rsid w:val="009F03F9"/>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73D4E"/>
    <w:rsid w:val="00A74BA3"/>
    <w:rsid w:val="00A7544F"/>
    <w:rsid w:val="00A7577B"/>
    <w:rsid w:val="00A87810"/>
    <w:rsid w:val="00A93619"/>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B37D9"/>
    <w:rsid w:val="00BB6A7B"/>
    <w:rsid w:val="00BC17A6"/>
    <w:rsid w:val="00BC66CD"/>
    <w:rsid w:val="00BD1BBC"/>
    <w:rsid w:val="00BD2928"/>
    <w:rsid w:val="00C05330"/>
    <w:rsid w:val="00C10AEE"/>
    <w:rsid w:val="00C30794"/>
    <w:rsid w:val="00C31774"/>
    <w:rsid w:val="00C37A15"/>
    <w:rsid w:val="00C5272C"/>
    <w:rsid w:val="00C6727E"/>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6C54"/>
    <w:rsid w:val="00EC467B"/>
    <w:rsid w:val="00ED43D6"/>
    <w:rsid w:val="00EE15D1"/>
    <w:rsid w:val="00EE4E00"/>
    <w:rsid w:val="00EE55DE"/>
    <w:rsid w:val="00EF2483"/>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84387"/>
    <w:rsid w:val="00FA091E"/>
    <w:rsid w:val="00FA1CE3"/>
    <w:rsid w:val="00FA41FA"/>
    <w:rsid w:val="00FA7FF5"/>
    <w:rsid w:val="00FB6E4E"/>
    <w:rsid w:val="00FC5B89"/>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9DB08B"/>
  <w14:defaultImageDpi w14:val="0"/>
  <w15:docId w15:val="{D170327A-7B66-4846-9C4F-35B5FA00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704B43"/>
    <w:pPr>
      <w:tabs>
        <w:tab w:val="center" w:pos="4536"/>
        <w:tab w:val="right" w:pos="9072"/>
      </w:tabs>
    </w:pPr>
  </w:style>
  <w:style w:type="character" w:customStyle="1" w:styleId="ZhlavChar">
    <w:name w:val="Záhlaví Char"/>
    <w:link w:val="Zhlav"/>
    <w:uiPriority w:val="99"/>
    <w:rsid w:val="00704B43"/>
    <w:rPr>
      <w:sz w:val="24"/>
      <w:szCs w:val="24"/>
      <w:lang w:eastAsia="ar-SA"/>
    </w:rPr>
  </w:style>
  <w:style w:type="paragraph" w:styleId="Zpat">
    <w:name w:val="footer"/>
    <w:basedOn w:val="Normln"/>
    <w:link w:val="ZpatChar"/>
    <w:uiPriority w:val="99"/>
    <w:rsid w:val="00704B43"/>
    <w:pPr>
      <w:tabs>
        <w:tab w:val="center" w:pos="4536"/>
        <w:tab w:val="right" w:pos="9072"/>
      </w:tabs>
    </w:pPr>
  </w:style>
  <w:style w:type="character" w:customStyle="1" w:styleId="ZpatChar">
    <w:name w:val="Zápatí Char"/>
    <w:link w:val="Zpat"/>
    <w:uiPriority w:val="99"/>
    <w:rsid w:val="00704B43"/>
    <w:rPr>
      <w:sz w:val="24"/>
      <w:szCs w:val="24"/>
      <w:lang w:eastAsia="ar-SA"/>
    </w:rPr>
  </w:style>
  <w:style w:type="paragraph" w:styleId="Textbubliny">
    <w:name w:val="Balloon Text"/>
    <w:basedOn w:val="Normln"/>
    <w:link w:val="TextbublinyChar"/>
    <w:uiPriority w:val="99"/>
    <w:rsid w:val="009F03F9"/>
    <w:rPr>
      <w:rFonts w:ascii="Segoe UI" w:hAnsi="Segoe UI" w:cs="Segoe UI"/>
      <w:sz w:val="18"/>
      <w:szCs w:val="18"/>
    </w:rPr>
  </w:style>
  <w:style w:type="character" w:customStyle="1" w:styleId="TextbublinyChar">
    <w:name w:val="Text bubliny Char"/>
    <w:basedOn w:val="Standardnpsmoodstavce"/>
    <w:link w:val="Textbubliny"/>
    <w:uiPriority w:val="99"/>
    <w:rsid w:val="009F03F9"/>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7763744">
      <w:marLeft w:val="0"/>
      <w:marRight w:val="0"/>
      <w:marTop w:val="0"/>
      <w:marBottom w:val="0"/>
      <w:divBdr>
        <w:top w:val="none" w:sz="0" w:space="0" w:color="auto"/>
        <w:left w:val="none" w:sz="0" w:space="0" w:color="auto"/>
        <w:bottom w:val="none" w:sz="0" w:space="0" w:color="auto"/>
        <w:right w:val="none" w:sz="0" w:space="0" w:color="auto"/>
      </w:divBdr>
    </w:div>
    <w:div w:id="1857763745">
      <w:marLeft w:val="0"/>
      <w:marRight w:val="0"/>
      <w:marTop w:val="0"/>
      <w:marBottom w:val="0"/>
      <w:divBdr>
        <w:top w:val="none" w:sz="0" w:space="0" w:color="auto"/>
        <w:left w:val="none" w:sz="0" w:space="0" w:color="auto"/>
        <w:bottom w:val="none" w:sz="0" w:space="0" w:color="auto"/>
        <w:right w:val="none" w:sz="0" w:space="0" w:color="auto"/>
      </w:divBdr>
    </w:div>
    <w:div w:id="1857763746">
      <w:marLeft w:val="0"/>
      <w:marRight w:val="0"/>
      <w:marTop w:val="0"/>
      <w:marBottom w:val="0"/>
      <w:divBdr>
        <w:top w:val="none" w:sz="0" w:space="0" w:color="auto"/>
        <w:left w:val="none" w:sz="0" w:space="0" w:color="auto"/>
        <w:bottom w:val="none" w:sz="0" w:space="0" w:color="auto"/>
        <w:right w:val="none" w:sz="0" w:space="0" w:color="auto"/>
      </w:divBdr>
    </w:div>
    <w:div w:id="1857763747">
      <w:marLeft w:val="0"/>
      <w:marRight w:val="0"/>
      <w:marTop w:val="0"/>
      <w:marBottom w:val="0"/>
      <w:divBdr>
        <w:top w:val="none" w:sz="0" w:space="0" w:color="auto"/>
        <w:left w:val="none" w:sz="0" w:space="0" w:color="auto"/>
        <w:bottom w:val="none" w:sz="0" w:space="0" w:color="auto"/>
        <w:right w:val="none" w:sz="0" w:space="0" w:color="auto"/>
      </w:divBdr>
    </w:div>
    <w:div w:id="1857763748">
      <w:marLeft w:val="0"/>
      <w:marRight w:val="0"/>
      <w:marTop w:val="0"/>
      <w:marBottom w:val="0"/>
      <w:divBdr>
        <w:top w:val="none" w:sz="0" w:space="0" w:color="auto"/>
        <w:left w:val="none" w:sz="0" w:space="0" w:color="auto"/>
        <w:bottom w:val="none" w:sz="0" w:space="0" w:color="auto"/>
        <w:right w:val="none" w:sz="0" w:space="0" w:color="auto"/>
      </w:divBdr>
    </w:div>
    <w:div w:id="1857763749">
      <w:marLeft w:val="0"/>
      <w:marRight w:val="0"/>
      <w:marTop w:val="0"/>
      <w:marBottom w:val="0"/>
      <w:divBdr>
        <w:top w:val="none" w:sz="0" w:space="0" w:color="auto"/>
        <w:left w:val="none" w:sz="0" w:space="0" w:color="auto"/>
        <w:bottom w:val="none" w:sz="0" w:space="0" w:color="auto"/>
        <w:right w:val="none" w:sz="0" w:space="0" w:color="auto"/>
      </w:divBdr>
    </w:div>
    <w:div w:id="1857763750">
      <w:marLeft w:val="0"/>
      <w:marRight w:val="0"/>
      <w:marTop w:val="0"/>
      <w:marBottom w:val="0"/>
      <w:divBdr>
        <w:top w:val="none" w:sz="0" w:space="0" w:color="auto"/>
        <w:left w:val="none" w:sz="0" w:space="0" w:color="auto"/>
        <w:bottom w:val="none" w:sz="0" w:space="0" w:color="auto"/>
        <w:right w:val="none" w:sz="0" w:space="0" w:color="auto"/>
      </w:divBdr>
    </w:div>
    <w:div w:id="1857763751">
      <w:marLeft w:val="0"/>
      <w:marRight w:val="0"/>
      <w:marTop w:val="0"/>
      <w:marBottom w:val="0"/>
      <w:divBdr>
        <w:top w:val="none" w:sz="0" w:space="0" w:color="auto"/>
        <w:left w:val="none" w:sz="0" w:space="0" w:color="auto"/>
        <w:bottom w:val="none" w:sz="0" w:space="0" w:color="auto"/>
        <w:right w:val="none" w:sz="0" w:space="0" w:color="auto"/>
      </w:divBdr>
    </w:div>
    <w:div w:id="1857763752">
      <w:marLeft w:val="0"/>
      <w:marRight w:val="0"/>
      <w:marTop w:val="0"/>
      <w:marBottom w:val="0"/>
      <w:divBdr>
        <w:top w:val="none" w:sz="0" w:space="0" w:color="auto"/>
        <w:left w:val="none" w:sz="0" w:space="0" w:color="auto"/>
        <w:bottom w:val="none" w:sz="0" w:space="0" w:color="auto"/>
        <w:right w:val="none" w:sz="0" w:space="0" w:color="auto"/>
      </w:divBdr>
    </w:div>
    <w:div w:id="1857763753">
      <w:marLeft w:val="0"/>
      <w:marRight w:val="0"/>
      <w:marTop w:val="0"/>
      <w:marBottom w:val="0"/>
      <w:divBdr>
        <w:top w:val="none" w:sz="0" w:space="0" w:color="auto"/>
        <w:left w:val="none" w:sz="0" w:space="0" w:color="auto"/>
        <w:bottom w:val="none" w:sz="0" w:space="0" w:color="auto"/>
        <w:right w:val="none" w:sz="0" w:space="0" w:color="auto"/>
      </w:divBdr>
    </w:div>
    <w:div w:id="1857763754">
      <w:marLeft w:val="0"/>
      <w:marRight w:val="0"/>
      <w:marTop w:val="0"/>
      <w:marBottom w:val="0"/>
      <w:divBdr>
        <w:top w:val="none" w:sz="0" w:space="0" w:color="auto"/>
        <w:left w:val="none" w:sz="0" w:space="0" w:color="auto"/>
        <w:bottom w:val="none" w:sz="0" w:space="0" w:color="auto"/>
        <w:right w:val="none" w:sz="0" w:space="0" w:color="auto"/>
      </w:divBdr>
    </w:div>
    <w:div w:id="1857763755">
      <w:marLeft w:val="0"/>
      <w:marRight w:val="0"/>
      <w:marTop w:val="0"/>
      <w:marBottom w:val="0"/>
      <w:divBdr>
        <w:top w:val="none" w:sz="0" w:space="0" w:color="auto"/>
        <w:left w:val="none" w:sz="0" w:space="0" w:color="auto"/>
        <w:bottom w:val="none" w:sz="0" w:space="0" w:color="auto"/>
        <w:right w:val="none" w:sz="0" w:space="0" w:color="auto"/>
      </w:divBdr>
    </w:div>
    <w:div w:id="1857763756">
      <w:marLeft w:val="0"/>
      <w:marRight w:val="0"/>
      <w:marTop w:val="0"/>
      <w:marBottom w:val="0"/>
      <w:divBdr>
        <w:top w:val="none" w:sz="0" w:space="0" w:color="auto"/>
        <w:left w:val="none" w:sz="0" w:space="0" w:color="auto"/>
        <w:bottom w:val="none" w:sz="0" w:space="0" w:color="auto"/>
        <w:right w:val="none" w:sz="0" w:space="0" w:color="auto"/>
      </w:divBdr>
    </w:div>
    <w:div w:id="1857763757">
      <w:marLeft w:val="0"/>
      <w:marRight w:val="0"/>
      <w:marTop w:val="0"/>
      <w:marBottom w:val="0"/>
      <w:divBdr>
        <w:top w:val="none" w:sz="0" w:space="0" w:color="auto"/>
        <w:left w:val="none" w:sz="0" w:space="0" w:color="auto"/>
        <w:bottom w:val="none" w:sz="0" w:space="0" w:color="auto"/>
        <w:right w:val="none" w:sz="0" w:space="0" w:color="auto"/>
      </w:divBdr>
    </w:div>
    <w:div w:id="1857763758">
      <w:marLeft w:val="0"/>
      <w:marRight w:val="0"/>
      <w:marTop w:val="0"/>
      <w:marBottom w:val="0"/>
      <w:divBdr>
        <w:top w:val="none" w:sz="0" w:space="0" w:color="auto"/>
        <w:left w:val="none" w:sz="0" w:space="0" w:color="auto"/>
        <w:bottom w:val="none" w:sz="0" w:space="0" w:color="auto"/>
        <w:right w:val="none" w:sz="0" w:space="0" w:color="auto"/>
      </w:divBdr>
    </w:div>
    <w:div w:id="1857763759">
      <w:marLeft w:val="0"/>
      <w:marRight w:val="0"/>
      <w:marTop w:val="0"/>
      <w:marBottom w:val="0"/>
      <w:divBdr>
        <w:top w:val="none" w:sz="0" w:space="0" w:color="auto"/>
        <w:left w:val="none" w:sz="0" w:space="0" w:color="auto"/>
        <w:bottom w:val="none" w:sz="0" w:space="0" w:color="auto"/>
        <w:right w:val="none" w:sz="0" w:space="0" w:color="auto"/>
      </w:divBdr>
    </w:div>
    <w:div w:id="1857763760">
      <w:marLeft w:val="0"/>
      <w:marRight w:val="0"/>
      <w:marTop w:val="0"/>
      <w:marBottom w:val="0"/>
      <w:divBdr>
        <w:top w:val="none" w:sz="0" w:space="0" w:color="auto"/>
        <w:left w:val="none" w:sz="0" w:space="0" w:color="auto"/>
        <w:bottom w:val="none" w:sz="0" w:space="0" w:color="auto"/>
        <w:right w:val="none" w:sz="0" w:space="0" w:color="auto"/>
      </w:divBdr>
    </w:div>
    <w:div w:id="1857763761">
      <w:marLeft w:val="0"/>
      <w:marRight w:val="0"/>
      <w:marTop w:val="0"/>
      <w:marBottom w:val="0"/>
      <w:divBdr>
        <w:top w:val="none" w:sz="0" w:space="0" w:color="auto"/>
        <w:left w:val="none" w:sz="0" w:space="0" w:color="auto"/>
        <w:bottom w:val="none" w:sz="0" w:space="0" w:color="auto"/>
        <w:right w:val="none" w:sz="0" w:space="0" w:color="auto"/>
      </w:divBdr>
    </w:div>
    <w:div w:id="1857763762">
      <w:marLeft w:val="0"/>
      <w:marRight w:val="0"/>
      <w:marTop w:val="0"/>
      <w:marBottom w:val="0"/>
      <w:divBdr>
        <w:top w:val="none" w:sz="0" w:space="0" w:color="auto"/>
        <w:left w:val="none" w:sz="0" w:space="0" w:color="auto"/>
        <w:bottom w:val="none" w:sz="0" w:space="0" w:color="auto"/>
        <w:right w:val="none" w:sz="0" w:space="0" w:color="auto"/>
      </w:divBdr>
    </w:div>
    <w:div w:id="185776376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F87B6-F970-452F-8D14-1C5F83B75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1159</Words>
  <Characters>7974</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Fusková Zdeňka</dc:creator>
  <cp:keywords/>
  <dc:description/>
  <cp:lastModifiedBy>Fusková Zdeňka Ing.</cp:lastModifiedBy>
  <cp:revision>2</cp:revision>
  <cp:lastPrinted>2021-01-25T15:08:00Z</cp:lastPrinted>
  <dcterms:created xsi:type="dcterms:W3CDTF">2021-02-10T06:47:00Z</dcterms:created>
  <dcterms:modified xsi:type="dcterms:W3CDTF">2021-02-10T06:47:00Z</dcterms:modified>
</cp:coreProperties>
</file>