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22" w:rsidRDefault="00363222"/>
    <w:p w:rsidR="00363222" w:rsidRDefault="00363222">
      <w:pPr>
        <w:jc w:val="center"/>
        <w:rPr>
          <w:rFonts w:cs="Tahoma"/>
          <w:b/>
          <w:bCs/>
          <w:kern w:val="1"/>
          <w:sz w:val="32"/>
          <w:szCs w:val="32"/>
        </w:rPr>
      </w:pPr>
      <w:r>
        <w:rPr>
          <w:rFonts w:cs="Tahoma"/>
          <w:b/>
          <w:bCs/>
          <w:kern w:val="1"/>
          <w:sz w:val="32"/>
          <w:szCs w:val="32"/>
        </w:rPr>
        <w:t xml:space="preserve">Dodatek </w:t>
      </w:r>
      <w:r w:rsidR="00ED324F">
        <w:rPr>
          <w:rFonts w:cs="Tahoma"/>
          <w:b/>
          <w:bCs/>
          <w:kern w:val="1"/>
          <w:sz w:val="32"/>
          <w:szCs w:val="32"/>
        </w:rPr>
        <w:t xml:space="preserve">č. </w:t>
      </w:r>
      <w:proofErr w:type="gramStart"/>
      <w:r w:rsidR="00B4502F">
        <w:rPr>
          <w:rFonts w:cs="Tahoma"/>
          <w:b/>
          <w:bCs/>
          <w:kern w:val="1"/>
          <w:sz w:val="32"/>
          <w:szCs w:val="32"/>
        </w:rPr>
        <w:t>1</w:t>
      </w:r>
      <w:r w:rsidR="000D7665">
        <w:rPr>
          <w:rFonts w:cs="Tahoma"/>
          <w:b/>
          <w:bCs/>
          <w:kern w:val="1"/>
          <w:sz w:val="32"/>
          <w:szCs w:val="32"/>
        </w:rPr>
        <w:t>3</w:t>
      </w:r>
      <w:r w:rsidR="00ED324F">
        <w:rPr>
          <w:rFonts w:cs="Tahoma"/>
          <w:b/>
          <w:bCs/>
          <w:kern w:val="1"/>
          <w:sz w:val="32"/>
          <w:szCs w:val="32"/>
        </w:rPr>
        <w:t xml:space="preserve"> </w:t>
      </w:r>
      <w:r w:rsidR="00944149">
        <w:rPr>
          <w:rFonts w:cs="Tahoma"/>
          <w:b/>
          <w:bCs/>
          <w:kern w:val="1"/>
          <w:sz w:val="32"/>
          <w:szCs w:val="32"/>
        </w:rPr>
        <w:t xml:space="preserve"> </w:t>
      </w:r>
      <w:r>
        <w:rPr>
          <w:rFonts w:cs="Tahoma"/>
          <w:b/>
          <w:bCs/>
          <w:kern w:val="1"/>
          <w:sz w:val="32"/>
          <w:szCs w:val="32"/>
        </w:rPr>
        <w:t>ke</w:t>
      </w:r>
      <w:proofErr w:type="gramEnd"/>
      <w:r>
        <w:rPr>
          <w:rFonts w:cs="Tahoma"/>
          <w:b/>
          <w:bCs/>
          <w:kern w:val="1"/>
          <w:sz w:val="32"/>
          <w:szCs w:val="32"/>
        </w:rPr>
        <w:t xml:space="preserve"> smlouvě o nájmu nebytových prostor </w:t>
      </w:r>
    </w:p>
    <w:p w:rsidR="00273A13" w:rsidRDefault="00273A13">
      <w:pPr>
        <w:jc w:val="center"/>
        <w:rPr>
          <w:rFonts w:cs="Tahoma"/>
          <w:b/>
          <w:bCs/>
          <w:kern w:val="1"/>
          <w:sz w:val="32"/>
          <w:szCs w:val="32"/>
        </w:rPr>
      </w:pPr>
    </w:p>
    <w:p w:rsidR="00363222" w:rsidRDefault="00363222"/>
    <w:p w:rsidR="00363222" w:rsidRDefault="00363222">
      <w:r>
        <w:t xml:space="preserve">Níže uvedeného dne, měsíce a roku uzavřeli </w:t>
      </w:r>
    </w:p>
    <w:p w:rsidR="00273A13" w:rsidRDefault="00273A13"/>
    <w:p w:rsidR="00363222" w:rsidRDefault="00363222"/>
    <w:p w:rsidR="00363222" w:rsidRPr="00FA1BBD" w:rsidRDefault="00363222">
      <w:r>
        <w:t xml:space="preserve">1. </w:t>
      </w:r>
      <w:r>
        <w:rPr>
          <w:b/>
          <w:bCs/>
        </w:rPr>
        <w:t>Dům sociální péče Kralovice, příspěvková organizace,</w:t>
      </w:r>
      <w:r>
        <w:t xml:space="preserve"> se sídlem Plzeňská 345, 331 41 Kralovice, IČ: 49748190, jednající ředitelem </w:t>
      </w:r>
      <w:r w:rsidR="00460412" w:rsidRPr="00FA1BBD">
        <w:rPr>
          <w:rFonts w:cs="Tahoma"/>
          <w:highlight w:val="black"/>
        </w:rPr>
        <w:t xml:space="preserve">Ing. Rudolfem </w:t>
      </w:r>
      <w:proofErr w:type="spellStart"/>
      <w:r w:rsidR="00460412" w:rsidRPr="00FA1BBD">
        <w:rPr>
          <w:rFonts w:cs="Tahoma"/>
          <w:highlight w:val="black"/>
        </w:rPr>
        <w:t>Salfickým</w:t>
      </w:r>
      <w:proofErr w:type="spellEnd"/>
    </w:p>
    <w:p w:rsidR="00363222" w:rsidRDefault="00363222"/>
    <w:p w:rsidR="00363222" w:rsidRDefault="00363222">
      <w:pPr>
        <w:rPr>
          <w:b/>
          <w:bCs/>
        </w:rPr>
      </w:pPr>
      <w:r>
        <w:t xml:space="preserve">na straně jedné a dále jen jako </w:t>
      </w:r>
      <w:r>
        <w:rPr>
          <w:b/>
          <w:bCs/>
        </w:rPr>
        <w:t xml:space="preserve">pronajímatel </w:t>
      </w:r>
    </w:p>
    <w:p w:rsidR="00363222" w:rsidRDefault="00363222"/>
    <w:p w:rsidR="00363222" w:rsidRDefault="00363222">
      <w:r>
        <w:t>a</w:t>
      </w:r>
    </w:p>
    <w:p w:rsidR="00363222" w:rsidRDefault="00363222"/>
    <w:p w:rsidR="00363222" w:rsidRDefault="00363222"/>
    <w:p w:rsidR="00DF47C6" w:rsidRPr="00FA1BBD" w:rsidRDefault="00944149" w:rsidP="00DF47C6">
      <w:r>
        <w:rPr>
          <w:b/>
          <w:bCs/>
        </w:rPr>
        <w:t>2</w:t>
      </w:r>
      <w:r w:rsidR="00DF47C6">
        <w:rPr>
          <w:b/>
          <w:bCs/>
        </w:rPr>
        <w:t xml:space="preserve">.  </w:t>
      </w:r>
      <w:r w:rsidR="00DF47C6" w:rsidRPr="00621EFC">
        <w:rPr>
          <w:b/>
        </w:rPr>
        <w:t>Odborné zdravotnické zařízení s.r.o.</w:t>
      </w:r>
      <w:r w:rsidR="00DF47C6" w:rsidRPr="00621EFC">
        <w:t>,</w:t>
      </w:r>
      <w:r w:rsidR="00DF47C6">
        <w:rPr>
          <w:b/>
          <w:bCs/>
        </w:rPr>
        <w:t xml:space="preserve"> </w:t>
      </w:r>
      <w:r w:rsidR="00DF47C6">
        <w:t xml:space="preserve">IČ 03998878, </w:t>
      </w:r>
      <w:proofErr w:type="spellStart"/>
      <w:r w:rsidR="00DF47C6">
        <w:t>Guldenerova</w:t>
      </w:r>
      <w:proofErr w:type="spellEnd"/>
      <w:r w:rsidR="00DF47C6">
        <w:t xml:space="preserve"> 547/ 4, 326 00 Plzeň,</w:t>
      </w:r>
      <w:r w:rsidR="00DF47C6" w:rsidRPr="00C976EA">
        <w:rPr>
          <w:rFonts w:cs="Tahoma"/>
        </w:rPr>
        <w:t xml:space="preserve"> </w:t>
      </w:r>
      <w:r w:rsidR="00DF47C6">
        <w:rPr>
          <w:rFonts w:cs="Tahoma"/>
        </w:rPr>
        <w:t xml:space="preserve">jednatel </w:t>
      </w:r>
      <w:r w:rsidR="00A84D24" w:rsidRPr="00FA1BBD">
        <w:rPr>
          <w:rFonts w:cs="Tahoma"/>
          <w:highlight w:val="black"/>
        </w:rPr>
        <w:t>Lukáš Anton</w:t>
      </w:r>
    </w:p>
    <w:p w:rsidR="00DF47C6" w:rsidRDefault="00DF47C6" w:rsidP="00DF47C6"/>
    <w:p w:rsidR="00DF47C6" w:rsidRDefault="00DF47C6" w:rsidP="00DF47C6"/>
    <w:p w:rsidR="00363222" w:rsidRDefault="00363222">
      <w:pPr>
        <w:rPr>
          <w:b/>
          <w:bCs/>
        </w:rPr>
      </w:pPr>
      <w:r>
        <w:t xml:space="preserve">na straně druhé a dále jen jako </w:t>
      </w:r>
      <w:r>
        <w:rPr>
          <w:b/>
          <w:bCs/>
        </w:rPr>
        <w:t xml:space="preserve">nájemce </w:t>
      </w:r>
    </w:p>
    <w:p w:rsidR="00363222" w:rsidRDefault="00363222"/>
    <w:p w:rsidR="00363222" w:rsidRDefault="00363222"/>
    <w:p w:rsidR="00DE6122" w:rsidRDefault="00DE6122" w:rsidP="00DE6122">
      <w:r>
        <w:t xml:space="preserve">tento </w:t>
      </w:r>
    </w:p>
    <w:p w:rsidR="00363222" w:rsidRDefault="00363222">
      <w:pPr>
        <w:jc w:val="center"/>
        <w:rPr>
          <w:rFonts w:cs="Tahoma"/>
          <w:b/>
          <w:bCs/>
          <w:kern w:val="1"/>
          <w:sz w:val="32"/>
          <w:szCs w:val="32"/>
        </w:rPr>
      </w:pPr>
      <w:r>
        <w:rPr>
          <w:rFonts w:cs="Tahoma"/>
          <w:b/>
          <w:bCs/>
          <w:kern w:val="1"/>
          <w:sz w:val="32"/>
          <w:szCs w:val="32"/>
        </w:rPr>
        <w:t xml:space="preserve">Dodatek </w:t>
      </w:r>
      <w:r w:rsidR="00ED324F">
        <w:rPr>
          <w:rFonts w:cs="Tahoma"/>
          <w:b/>
          <w:bCs/>
          <w:kern w:val="1"/>
          <w:sz w:val="32"/>
          <w:szCs w:val="32"/>
        </w:rPr>
        <w:t xml:space="preserve">č. </w:t>
      </w:r>
      <w:proofErr w:type="gramStart"/>
      <w:r w:rsidR="00B104DA">
        <w:rPr>
          <w:rFonts w:cs="Tahoma"/>
          <w:b/>
          <w:bCs/>
          <w:kern w:val="1"/>
          <w:sz w:val="32"/>
          <w:szCs w:val="32"/>
        </w:rPr>
        <w:t>1</w:t>
      </w:r>
      <w:r w:rsidR="0008438E">
        <w:rPr>
          <w:rFonts w:cs="Tahoma"/>
          <w:b/>
          <w:bCs/>
          <w:kern w:val="1"/>
          <w:sz w:val="32"/>
          <w:szCs w:val="32"/>
        </w:rPr>
        <w:t>3</w:t>
      </w:r>
      <w:r w:rsidR="00ED324F">
        <w:rPr>
          <w:rFonts w:cs="Tahoma"/>
          <w:b/>
          <w:bCs/>
          <w:kern w:val="1"/>
          <w:sz w:val="32"/>
          <w:szCs w:val="32"/>
        </w:rPr>
        <w:t xml:space="preserve">  </w:t>
      </w:r>
      <w:r>
        <w:rPr>
          <w:rFonts w:cs="Tahoma"/>
          <w:b/>
          <w:bCs/>
          <w:kern w:val="1"/>
          <w:sz w:val="32"/>
          <w:szCs w:val="32"/>
        </w:rPr>
        <w:t>ke</w:t>
      </w:r>
      <w:proofErr w:type="gramEnd"/>
      <w:r>
        <w:rPr>
          <w:rFonts w:cs="Tahoma"/>
          <w:b/>
          <w:bCs/>
          <w:kern w:val="1"/>
          <w:sz w:val="32"/>
          <w:szCs w:val="32"/>
        </w:rPr>
        <w:t xml:space="preserve"> smlouvě o nájmu nebytových prostor </w:t>
      </w:r>
    </w:p>
    <w:p w:rsidR="00363222" w:rsidRDefault="00363222"/>
    <w:p w:rsidR="00363222" w:rsidRDefault="00363222">
      <w:pPr>
        <w:spacing w:after="113"/>
        <w:ind w:firstLine="567"/>
        <w:jc w:val="center"/>
        <w:rPr>
          <w:rFonts w:cs="Tahoma"/>
          <w:b/>
          <w:bCs/>
          <w:kern w:val="1"/>
        </w:rPr>
      </w:pPr>
      <w:r>
        <w:rPr>
          <w:rFonts w:cs="Tahoma"/>
          <w:b/>
          <w:bCs/>
          <w:kern w:val="1"/>
        </w:rPr>
        <w:t>I.</w:t>
      </w:r>
    </w:p>
    <w:p w:rsidR="00363222" w:rsidRDefault="00363222">
      <w:pPr>
        <w:spacing w:after="113"/>
        <w:ind w:firstLine="567"/>
        <w:rPr>
          <w:rFonts w:cs="Tahoma"/>
          <w:kern w:val="1"/>
        </w:rPr>
      </w:pPr>
    </w:p>
    <w:p w:rsidR="00846AE6" w:rsidRPr="00846AE6" w:rsidRDefault="00363222" w:rsidP="00846AE6">
      <w:pPr>
        <w:spacing w:after="113"/>
        <w:ind w:firstLine="567"/>
        <w:jc w:val="both"/>
        <w:rPr>
          <w:rFonts w:cs="Tahoma"/>
          <w:kern w:val="1"/>
        </w:rPr>
      </w:pPr>
      <w:r>
        <w:rPr>
          <w:rFonts w:cs="Tahoma"/>
          <w:kern w:val="1"/>
        </w:rPr>
        <w:t>Smluvní strany shodně prohlašu</w:t>
      </w:r>
      <w:r w:rsidR="00831B37">
        <w:rPr>
          <w:rFonts w:cs="Tahoma"/>
          <w:kern w:val="1"/>
        </w:rPr>
        <w:t>jí, že dne 31.</w:t>
      </w:r>
      <w:r w:rsidR="00930A39">
        <w:rPr>
          <w:rFonts w:cs="Tahoma"/>
          <w:kern w:val="1"/>
        </w:rPr>
        <w:t xml:space="preserve"> </w:t>
      </w:r>
      <w:r w:rsidR="00831B37">
        <w:rPr>
          <w:rFonts w:cs="Tahoma"/>
          <w:kern w:val="1"/>
        </w:rPr>
        <w:t>12.</w:t>
      </w:r>
      <w:r w:rsidR="00930A39">
        <w:rPr>
          <w:rFonts w:cs="Tahoma"/>
          <w:kern w:val="1"/>
        </w:rPr>
        <w:t xml:space="preserve"> </w:t>
      </w:r>
      <w:r w:rsidR="00831B37">
        <w:rPr>
          <w:rFonts w:cs="Tahoma"/>
          <w:kern w:val="1"/>
        </w:rPr>
        <w:t>2004 uzavřely S</w:t>
      </w:r>
      <w:r>
        <w:rPr>
          <w:rFonts w:cs="Tahoma"/>
          <w:kern w:val="1"/>
        </w:rPr>
        <w:t>mlouvu o nájmu nebytových prostor (pronajímatel pod tehdejším názvem Ústav sociální péče Kralovice – pro dospělé občany tělesně postižené, příspěvková organizace)</w:t>
      </w:r>
      <w:r w:rsidR="00944149">
        <w:rPr>
          <w:rFonts w:cs="Tahoma"/>
          <w:kern w:val="1"/>
        </w:rPr>
        <w:t xml:space="preserve"> ve znění dodatk</w:t>
      </w:r>
      <w:r w:rsidR="00E51414">
        <w:rPr>
          <w:rFonts w:cs="Tahoma"/>
          <w:kern w:val="1"/>
        </w:rPr>
        <w:t>ů</w:t>
      </w:r>
      <w:r w:rsidR="00944149">
        <w:rPr>
          <w:rFonts w:cs="Tahoma"/>
          <w:kern w:val="1"/>
        </w:rPr>
        <w:t xml:space="preserve"> ze dne</w:t>
      </w:r>
      <w:r w:rsidR="00E51414">
        <w:rPr>
          <w:rFonts w:cs="Tahoma"/>
          <w:kern w:val="1"/>
        </w:rPr>
        <w:t>: 23.</w:t>
      </w:r>
      <w:r w:rsidR="00930A39">
        <w:rPr>
          <w:rFonts w:cs="Tahoma"/>
          <w:kern w:val="1"/>
        </w:rPr>
        <w:t xml:space="preserve"> </w:t>
      </w:r>
      <w:r w:rsidR="00E51414">
        <w:rPr>
          <w:rFonts w:cs="Tahoma"/>
          <w:kern w:val="1"/>
        </w:rPr>
        <w:t>2.</w:t>
      </w:r>
      <w:r w:rsidR="00930A39">
        <w:rPr>
          <w:rFonts w:cs="Tahoma"/>
          <w:kern w:val="1"/>
        </w:rPr>
        <w:t xml:space="preserve"> </w:t>
      </w:r>
      <w:r w:rsidR="00E51414">
        <w:rPr>
          <w:rFonts w:cs="Tahoma"/>
          <w:kern w:val="1"/>
        </w:rPr>
        <w:t>2007, 18.</w:t>
      </w:r>
      <w:r w:rsidR="00930A39">
        <w:rPr>
          <w:rFonts w:cs="Tahoma"/>
          <w:kern w:val="1"/>
        </w:rPr>
        <w:t xml:space="preserve"> </w:t>
      </w:r>
      <w:r w:rsidR="00E51414">
        <w:rPr>
          <w:rFonts w:cs="Tahoma"/>
          <w:kern w:val="1"/>
        </w:rPr>
        <w:t>8.</w:t>
      </w:r>
      <w:r w:rsidR="00930A39">
        <w:rPr>
          <w:rFonts w:cs="Tahoma"/>
          <w:kern w:val="1"/>
        </w:rPr>
        <w:t xml:space="preserve"> </w:t>
      </w:r>
      <w:r w:rsidR="00E51414">
        <w:rPr>
          <w:rFonts w:cs="Tahoma"/>
          <w:kern w:val="1"/>
        </w:rPr>
        <w:t>2008</w:t>
      </w:r>
      <w:r w:rsidR="005F45C8">
        <w:rPr>
          <w:rFonts w:cs="Tahoma"/>
          <w:kern w:val="1"/>
        </w:rPr>
        <w:t>, 18.</w:t>
      </w:r>
      <w:r w:rsidR="00930A39">
        <w:rPr>
          <w:rFonts w:cs="Tahoma"/>
          <w:kern w:val="1"/>
        </w:rPr>
        <w:t xml:space="preserve"> </w:t>
      </w:r>
      <w:r w:rsidR="005F45C8">
        <w:rPr>
          <w:rFonts w:cs="Tahoma"/>
          <w:kern w:val="1"/>
        </w:rPr>
        <w:t>9.</w:t>
      </w:r>
      <w:r w:rsidR="00930A39">
        <w:rPr>
          <w:rFonts w:cs="Tahoma"/>
          <w:kern w:val="1"/>
        </w:rPr>
        <w:t xml:space="preserve"> </w:t>
      </w:r>
      <w:r w:rsidR="005F45C8">
        <w:rPr>
          <w:rFonts w:cs="Tahoma"/>
          <w:kern w:val="1"/>
        </w:rPr>
        <w:t xml:space="preserve">2008, </w:t>
      </w:r>
      <w:r w:rsidR="00E51414">
        <w:rPr>
          <w:rFonts w:cs="Tahoma"/>
          <w:kern w:val="1"/>
        </w:rPr>
        <w:t>14.</w:t>
      </w:r>
      <w:r w:rsidR="00930A39">
        <w:rPr>
          <w:rFonts w:cs="Tahoma"/>
          <w:kern w:val="1"/>
        </w:rPr>
        <w:t xml:space="preserve"> </w:t>
      </w:r>
      <w:r w:rsidR="00E51414">
        <w:rPr>
          <w:rFonts w:cs="Tahoma"/>
          <w:kern w:val="1"/>
        </w:rPr>
        <w:t>11.</w:t>
      </w:r>
      <w:r w:rsidR="00930A39">
        <w:rPr>
          <w:rFonts w:cs="Tahoma"/>
          <w:kern w:val="1"/>
        </w:rPr>
        <w:t xml:space="preserve"> </w:t>
      </w:r>
      <w:r w:rsidR="00E51414">
        <w:rPr>
          <w:rFonts w:cs="Tahoma"/>
          <w:kern w:val="1"/>
        </w:rPr>
        <w:t>2008</w:t>
      </w:r>
      <w:r w:rsidR="00383983">
        <w:rPr>
          <w:rFonts w:cs="Tahoma"/>
          <w:kern w:val="1"/>
        </w:rPr>
        <w:t>,</w:t>
      </w:r>
      <w:r w:rsidR="005F45C8">
        <w:rPr>
          <w:rFonts w:cs="Tahoma"/>
          <w:kern w:val="1"/>
        </w:rPr>
        <w:t xml:space="preserve"> 12.</w:t>
      </w:r>
      <w:r w:rsidR="00930A39">
        <w:rPr>
          <w:rFonts w:cs="Tahoma"/>
          <w:kern w:val="1"/>
        </w:rPr>
        <w:t xml:space="preserve"> </w:t>
      </w:r>
      <w:r w:rsidR="005F45C8">
        <w:rPr>
          <w:rFonts w:cs="Tahoma"/>
          <w:kern w:val="1"/>
        </w:rPr>
        <w:t>5.</w:t>
      </w:r>
      <w:r w:rsidR="00930A39">
        <w:rPr>
          <w:rFonts w:cs="Tahoma"/>
          <w:kern w:val="1"/>
        </w:rPr>
        <w:t xml:space="preserve"> </w:t>
      </w:r>
      <w:r w:rsidR="005F45C8">
        <w:rPr>
          <w:rFonts w:cs="Tahoma"/>
          <w:kern w:val="1"/>
        </w:rPr>
        <w:t>2010</w:t>
      </w:r>
      <w:r w:rsidR="00DF47C6">
        <w:rPr>
          <w:rFonts w:cs="Tahoma"/>
          <w:kern w:val="1"/>
        </w:rPr>
        <w:t>,</w:t>
      </w:r>
      <w:r w:rsidR="00383983">
        <w:rPr>
          <w:rFonts w:cs="Tahoma"/>
          <w:kern w:val="1"/>
        </w:rPr>
        <w:t xml:space="preserve"> </w:t>
      </w:r>
      <w:r w:rsidR="0085295F">
        <w:rPr>
          <w:rFonts w:cs="Tahoma"/>
          <w:kern w:val="1"/>
        </w:rPr>
        <w:t xml:space="preserve"> </w:t>
      </w:r>
      <w:r w:rsidR="00B33CE7">
        <w:rPr>
          <w:rFonts w:cs="Tahoma"/>
          <w:kern w:val="1"/>
        </w:rPr>
        <w:t>3.</w:t>
      </w:r>
      <w:r w:rsidR="00930A39">
        <w:rPr>
          <w:rFonts w:cs="Tahoma"/>
          <w:kern w:val="1"/>
        </w:rPr>
        <w:t xml:space="preserve"> </w:t>
      </w:r>
      <w:r w:rsidR="00B33CE7">
        <w:rPr>
          <w:rFonts w:cs="Tahoma"/>
          <w:kern w:val="1"/>
        </w:rPr>
        <w:t>6.</w:t>
      </w:r>
      <w:r w:rsidR="00930A39">
        <w:rPr>
          <w:rFonts w:cs="Tahoma"/>
          <w:kern w:val="1"/>
        </w:rPr>
        <w:t xml:space="preserve"> </w:t>
      </w:r>
      <w:r w:rsidR="00B33CE7">
        <w:rPr>
          <w:rFonts w:cs="Tahoma"/>
          <w:kern w:val="1"/>
        </w:rPr>
        <w:t>2013,</w:t>
      </w:r>
      <w:r w:rsidR="00DF47C6">
        <w:rPr>
          <w:rFonts w:cs="Tahoma"/>
          <w:kern w:val="1"/>
        </w:rPr>
        <w:t xml:space="preserve"> 8.</w:t>
      </w:r>
      <w:r w:rsidR="00930A39">
        <w:rPr>
          <w:rFonts w:cs="Tahoma"/>
          <w:kern w:val="1"/>
        </w:rPr>
        <w:t xml:space="preserve"> 7. </w:t>
      </w:r>
      <w:r w:rsidR="00DF47C6">
        <w:rPr>
          <w:rFonts w:cs="Tahoma"/>
          <w:kern w:val="1"/>
        </w:rPr>
        <w:t>2015</w:t>
      </w:r>
      <w:r w:rsidR="00634659">
        <w:rPr>
          <w:rFonts w:cs="Tahoma"/>
          <w:kern w:val="1"/>
        </w:rPr>
        <w:t>,</w:t>
      </w:r>
      <w:r w:rsidR="00B33CE7">
        <w:rPr>
          <w:rFonts w:cs="Tahoma"/>
          <w:kern w:val="1"/>
        </w:rPr>
        <w:t xml:space="preserve"> 24.</w:t>
      </w:r>
      <w:r w:rsidR="00930A39">
        <w:rPr>
          <w:rFonts w:cs="Tahoma"/>
          <w:kern w:val="1"/>
        </w:rPr>
        <w:t xml:space="preserve"> </w:t>
      </w:r>
      <w:r w:rsidR="00B33CE7">
        <w:rPr>
          <w:rFonts w:cs="Tahoma"/>
          <w:kern w:val="1"/>
        </w:rPr>
        <w:t>1.</w:t>
      </w:r>
      <w:r w:rsidR="00930A39">
        <w:rPr>
          <w:rFonts w:cs="Tahoma"/>
          <w:kern w:val="1"/>
        </w:rPr>
        <w:t xml:space="preserve"> </w:t>
      </w:r>
      <w:r w:rsidR="00B33CE7">
        <w:rPr>
          <w:rFonts w:cs="Tahoma"/>
          <w:kern w:val="1"/>
        </w:rPr>
        <w:t>2018</w:t>
      </w:r>
      <w:r w:rsidR="00B104DA">
        <w:rPr>
          <w:rFonts w:cs="Tahoma"/>
          <w:kern w:val="1"/>
        </w:rPr>
        <w:t>,</w:t>
      </w:r>
      <w:r w:rsidR="00634659">
        <w:rPr>
          <w:rFonts w:cs="Tahoma"/>
          <w:kern w:val="1"/>
        </w:rPr>
        <w:t xml:space="preserve"> 18.</w:t>
      </w:r>
      <w:r w:rsidR="00930A39">
        <w:rPr>
          <w:rFonts w:cs="Tahoma"/>
          <w:kern w:val="1"/>
        </w:rPr>
        <w:t xml:space="preserve"> </w:t>
      </w:r>
      <w:r w:rsidR="00634659">
        <w:rPr>
          <w:rFonts w:cs="Tahoma"/>
          <w:kern w:val="1"/>
        </w:rPr>
        <w:t>5.</w:t>
      </w:r>
      <w:r w:rsidR="00930A39">
        <w:rPr>
          <w:rFonts w:cs="Tahoma"/>
          <w:kern w:val="1"/>
        </w:rPr>
        <w:t xml:space="preserve"> </w:t>
      </w:r>
      <w:r w:rsidR="00634659">
        <w:rPr>
          <w:rFonts w:cs="Tahoma"/>
          <w:kern w:val="1"/>
        </w:rPr>
        <w:t>2018</w:t>
      </w:r>
      <w:r w:rsidR="00460412">
        <w:rPr>
          <w:rFonts w:cs="Tahoma"/>
          <w:kern w:val="1"/>
        </w:rPr>
        <w:t>,</w:t>
      </w:r>
      <w:r w:rsidR="00B104DA">
        <w:rPr>
          <w:rFonts w:cs="Tahoma"/>
          <w:kern w:val="1"/>
        </w:rPr>
        <w:t xml:space="preserve"> 8.</w:t>
      </w:r>
      <w:r w:rsidR="00591911">
        <w:rPr>
          <w:rFonts w:cs="Tahoma"/>
          <w:kern w:val="1"/>
        </w:rPr>
        <w:t xml:space="preserve"> </w:t>
      </w:r>
      <w:r w:rsidR="00B104DA">
        <w:rPr>
          <w:rFonts w:cs="Tahoma"/>
          <w:kern w:val="1"/>
        </w:rPr>
        <w:t>10. 2018</w:t>
      </w:r>
      <w:r w:rsidR="00460412">
        <w:rPr>
          <w:rFonts w:cs="Tahoma"/>
          <w:kern w:val="1"/>
        </w:rPr>
        <w:t xml:space="preserve"> </w:t>
      </w:r>
      <w:r w:rsidR="00345BA1">
        <w:rPr>
          <w:rFonts w:cs="Tahoma"/>
          <w:kern w:val="1"/>
        </w:rPr>
        <w:t xml:space="preserve">                      </w:t>
      </w:r>
      <w:r w:rsidR="00460412">
        <w:rPr>
          <w:rFonts w:cs="Tahoma"/>
          <w:kern w:val="1"/>
        </w:rPr>
        <w:t>19.11. 2019</w:t>
      </w:r>
      <w:r w:rsidR="0008438E">
        <w:rPr>
          <w:rFonts w:cs="Tahoma"/>
          <w:kern w:val="1"/>
        </w:rPr>
        <w:t xml:space="preserve">, </w:t>
      </w:r>
      <w:proofErr w:type="gramStart"/>
      <w:r w:rsidR="00076554">
        <w:rPr>
          <w:rFonts w:cs="Tahoma"/>
          <w:kern w:val="1"/>
        </w:rPr>
        <w:t>29.9.2020</w:t>
      </w:r>
      <w:proofErr w:type="gramEnd"/>
      <w:r w:rsidR="00076554">
        <w:rPr>
          <w:rFonts w:cs="Tahoma"/>
          <w:kern w:val="1"/>
        </w:rPr>
        <w:t xml:space="preserve"> </w:t>
      </w:r>
      <w:r w:rsidR="0008438E">
        <w:rPr>
          <w:rFonts w:cs="Tahoma"/>
          <w:kern w:val="1"/>
        </w:rPr>
        <w:t xml:space="preserve">a 20.1.2020 </w:t>
      </w:r>
      <w:r>
        <w:rPr>
          <w:rFonts w:cs="Tahoma"/>
          <w:kern w:val="1"/>
        </w:rPr>
        <w:t xml:space="preserve">na základě které přenechal pronajímatel nájemci </w:t>
      </w:r>
      <w:r w:rsidR="00846AE6">
        <w:rPr>
          <w:rFonts w:cs="Tahoma"/>
          <w:kern w:val="1"/>
        </w:rPr>
        <w:t xml:space="preserve">nebytové prostory </w:t>
      </w:r>
      <w:r w:rsidR="009B7AC1">
        <w:rPr>
          <w:rFonts w:cs="Tahoma"/>
          <w:kern w:val="1"/>
        </w:rPr>
        <w:t>v</w:t>
      </w:r>
      <w:r w:rsidR="00846AE6">
        <w:rPr>
          <w:rFonts w:cs="Tahoma"/>
          <w:kern w:val="1"/>
        </w:rPr>
        <w:t xml:space="preserve"> objektu pronajímatele, sestávající se z vlastního pracoviště o výměře 50,84 m2, ostatních prostor o výměře 23,6 m2 a </w:t>
      </w:r>
      <w:r w:rsidR="00846AE6" w:rsidRPr="00846AE6">
        <w:rPr>
          <w:rFonts w:cs="Tahoma"/>
          <w:kern w:val="1"/>
        </w:rPr>
        <w:t>prostoru sklepení pod budovou oddělení C o vým</w:t>
      </w:r>
      <w:r w:rsidR="00B104DA">
        <w:rPr>
          <w:rFonts w:cs="Tahoma"/>
          <w:kern w:val="1"/>
        </w:rPr>
        <w:t xml:space="preserve">ěře 3 m2. Jedná se o ordinaci </w:t>
      </w:r>
      <w:r w:rsidR="00846AE6" w:rsidRPr="00846AE6">
        <w:rPr>
          <w:rFonts w:cs="Tahoma"/>
          <w:kern w:val="1"/>
        </w:rPr>
        <w:t xml:space="preserve">v přízemí hlavní budovy vlevo, s právem užívání čekárny, sociálního zařízení </w:t>
      </w:r>
      <w:r w:rsidR="00B104DA">
        <w:rPr>
          <w:rFonts w:cs="Tahoma"/>
          <w:kern w:val="1"/>
        </w:rPr>
        <w:t>u čekárny ordinace</w:t>
      </w:r>
      <w:r w:rsidR="00846AE6" w:rsidRPr="00846AE6">
        <w:rPr>
          <w:rFonts w:cs="Tahoma"/>
          <w:kern w:val="1"/>
        </w:rPr>
        <w:t xml:space="preserve"> a místo ve sklepě pro umístění </w:t>
      </w:r>
      <w:proofErr w:type="gramStart"/>
      <w:r w:rsidR="00846AE6" w:rsidRPr="00846AE6">
        <w:rPr>
          <w:rFonts w:cs="Tahoma"/>
          <w:kern w:val="1"/>
        </w:rPr>
        <w:t>chladícího</w:t>
      </w:r>
      <w:proofErr w:type="gramEnd"/>
      <w:r w:rsidR="00846AE6" w:rsidRPr="00846AE6">
        <w:rPr>
          <w:rFonts w:cs="Tahoma"/>
          <w:kern w:val="1"/>
        </w:rPr>
        <w:t xml:space="preserve"> boxu k ukládání zdravotnického materiálu.</w:t>
      </w:r>
    </w:p>
    <w:p w:rsidR="00363222" w:rsidRDefault="00363222">
      <w:pPr>
        <w:spacing w:after="113"/>
        <w:ind w:firstLine="567"/>
        <w:jc w:val="both"/>
        <w:rPr>
          <w:rFonts w:cs="Tahoma"/>
          <w:kern w:val="1"/>
        </w:rPr>
      </w:pPr>
      <w:r>
        <w:rPr>
          <w:rFonts w:cs="Tahoma"/>
          <w:kern w:val="1"/>
        </w:rPr>
        <w:t xml:space="preserve"> Nájemce je oprávněn využívat pronajaté nebytové prostory k poskytování zdravotní péče – chirurgická ambulance. </w:t>
      </w:r>
    </w:p>
    <w:p w:rsidR="00363222" w:rsidRDefault="00363222">
      <w:pPr>
        <w:spacing w:after="113"/>
        <w:ind w:firstLine="567"/>
        <w:jc w:val="center"/>
        <w:rPr>
          <w:rFonts w:cs="Tahoma"/>
          <w:b/>
          <w:bCs/>
          <w:kern w:val="1"/>
        </w:rPr>
      </w:pPr>
      <w:r>
        <w:rPr>
          <w:rFonts w:cs="Tahoma"/>
          <w:b/>
          <w:bCs/>
          <w:kern w:val="1"/>
        </w:rPr>
        <w:t xml:space="preserve">II. </w:t>
      </w:r>
    </w:p>
    <w:p w:rsidR="00CC5A9F" w:rsidRDefault="00CC5A9F" w:rsidP="00CC5A9F">
      <w:pPr>
        <w:rPr>
          <w:rFonts w:cs="Tahoma"/>
          <w:kern w:val="1"/>
        </w:rPr>
      </w:pPr>
    </w:p>
    <w:p w:rsidR="00E634ED" w:rsidRDefault="0023378E" w:rsidP="00E634ED">
      <w:pPr>
        <w:spacing w:after="113"/>
        <w:ind w:firstLine="567"/>
        <w:jc w:val="both"/>
        <w:rPr>
          <w:rFonts w:cs="Tahoma"/>
          <w:kern w:val="1"/>
        </w:rPr>
      </w:pPr>
      <w:r>
        <w:rPr>
          <w:rFonts w:cs="Tahoma"/>
          <w:kern w:val="1"/>
        </w:rPr>
        <w:t>Smluvní strany se dohodly, že tímto dodatkem</w:t>
      </w:r>
      <w:r w:rsidR="00494E3B">
        <w:rPr>
          <w:rFonts w:cs="Tahoma"/>
          <w:kern w:val="1"/>
        </w:rPr>
        <w:t xml:space="preserve"> se </w:t>
      </w:r>
      <w:r w:rsidR="0008438E">
        <w:rPr>
          <w:rFonts w:cs="Tahoma"/>
          <w:kern w:val="1"/>
        </w:rPr>
        <w:t xml:space="preserve">mění výpočet stanovení ceny za  nájem výměry uvedené ve smlouvě </w:t>
      </w:r>
      <w:r w:rsidR="009B7AC1">
        <w:rPr>
          <w:rFonts w:cs="Tahoma"/>
          <w:kern w:val="1"/>
        </w:rPr>
        <w:t>blíže specifikované v článku I. tohoto dodatku</w:t>
      </w:r>
      <w:r w:rsidR="0008438E">
        <w:rPr>
          <w:rFonts w:cs="Tahoma"/>
          <w:kern w:val="1"/>
        </w:rPr>
        <w:t>., z důvodu užívání prostor dvěma nájemci je stanovená cena nájmu</w:t>
      </w:r>
      <w:r w:rsidR="001011FA">
        <w:rPr>
          <w:rFonts w:cs="Tahoma"/>
          <w:kern w:val="1"/>
        </w:rPr>
        <w:t xml:space="preserve"> vlastního pracoviště 50,84 m2 a ostatní prostory o vý</w:t>
      </w:r>
      <w:r w:rsidR="000D7665">
        <w:rPr>
          <w:rFonts w:cs="Tahoma"/>
          <w:kern w:val="1"/>
        </w:rPr>
        <w:t xml:space="preserve">měře 23,6 m2 na jednu polovinu </w:t>
      </w:r>
      <w:r w:rsidR="0008438E">
        <w:rPr>
          <w:rFonts w:cs="Tahoma"/>
          <w:kern w:val="1"/>
        </w:rPr>
        <w:t xml:space="preserve">a </w:t>
      </w:r>
      <w:r w:rsidR="001011FA">
        <w:rPr>
          <w:rFonts w:cs="Tahoma"/>
          <w:kern w:val="1"/>
        </w:rPr>
        <w:t xml:space="preserve">vypočtené </w:t>
      </w:r>
      <w:r w:rsidR="0008438E">
        <w:rPr>
          <w:rFonts w:cs="Tahoma"/>
          <w:kern w:val="1"/>
        </w:rPr>
        <w:t>náklad</w:t>
      </w:r>
      <w:r w:rsidR="001011FA">
        <w:rPr>
          <w:rFonts w:cs="Tahoma"/>
          <w:kern w:val="1"/>
        </w:rPr>
        <w:t>y</w:t>
      </w:r>
      <w:r w:rsidR="0008438E">
        <w:rPr>
          <w:rFonts w:cs="Tahoma"/>
          <w:kern w:val="1"/>
        </w:rPr>
        <w:t xml:space="preserve"> </w:t>
      </w:r>
      <w:r w:rsidR="000D7665">
        <w:rPr>
          <w:rFonts w:cs="Tahoma"/>
          <w:kern w:val="1"/>
        </w:rPr>
        <w:t>za</w:t>
      </w:r>
      <w:r w:rsidR="0008438E">
        <w:rPr>
          <w:rFonts w:cs="Tahoma"/>
          <w:kern w:val="1"/>
        </w:rPr>
        <w:t xml:space="preserve"> energie</w:t>
      </w:r>
      <w:r w:rsidR="000D7665">
        <w:rPr>
          <w:rFonts w:cs="Tahoma"/>
          <w:kern w:val="1"/>
        </w:rPr>
        <w:t xml:space="preserve"> a vodu</w:t>
      </w:r>
      <w:r w:rsidR="0008438E">
        <w:rPr>
          <w:rFonts w:cs="Tahoma"/>
          <w:kern w:val="1"/>
        </w:rPr>
        <w:t xml:space="preserve"> </w:t>
      </w:r>
      <w:r w:rsidR="001011FA">
        <w:rPr>
          <w:rFonts w:cs="Tahoma"/>
          <w:kern w:val="1"/>
        </w:rPr>
        <w:t>budou faktu</w:t>
      </w:r>
      <w:r w:rsidR="000D7665">
        <w:rPr>
          <w:rFonts w:cs="Tahoma"/>
          <w:kern w:val="1"/>
        </w:rPr>
        <w:t>rovány  jako polovina z celkově vypočítané částky za</w:t>
      </w:r>
      <w:r w:rsidR="001011FA">
        <w:rPr>
          <w:rFonts w:cs="Tahoma"/>
          <w:kern w:val="1"/>
        </w:rPr>
        <w:t xml:space="preserve"> od</w:t>
      </w:r>
      <w:r w:rsidR="000D7665">
        <w:rPr>
          <w:rFonts w:cs="Tahoma"/>
          <w:kern w:val="1"/>
        </w:rPr>
        <w:t>běr spojený s užíváním</w:t>
      </w:r>
      <w:r w:rsidR="001011FA">
        <w:rPr>
          <w:rFonts w:cs="Tahoma"/>
          <w:kern w:val="1"/>
        </w:rPr>
        <w:t xml:space="preserve"> nebytovými prostory a ostatní služby mají stanovenou novou paušální částku</w:t>
      </w:r>
      <w:r w:rsidR="0008438E">
        <w:rPr>
          <w:rFonts w:cs="Tahoma"/>
          <w:kern w:val="1"/>
        </w:rPr>
        <w:t>, tímto se mění</w:t>
      </w:r>
      <w:r w:rsidR="0022641B">
        <w:rPr>
          <w:rFonts w:cs="Tahoma"/>
          <w:kern w:val="1"/>
        </w:rPr>
        <w:t xml:space="preserve"> </w:t>
      </w:r>
      <w:r w:rsidR="00E634ED">
        <w:rPr>
          <w:rFonts w:cs="Tahoma"/>
          <w:kern w:val="1"/>
        </w:rPr>
        <w:t xml:space="preserve">článek IV. smlouvy o nájmu nebytových prostor uzavřené dne </w:t>
      </w:r>
      <w:proofErr w:type="gramStart"/>
      <w:r w:rsidR="00E634ED">
        <w:rPr>
          <w:rFonts w:cs="Tahoma"/>
          <w:kern w:val="1"/>
        </w:rPr>
        <w:t>31.12.2004</w:t>
      </w:r>
      <w:proofErr w:type="gramEnd"/>
      <w:r w:rsidR="00E634ED">
        <w:rPr>
          <w:rFonts w:cs="Tahoma"/>
          <w:kern w:val="1"/>
        </w:rPr>
        <w:t xml:space="preserve"> blíže specifikované v článku I. tohoto dodatku tak, že nový článek IV. zní takto:        </w:t>
      </w:r>
    </w:p>
    <w:p w:rsidR="00B61309" w:rsidRDefault="00B61309" w:rsidP="001011FA">
      <w:pPr>
        <w:spacing w:after="113"/>
        <w:jc w:val="both"/>
        <w:rPr>
          <w:rFonts w:cs="Tahoma"/>
        </w:rPr>
      </w:pPr>
    </w:p>
    <w:p w:rsidR="00E634ED" w:rsidRDefault="00E634ED" w:rsidP="001011FA">
      <w:pPr>
        <w:spacing w:after="113"/>
        <w:jc w:val="both"/>
        <w:rPr>
          <w:rFonts w:cs="Tahoma"/>
        </w:rPr>
      </w:pPr>
    </w:p>
    <w:p w:rsidR="001011FA" w:rsidRDefault="001011FA" w:rsidP="001011FA">
      <w:pPr>
        <w:spacing w:after="113"/>
        <w:jc w:val="both"/>
        <w:rPr>
          <w:rFonts w:cs="Tahoma"/>
          <w:b/>
        </w:rPr>
      </w:pPr>
      <w:r>
        <w:rPr>
          <w:rFonts w:cs="Tahoma"/>
        </w:rPr>
        <w:t xml:space="preserve">Nájemce se zavazuje hradit pronajímateli roční nájemné ve výši </w:t>
      </w:r>
      <w:r w:rsidR="00331DC9">
        <w:rPr>
          <w:rFonts w:cs="Tahoma"/>
          <w:b/>
        </w:rPr>
        <w:t>22.974</w:t>
      </w:r>
      <w:r w:rsidRPr="00F5103D">
        <w:rPr>
          <w:rFonts w:cs="Tahoma"/>
          <w:b/>
        </w:rPr>
        <w:t>,00 Kč</w:t>
      </w:r>
      <w:r>
        <w:rPr>
          <w:rFonts w:cs="Tahoma"/>
          <w:b/>
        </w:rPr>
        <w:t>.</w:t>
      </w:r>
    </w:p>
    <w:p w:rsidR="001011FA" w:rsidRPr="007B3EBA" w:rsidRDefault="001011FA" w:rsidP="001011FA">
      <w:pPr>
        <w:spacing w:after="113"/>
        <w:ind w:firstLine="567"/>
        <w:jc w:val="both"/>
        <w:rPr>
          <w:rFonts w:cs="Tahoma"/>
        </w:rPr>
      </w:pPr>
      <w:r>
        <w:rPr>
          <w:rFonts w:cs="Tahoma"/>
        </w:rPr>
        <w:t xml:space="preserve"> Takto stanovené nájemné je osvobozené od DPH a je splatné v pravidelných čtvrtletních splátkách vždy do 15. dne druhého měsíce příslušného čtvrtletí, za které se nájemné platí, a to na základě faktury vystavené pronajímatelem. Č</w:t>
      </w:r>
      <w:r w:rsidRPr="007B3EBA">
        <w:rPr>
          <w:bCs/>
        </w:rPr>
        <w:t>tv</w:t>
      </w:r>
      <w:r>
        <w:rPr>
          <w:bCs/>
        </w:rPr>
        <w:t xml:space="preserve">rtletní nájemné tedy činí na základě dohody smluvních stran </w:t>
      </w:r>
      <w:proofErr w:type="gramStart"/>
      <w:r>
        <w:rPr>
          <w:bCs/>
        </w:rPr>
        <w:t xml:space="preserve">částku  </w:t>
      </w:r>
      <w:r w:rsidR="00331DC9">
        <w:rPr>
          <w:b/>
          <w:bCs/>
        </w:rPr>
        <w:t>5.743,50</w:t>
      </w:r>
      <w:proofErr w:type="gramEnd"/>
      <w:r w:rsidRPr="00F5103D">
        <w:rPr>
          <w:b/>
          <w:bCs/>
        </w:rPr>
        <w:t xml:space="preserve">  Kč.</w:t>
      </w:r>
    </w:p>
    <w:p w:rsidR="009B7AC1" w:rsidRDefault="00846AE6" w:rsidP="00494E3B">
      <w:pPr>
        <w:spacing w:after="113"/>
        <w:jc w:val="both"/>
        <w:rPr>
          <w:rFonts w:cs="Tahoma"/>
        </w:rPr>
      </w:pPr>
      <w:r>
        <w:rPr>
          <w:rFonts w:cs="Tahoma"/>
        </w:rPr>
        <w:t xml:space="preserve">   </w:t>
      </w:r>
    </w:p>
    <w:p w:rsidR="00591911" w:rsidRDefault="00846AE6" w:rsidP="00494E3B">
      <w:pPr>
        <w:spacing w:after="113"/>
        <w:jc w:val="both"/>
        <w:rPr>
          <w:rFonts w:cs="Tahoma"/>
        </w:rPr>
      </w:pPr>
      <w:r>
        <w:rPr>
          <w:rFonts w:cs="Tahoma"/>
        </w:rPr>
        <w:t xml:space="preserve">      </w:t>
      </w:r>
      <w:r w:rsidR="00494E3B">
        <w:rPr>
          <w:rFonts w:cs="Tahoma"/>
        </w:rPr>
        <w:t>Kromě splátek nájemného bude nájemce platit měsíčně náklady za služby (</w:t>
      </w:r>
      <w:r w:rsidR="00BC4A11">
        <w:rPr>
          <w:rFonts w:cs="Tahoma"/>
        </w:rPr>
        <w:t xml:space="preserve">úklid </w:t>
      </w:r>
      <w:proofErr w:type="gramStart"/>
      <w:r w:rsidR="00BC4A11">
        <w:rPr>
          <w:rFonts w:cs="Tahoma"/>
        </w:rPr>
        <w:t>čekárny                                   a sociálního</w:t>
      </w:r>
      <w:proofErr w:type="gramEnd"/>
      <w:r w:rsidR="00BC4A11">
        <w:rPr>
          <w:rFonts w:cs="Tahoma"/>
        </w:rPr>
        <w:t xml:space="preserve"> zařízení u čekárny ordinace, </w:t>
      </w:r>
      <w:r w:rsidR="00494E3B">
        <w:rPr>
          <w:rFonts w:cs="Tahoma"/>
        </w:rPr>
        <w:t xml:space="preserve">spotřeba plynu k vytápění, spotřeba elektřiny), přičemž tyto náklady za služby spojené s užíváním nebytových prostor budou nájemcem hrazeny na základě měsíčních samostatných faktur a to v návaznosti na přijaté faktury u pronajímatele za jednotlivé měsíce o spotřebě elektrické energie a plynu a odpočtu spotřeby z podružného měřícího zařízení, resp. vytápěné plochy. </w:t>
      </w:r>
      <w:r w:rsidR="001117EB">
        <w:rPr>
          <w:rFonts w:cs="Tahoma"/>
        </w:rPr>
        <w:t xml:space="preserve">Výše měsíční splátky nákladů za TDO, separovaný odpad a úklid je stanovena paušálně a výše nákladů za nájem vybavení vyplývá z dohodnuté výše </w:t>
      </w:r>
      <w:proofErr w:type="gramStart"/>
      <w:r w:rsidR="001117EB">
        <w:rPr>
          <w:rFonts w:cs="Tahoma"/>
        </w:rPr>
        <w:t>viz. soupis</w:t>
      </w:r>
      <w:proofErr w:type="gramEnd"/>
      <w:r w:rsidR="001117EB">
        <w:rPr>
          <w:rFonts w:cs="Tahoma"/>
        </w:rPr>
        <w:t xml:space="preserve"> majetkového vybavení, tj.:</w:t>
      </w:r>
    </w:p>
    <w:p w:rsidR="00494E3B" w:rsidRDefault="00494E3B" w:rsidP="00494E3B">
      <w:r>
        <w:t xml:space="preserve">                                                                              Roční </w:t>
      </w:r>
      <w:proofErr w:type="gramStart"/>
      <w:r>
        <w:t>výše                 měsíční</w:t>
      </w:r>
      <w:proofErr w:type="gramEnd"/>
      <w:r>
        <w:t xml:space="preserve"> výše</w:t>
      </w:r>
    </w:p>
    <w:p w:rsidR="00494E3B" w:rsidRDefault="00494E3B" w:rsidP="00494E3B"/>
    <w:p w:rsidR="00494E3B" w:rsidRDefault="00494E3B" w:rsidP="00494E3B">
      <w:r>
        <w:t xml:space="preserve">Odvoz TDO </w:t>
      </w:r>
      <w:proofErr w:type="spellStart"/>
      <w:r>
        <w:t>vč.DPH</w:t>
      </w:r>
      <w:proofErr w:type="spellEnd"/>
      <w:r>
        <w:t xml:space="preserve">                                                    0,- </w:t>
      </w:r>
      <w:proofErr w:type="gramStart"/>
      <w:r>
        <w:t xml:space="preserve">Kč                         </w:t>
      </w:r>
      <w:r w:rsidR="0008438E">
        <w:t xml:space="preserve">    </w:t>
      </w:r>
      <w:r w:rsidR="00591911">
        <w:t xml:space="preserve">  </w:t>
      </w:r>
      <w:r>
        <w:t xml:space="preserve"> 0,-</w:t>
      </w:r>
      <w:proofErr w:type="gramEnd"/>
      <w:r>
        <w:t xml:space="preserve"> Kč</w:t>
      </w:r>
    </w:p>
    <w:p w:rsidR="00494E3B" w:rsidRDefault="00591911" w:rsidP="00494E3B">
      <w:r>
        <w:t xml:space="preserve">Odvoz separovaného odpadu vč. </w:t>
      </w:r>
      <w:proofErr w:type="gramStart"/>
      <w:r>
        <w:t xml:space="preserve">DPH                     </w:t>
      </w:r>
      <w:r w:rsidR="00331DC9">
        <w:t>300</w:t>
      </w:r>
      <w:r>
        <w:t>,-</w:t>
      </w:r>
      <w:proofErr w:type="gramEnd"/>
      <w:r>
        <w:t xml:space="preserve"> Kč                        </w:t>
      </w:r>
      <w:r w:rsidR="00331DC9">
        <w:t xml:space="preserve">    </w:t>
      </w:r>
      <w:r>
        <w:t xml:space="preserve">  </w:t>
      </w:r>
      <w:r w:rsidR="0008438E">
        <w:t>25</w:t>
      </w:r>
      <w:r>
        <w:t>,- Kč</w:t>
      </w:r>
    </w:p>
    <w:p w:rsidR="00494E3B" w:rsidRDefault="00494E3B" w:rsidP="00494E3B">
      <w:r>
        <w:t xml:space="preserve">Nájem vybavení NP </w:t>
      </w:r>
      <w:r w:rsidRPr="00E44EA3">
        <w:t>vč.</w:t>
      </w:r>
      <w:r>
        <w:t xml:space="preserve"> </w:t>
      </w:r>
      <w:proofErr w:type="gramStart"/>
      <w:r w:rsidRPr="00E44EA3">
        <w:t xml:space="preserve">DPH                  </w:t>
      </w:r>
      <w:r>
        <w:t xml:space="preserve"> </w:t>
      </w:r>
      <w:r w:rsidRPr="00E44EA3">
        <w:t xml:space="preserve">  </w:t>
      </w:r>
      <w:r>
        <w:t xml:space="preserve">   </w:t>
      </w:r>
      <w:r w:rsidRPr="00E44EA3">
        <w:t xml:space="preserve">     </w:t>
      </w:r>
      <w:r>
        <w:t xml:space="preserve">     </w:t>
      </w:r>
      <w:r w:rsidR="00331DC9">
        <w:t xml:space="preserve"> 240,</w:t>
      </w:r>
      <w:r w:rsidRPr="00E44EA3">
        <w:t>-</w:t>
      </w:r>
      <w:proofErr w:type="gramEnd"/>
      <w:r w:rsidRPr="00E44EA3">
        <w:t xml:space="preserve"> Kč </w:t>
      </w:r>
      <w:r w:rsidR="00331DC9">
        <w:t xml:space="preserve">                             </w:t>
      </w:r>
      <w:r w:rsidR="0008438E">
        <w:t>20</w:t>
      </w:r>
      <w:r w:rsidRPr="00E44EA3">
        <w:t>,-</w:t>
      </w:r>
      <w:r>
        <w:t xml:space="preserve"> </w:t>
      </w:r>
      <w:r w:rsidRPr="00E44EA3">
        <w:t>Kč</w:t>
      </w:r>
    </w:p>
    <w:p w:rsidR="00494E3B" w:rsidRDefault="00494E3B" w:rsidP="00494E3B">
      <w:pPr>
        <w:jc w:val="both"/>
        <w:rPr>
          <w:rFonts w:cs="Tahoma"/>
        </w:rPr>
      </w:pPr>
    </w:p>
    <w:p w:rsidR="00494E3B" w:rsidRDefault="00494E3B" w:rsidP="00494E3B">
      <w:pPr>
        <w:jc w:val="both"/>
        <w:rPr>
          <w:rFonts w:cs="Tahoma"/>
        </w:rPr>
      </w:pPr>
      <w:r>
        <w:rPr>
          <w:rFonts w:cs="Tahoma"/>
        </w:rPr>
        <w:t xml:space="preserve">Sazba za studenou vodu                                              1m3                      </w:t>
      </w:r>
      <w:r w:rsidR="0008438E">
        <w:rPr>
          <w:rFonts w:cs="Tahoma"/>
        </w:rPr>
        <w:t xml:space="preserve">     </w:t>
      </w:r>
      <w:r>
        <w:rPr>
          <w:rFonts w:cs="Tahoma"/>
        </w:rPr>
        <w:t xml:space="preserve">     1</w:t>
      </w:r>
      <w:r w:rsidR="00B104DA">
        <w:rPr>
          <w:rFonts w:cs="Tahoma"/>
        </w:rPr>
        <w:t>1</w:t>
      </w:r>
      <w:r w:rsidR="00460412">
        <w:rPr>
          <w:rFonts w:cs="Tahoma"/>
        </w:rPr>
        <w:t>2</w:t>
      </w:r>
      <w:r>
        <w:rPr>
          <w:rFonts w:cs="Tahoma"/>
        </w:rPr>
        <w:t xml:space="preserve">,- Kč                                   </w:t>
      </w:r>
    </w:p>
    <w:p w:rsidR="00494E3B" w:rsidRDefault="00494E3B" w:rsidP="00494E3B">
      <w:pPr>
        <w:jc w:val="both"/>
        <w:rPr>
          <w:rFonts w:cs="Tahoma"/>
        </w:rPr>
      </w:pPr>
      <w:r>
        <w:rPr>
          <w:rFonts w:cs="Tahoma"/>
        </w:rPr>
        <w:t xml:space="preserve">Sazba za teplou vodu                                                   1m3                       </w:t>
      </w:r>
      <w:r w:rsidR="0008438E">
        <w:rPr>
          <w:rFonts w:cs="Tahoma"/>
        </w:rPr>
        <w:t xml:space="preserve">      </w:t>
      </w:r>
      <w:r>
        <w:rPr>
          <w:rFonts w:cs="Tahoma"/>
        </w:rPr>
        <w:t xml:space="preserve">   </w:t>
      </w:r>
      <w:r w:rsidR="00591911">
        <w:rPr>
          <w:rFonts w:cs="Tahoma"/>
        </w:rPr>
        <w:t>30</w:t>
      </w:r>
      <w:r w:rsidR="00460412">
        <w:rPr>
          <w:rFonts w:cs="Tahoma"/>
        </w:rPr>
        <w:t>9</w:t>
      </w:r>
      <w:r>
        <w:rPr>
          <w:rFonts w:cs="Tahoma"/>
        </w:rPr>
        <w:t>,- Kč</w:t>
      </w:r>
    </w:p>
    <w:p w:rsidR="00BC4A11" w:rsidRDefault="00BC4A11" w:rsidP="00BC4A11">
      <w:pPr>
        <w:spacing w:after="113"/>
        <w:jc w:val="both"/>
        <w:rPr>
          <w:rFonts w:cs="Tahoma"/>
        </w:rPr>
      </w:pPr>
    </w:p>
    <w:p w:rsidR="00BC4A11" w:rsidRDefault="00BC4A11" w:rsidP="00BC4A11">
      <w:pPr>
        <w:spacing w:after="113"/>
        <w:jc w:val="both"/>
        <w:rPr>
          <w:rFonts w:cs="Tahoma"/>
        </w:rPr>
      </w:pPr>
      <w:proofErr w:type="gramStart"/>
      <w:r>
        <w:rPr>
          <w:rFonts w:cs="Tahoma"/>
        </w:rPr>
        <w:t>Úklid   vč.</w:t>
      </w:r>
      <w:proofErr w:type="gramEnd"/>
      <w:r>
        <w:rPr>
          <w:rFonts w:cs="Tahoma"/>
        </w:rPr>
        <w:t xml:space="preserve"> DPH                                                   </w:t>
      </w:r>
      <w:r w:rsidR="00331DC9">
        <w:rPr>
          <w:rFonts w:cs="Tahoma"/>
        </w:rPr>
        <w:t>8.</w:t>
      </w:r>
      <w:r w:rsidR="003B1F8D">
        <w:rPr>
          <w:rFonts w:cs="Tahoma"/>
        </w:rPr>
        <w:t>700</w:t>
      </w:r>
      <w:r>
        <w:rPr>
          <w:rFonts w:cs="Tahoma"/>
        </w:rPr>
        <w:t xml:space="preserve"> Kč </w:t>
      </w:r>
      <w:r w:rsidR="00B61309">
        <w:rPr>
          <w:rFonts w:cs="Tahoma"/>
        </w:rPr>
        <w:t xml:space="preserve">                               </w:t>
      </w:r>
      <w:r w:rsidR="0008438E">
        <w:rPr>
          <w:rFonts w:cs="Tahoma"/>
        </w:rPr>
        <w:t>725</w:t>
      </w:r>
      <w:r>
        <w:rPr>
          <w:rFonts w:cs="Tahoma"/>
        </w:rPr>
        <w:t xml:space="preserve">,- Kč                   </w:t>
      </w:r>
    </w:p>
    <w:p w:rsidR="00BC4A11" w:rsidRDefault="00BC4A11" w:rsidP="00BC4A11">
      <w:pPr>
        <w:spacing w:after="113"/>
        <w:jc w:val="both"/>
        <w:rPr>
          <w:rFonts w:cs="Tahoma"/>
        </w:rPr>
      </w:pPr>
      <w:r>
        <w:rPr>
          <w:rFonts w:cs="Tahoma"/>
        </w:rPr>
        <w:t>Úklid prostor čekárny a sociálního zařízení u čekárny ordinace se sestává s utření prachu, umytí podlahy, dezinfekce povrchů a umytí WC mís a umyvadel.</w:t>
      </w:r>
    </w:p>
    <w:p w:rsidR="004207B7" w:rsidRDefault="004207B7" w:rsidP="003D493D">
      <w:pPr>
        <w:spacing w:after="113"/>
        <w:jc w:val="both"/>
        <w:rPr>
          <w:rFonts w:cs="Tahoma"/>
        </w:rPr>
      </w:pPr>
    </w:p>
    <w:p w:rsidR="00E634ED" w:rsidRDefault="00E634ED" w:rsidP="00E634ED">
      <w:pPr>
        <w:jc w:val="both"/>
        <w:rPr>
          <w:rFonts w:eastAsia="Times New Roman"/>
          <w:lang w:eastAsia="ar-SA"/>
        </w:rPr>
      </w:pPr>
      <w:r>
        <w:rPr>
          <w:rFonts w:eastAsia="Times New Roman"/>
          <w:lang w:eastAsia="ar-SA"/>
        </w:rPr>
        <w:t>Nájemce se dále zavazuje hradit měsíční zálohy na vodné a stočné, a to na základě skutečně odebrané teplé či studené vody podle odpočtu spotřeby z podružného měřícího zařízení.</w:t>
      </w:r>
      <w:r w:rsidRPr="00E750AC">
        <w:rPr>
          <w:rFonts w:cs="Tahoma"/>
        </w:rPr>
        <w:t xml:space="preserve"> </w:t>
      </w:r>
      <w:r>
        <w:rPr>
          <w:rFonts w:cs="Tahoma"/>
        </w:rPr>
        <w:t xml:space="preserve">Výše zálohy na vodné jsou smluvními stranami stanoveny dle spotřeby vody x </w:t>
      </w:r>
      <w:proofErr w:type="gramStart"/>
      <w:r>
        <w:rPr>
          <w:rFonts w:cs="Tahoma"/>
        </w:rPr>
        <w:t>sazba  za</w:t>
      </w:r>
      <w:proofErr w:type="gramEnd"/>
      <w:r>
        <w:rPr>
          <w:rFonts w:cs="Tahoma"/>
        </w:rPr>
        <w:t xml:space="preserve"> vodu. Sazby za studenou a teplou vodu jsou vypočítány z poslední</w:t>
      </w:r>
      <w:r w:rsidRPr="00E750AC">
        <w:rPr>
          <w:rFonts w:eastAsia="Times New Roman"/>
          <w:lang w:eastAsia="ar-SA"/>
        </w:rPr>
        <w:t xml:space="preserve"> </w:t>
      </w:r>
      <w:r>
        <w:rPr>
          <w:rFonts w:eastAsia="Times New Roman"/>
          <w:lang w:eastAsia="ar-SA"/>
        </w:rPr>
        <w:t>dodavatelské faktury o celoroční spotřebě vody u pronajímatele.</w:t>
      </w:r>
    </w:p>
    <w:p w:rsidR="00E634ED" w:rsidRDefault="00E634ED" w:rsidP="00E634ED">
      <w:pPr>
        <w:jc w:val="both"/>
        <w:rPr>
          <w:rFonts w:eastAsia="Times New Roman"/>
          <w:lang w:eastAsia="ar-SA"/>
        </w:rPr>
      </w:pPr>
    </w:p>
    <w:p w:rsidR="00E634ED" w:rsidRDefault="00E634ED" w:rsidP="00E634ED">
      <w:pPr>
        <w:jc w:val="both"/>
        <w:rPr>
          <w:rFonts w:eastAsia="Times New Roman"/>
          <w:lang w:eastAsia="ar-SA"/>
        </w:rPr>
      </w:pPr>
      <w:r>
        <w:rPr>
          <w:rFonts w:eastAsia="Times New Roman"/>
          <w:lang w:eastAsia="ar-SA"/>
        </w:rPr>
        <w:t xml:space="preserve"> Vyúčtování celoroční spotřeby vody bude provedeno v návaznosti na přijatou dodavatelskou fakturu o celoroční spotřebě vody u pronajímatele. Toto vyúčtování je pronajímatel povinen předložit nájemci nejpozději do posledního dne kalendářního čtvrtletí následujícího po skončení zúčtovacího období, a to na základě provedených odpočtů spotřeby vody z podružného měřícího zařízení a vyúčtování skutečné spotřeby od provozovatele služeb vodného a stočného. </w:t>
      </w:r>
    </w:p>
    <w:p w:rsidR="00E634ED" w:rsidRDefault="00E634ED" w:rsidP="00E634ED">
      <w:pPr>
        <w:jc w:val="both"/>
        <w:rPr>
          <w:rFonts w:eastAsia="Times New Roman"/>
          <w:lang w:eastAsia="ar-SA"/>
        </w:rPr>
      </w:pPr>
    </w:p>
    <w:p w:rsidR="00E634ED" w:rsidRDefault="00E634ED" w:rsidP="00E634ED">
      <w:pPr>
        <w:spacing w:after="113"/>
        <w:ind w:firstLine="567"/>
        <w:jc w:val="both"/>
        <w:rPr>
          <w:rFonts w:cs="Tahoma"/>
        </w:rPr>
      </w:pPr>
      <w:r>
        <w:rPr>
          <w:rFonts w:cs="Tahoma"/>
        </w:rPr>
        <w:t>V případě nedoplatku za služby je nájemce povinen tento nedoplatek zaplatit na základě faktury vystavené pronajímatelem.</w:t>
      </w:r>
    </w:p>
    <w:p w:rsidR="00E634ED" w:rsidRDefault="00E634ED" w:rsidP="00E634ED">
      <w:pPr>
        <w:spacing w:after="113"/>
        <w:ind w:firstLine="567"/>
        <w:jc w:val="both"/>
        <w:rPr>
          <w:rFonts w:cs="Tahoma"/>
        </w:rPr>
      </w:pPr>
    </w:p>
    <w:p w:rsidR="00E634ED" w:rsidRDefault="00E634ED" w:rsidP="00E634ED">
      <w:pPr>
        <w:spacing w:after="113"/>
        <w:ind w:firstLine="567"/>
        <w:jc w:val="both"/>
        <w:rPr>
          <w:rFonts w:cs="Tahoma"/>
        </w:rPr>
      </w:pPr>
      <w:r>
        <w:rPr>
          <w:rFonts w:cs="Tahoma"/>
        </w:rPr>
        <w:t xml:space="preserve">V případě přeplatku za služby je </w:t>
      </w:r>
      <w:proofErr w:type="gramStart"/>
      <w:r>
        <w:rPr>
          <w:rFonts w:cs="Tahoma"/>
        </w:rPr>
        <w:t>pronajímatel  povinen</w:t>
      </w:r>
      <w:proofErr w:type="gramEnd"/>
      <w:r>
        <w:rPr>
          <w:rFonts w:cs="Tahoma"/>
        </w:rPr>
        <w:t xml:space="preserve"> tento přeplatek vrátit nájemci nejpozději do 20 dnů od předložení vyúčtování nájemci.</w:t>
      </w:r>
    </w:p>
    <w:p w:rsidR="009B7AC1" w:rsidRDefault="009B7AC1" w:rsidP="00E634ED">
      <w:pPr>
        <w:spacing w:after="113"/>
        <w:ind w:firstLine="567"/>
        <w:jc w:val="both"/>
        <w:rPr>
          <w:rFonts w:cs="Tahoma"/>
        </w:rPr>
      </w:pPr>
    </w:p>
    <w:p w:rsidR="00930A39" w:rsidRDefault="00E634ED" w:rsidP="00F74229">
      <w:pPr>
        <w:spacing w:after="113"/>
        <w:ind w:firstLine="567"/>
        <w:jc w:val="both"/>
        <w:rPr>
          <w:rFonts w:cs="Tahoma"/>
        </w:rPr>
      </w:pPr>
      <w:r>
        <w:rPr>
          <w:rFonts w:cs="Tahoma"/>
        </w:rPr>
        <w:t xml:space="preserve">Smluvní strany se dohodly, že v případě prodlení nájemce s platbou nájemného či služeb se sjednává smluvní pokuta ve výši 0,1 % z dlužné částky za každý den prodlení. Takto stanovená </w:t>
      </w:r>
    </w:p>
    <w:p w:rsidR="00335ADE" w:rsidRDefault="00335ADE" w:rsidP="00335ADE">
      <w:pPr>
        <w:spacing w:after="113"/>
        <w:ind w:firstLine="567"/>
        <w:jc w:val="both"/>
        <w:rPr>
          <w:rFonts w:cs="Tahoma"/>
        </w:rPr>
      </w:pPr>
      <w:r>
        <w:rPr>
          <w:rFonts w:cs="Tahoma"/>
        </w:rPr>
        <w:lastRenderedPageBreak/>
        <w:t>smluvní pokuta je splatná 20. dne po jejím vyúčtování pronajímatelem nájemci.</w:t>
      </w: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r>
        <w:rPr>
          <w:rFonts w:cs="Tahoma"/>
        </w:rPr>
        <w:t xml:space="preserve">Smluvní strany se dále dohodly, že nájemce umožní pronajímateli nebo jím pověřeným osobám po předchozím oznámení nájemci, přístup do prostor pronajatých nájemci za účelem kontroly stavu pronajatých prostor, nainstalování měřících zařízení a provádění odpočtů za elektrickou energii, vytápění, vodné a stočné. </w:t>
      </w: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r>
        <w:rPr>
          <w:rFonts w:cs="Tahoma"/>
        </w:rPr>
        <w:t xml:space="preserve">Smluvní strany se dále dohodly, že pronajímatel má právo zvýšit nájemné a zálohy na </w:t>
      </w:r>
      <w:proofErr w:type="gramStart"/>
      <w:r>
        <w:rPr>
          <w:rFonts w:cs="Tahoma"/>
        </w:rPr>
        <w:t>služby   zejména</w:t>
      </w:r>
      <w:proofErr w:type="gramEnd"/>
      <w:r>
        <w:rPr>
          <w:rFonts w:cs="Tahoma"/>
        </w:rPr>
        <w:t xml:space="preserve"> s ohledem na růst inflace a cen energií a služeb, a to po předchozím projednání                              s nájemcem. Změna výše nájmu a záloh však musí být sjednána písemnou formou dodatku ke smlouvě. Pokud nedojde ke vzájemné dohodě o úpravě výše úhrad, pozbývá tato nájemní smlouva platnosti po uplynutí tří měsíců od okamžiku ukončení neúspěšného jednání. </w:t>
      </w:r>
    </w:p>
    <w:p w:rsidR="00335ADE" w:rsidRDefault="00335ADE" w:rsidP="00335ADE">
      <w:pPr>
        <w:spacing w:after="113"/>
        <w:ind w:firstLine="567"/>
        <w:jc w:val="both"/>
        <w:rPr>
          <w:rFonts w:cs="Tahoma"/>
        </w:rPr>
      </w:pPr>
      <w:r>
        <w:rPr>
          <w:rFonts w:cs="Tahoma"/>
        </w:rPr>
        <w:t xml:space="preserve">  </w:t>
      </w:r>
    </w:p>
    <w:p w:rsidR="00335ADE" w:rsidRDefault="00335ADE" w:rsidP="00335ADE">
      <w:pPr>
        <w:spacing w:after="113"/>
        <w:ind w:firstLine="567"/>
        <w:jc w:val="both"/>
        <w:rPr>
          <w:rFonts w:cs="Tahoma"/>
        </w:rPr>
      </w:pPr>
    </w:p>
    <w:p w:rsidR="00335ADE" w:rsidRDefault="00335ADE" w:rsidP="00335ADE">
      <w:pPr>
        <w:spacing w:after="113"/>
        <w:ind w:firstLine="567"/>
        <w:jc w:val="center"/>
        <w:rPr>
          <w:rFonts w:cs="Tahoma"/>
          <w:b/>
          <w:bCs/>
        </w:rPr>
      </w:pPr>
      <w:r>
        <w:rPr>
          <w:rFonts w:cs="Tahoma"/>
          <w:b/>
          <w:bCs/>
        </w:rPr>
        <w:t>III.</w:t>
      </w: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r>
        <w:rPr>
          <w:rFonts w:cs="Tahoma"/>
        </w:rPr>
        <w:t xml:space="preserve">Smluvní strany prohlašují, že v ostatním zůstává Smlouva o nájmu nebytových prostor uzavřená mezi smluvními stranami dne 31. 12. </w:t>
      </w:r>
      <w:proofErr w:type="gramStart"/>
      <w:r>
        <w:rPr>
          <w:rFonts w:cs="Tahoma"/>
        </w:rPr>
        <w:t>2004  a blíže</w:t>
      </w:r>
      <w:proofErr w:type="gramEnd"/>
      <w:r>
        <w:rPr>
          <w:rFonts w:cs="Tahoma"/>
        </w:rPr>
        <w:t xml:space="preserve"> specifikovaná v článku I. tohoto dodatku beze změny. </w:t>
      </w:r>
    </w:p>
    <w:p w:rsidR="00335ADE" w:rsidRPr="00BA72F7" w:rsidRDefault="00335ADE" w:rsidP="00335ADE">
      <w:pPr>
        <w:spacing w:after="113"/>
        <w:ind w:firstLine="567"/>
        <w:jc w:val="both"/>
        <w:rPr>
          <w:rFonts w:cs="Tahoma"/>
          <w:b/>
        </w:rPr>
      </w:pPr>
      <w:r>
        <w:rPr>
          <w:rFonts w:cs="Tahoma"/>
        </w:rPr>
        <w:t xml:space="preserve">Tento dodatek nabývá platnosti dnem podpisu oběma smluvními stranami a účinnosti </w:t>
      </w:r>
      <w:proofErr w:type="gramStart"/>
      <w:r>
        <w:rPr>
          <w:rFonts w:cs="Tahoma"/>
        </w:rPr>
        <w:t xml:space="preserve">dnem  </w:t>
      </w:r>
      <w:r>
        <w:rPr>
          <w:rFonts w:cs="Tahoma"/>
          <w:b/>
        </w:rPr>
        <w:t>1. 2. 2021</w:t>
      </w:r>
      <w:proofErr w:type="gramEnd"/>
      <w:r>
        <w:rPr>
          <w:rFonts w:cs="Tahoma"/>
          <w:b/>
        </w:rPr>
        <w:t>.</w:t>
      </w:r>
      <w:r w:rsidRPr="00BA72F7">
        <w:rPr>
          <w:rFonts w:cs="Tahoma"/>
          <w:b/>
        </w:rPr>
        <w:t xml:space="preserve"> </w:t>
      </w:r>
    </w:p>
    <w:p w:rsidR="00335ADE" w:rsidRDefault="00335ADE" w:rsidP="00335ADE">
      <w:pPr>
        <w:spacing w:after="113"/>
        <w:ind w:firstLine="567"/>
        <w:jc w:val="both"/>
        <w:rPr>
          <w:rFonts w:cs="Tahoma"/>
        </w:rPr>
      </w:pPr>
      <w:r>
        <w:rPr>
          <w:rFonts w:cs="Tahoma"/>
        </w:rPr>
        <w:t>Tento dodatek je sepsán ve dvou vyhotoveních s platností originálu, přičemž každá ze smluvních stran obdrží po jednom vyhotovení.</w:t>
      </w:r>
    </w:p>
    <w:p w:rsidR="00335ADE" w:rsidRDefault="00335ADE" w:rsidP="00335ADE">
      <w:pPr>
        <w:spacing w:after="113"/>
        <w:ind w:firstLine="567"/>
        <w:jc w:val="both"/>
        <w:rPr>
          <w:rFonts w:cs="Tahoma"/>
        </w:rPr>
      </w:pPr>
      <w:r>
        <w:rPr>
          <w:rFonts w:cs="Tahoma"/>
        </w:rPr>
        <w:t xml:space="preserve">Smluvní strany prohlašují, že se seznámily s celým obsahem této smlouvy a prohlašují, </w:t>
      </w:r>
      <w:proofErr w:type="gramStart"/>
      <w:r>
        <w:rPr>
          <w:rFonts w:cs="Tahoma"/>
        </w:rPr>
        <w:t>že  byl</w:t>
      </w:r>
      <w:proofErr w:type="gramEnd"/>
      <w:r>
        <w:rPr>
          <w:rFonts w:cs="Tahoma"/>
        </w:rPr>
        <w:t xml:space="preserve"> sepsán na základě pravdivých údajů, jejich pravé a svobodné vůle a na důkaz toho připojují své podpisy.  </w:t>
      </w:r>
    </w:p>
    <w:p w:rsidR="00335ADE" w:rsidRDefault="00335ADE" w:rsidP="00335ADE">
      <w:pPr>
        <w:jc w:val="both"/>
        <w:rPr>
          <w:rFonts w:cs="Tahoma"/>
        </w:rPr>
      </w:pPr>
    </w:p>
    <w:p w:rsidR="00335ADE" w:rsidRDefault="00335ADE" w:rsidP="00335ADE">
      <w:pPr>
        <w:jc w:val="both"/>
        <w:rPr>
          <w:rFonts w:cs="Tahoma"/>
        </w:rPr>
      </w:pPr>
      <w:r>
        <w:rPr>
          <w:rFonts w:cs="Tahoma"/>
        </w:rPr>
        <w:t>V </w:t>
      </w:r>
      <w:proofErr w:type="spellStart"/>
      <w:r>
        <w:rPr>
          <w:rFonts w:cs="Tahoma"/>
        </w:rPr>
        <w:t>Kralovicích</w:t>
      </w:r>
      <w:proofErr w:type="spellEnd"/>
      <w:r>
        <w:rPr>
          <w:rFonts w:cs="Tahoma"/>
        </w:rPr>
        <w:t xml:space="preserve">  dne                                                                   V …………………. </w:t>
      </w:r>
      <w:proofErr w:type="gramStart"/>
      <w:r>
        <w:rPr>
          <w:rFonts w:cs="Tahoma"/>
        </w:rPr>
        <w:t>dne</w:t>
      </w:r>
      <w:proofErr w:type="gramEnd"/>
      <w:r>
        <w:rPr>
          <w:rFonts w:cs="Tahoma"/>
        </w:rPr>
        <w:t xml:space="preserve"> </w:t>
      </w:r>
    </w:p>
    <w:p w:rsidR="00335ADE" w:rsidRDefault="00335ADE" w:rsidP="00335ADE">
      <w:pPr>
        <w:jc w:val="both"/>
        <w:rPr>
          <w:rFonts w:cs="Tahoma"/>
        </w:rPr>
      </w:pPr>
    </w:p>
    <w:p w:rsidR="00335ADE" w:rsidRDefault="00335ADE" w:rsidP="00335ADE">
      <w:pPr>
        <w:jc w:val="both"/>
        <w:rPr>
          <w:rFonts w:cs="Tahoma"/>
        </w:rPr>
      </w:pPr>
    </w:p>
    <w:p w:rsidR="00335ADE" w:rsidRDefault="00335ADE" w:rsidP="00335ADE">
      <w:pPr>
        <w:jc w:val="both"/>
        <w:rPr>
          <w:rFonts w:cs="Tahoma"/>
        </w:rPr>
      </w:pPr>
      <w:proofErr w:type="gramStart"/>
      <w:r>
        <w:rPr>
          <w:rFonts w:cs="Tahoma"/>
        </w:rPr>
        <w:t>pronajímatel                                                                               nájemce</w:t>
      </w:r>
      <w:proofErr w:type="gramEnd"/>
      <w:r>
        <w:rPr>
          <w:rFonts w:cs="Tahoma"/>
        </w:rPr>
        <w:t xml:space="preserve">  </w:t>
      </w:r>
    </w:p>
    <w:p w:rsidR="00335ADE" w:rsidRDefault="00335ADE" w:rsidP="00335ADE">
      <w:pPr>
        <w:jc w:val="both"/>
        <w:rPr>
          <w:rFonts w:cs="Tahoma"/>
        </w:rPr>
      </w:pPr>
    </w:p>
    <w:p w:rsidR="00335ADE" w:rsidRDefault="00335ADE" w:rsidP="00335ADE">
      <w:pPr>
        <w:jc w:val="both"/>
        <w:rPr>
          <w:rFonts w:cs="Tahoma"/>
        </w:rPr>
      </w:pPr>
    </w:p>
    <w:p w:rsidR="00335ADE" w:rsidRDefault="00335ADE" w:rsidP="00335ADE">
      <w:pPr>
        <w:jc w:val="both"/>
        <w:rPr>
          <w:rFonts w:cs="Tahoma"/>
        </w:rPr>
      </w:pPr>
      <w:r>
        <w:rPr>
          <w:rFonts w:cs="Tahoma"/>
        </w:rPr>
        <w:t>…...................................................                                           …....................................................</w:t>
      </w:r>
    </w:p>
    <w:p w:rsidR="00335ADE" w:rsidRPr="00BA72F7" w:rsidRDefault="00335ADE" w:rsidP="00335ADE">
      <w:pPr>
        <w:jc w:val="both"/>
        <w:rPr>
          <w:rFonts w:cs="Tahoma"/>
          <w:b/>
        </w:rPr>
      </w:pPr>
      <w:r w:rsidRPr="00BA72F7">
        <w:rPr>
          <w:rFonts w:cs="Tahoma"/>
          <w:b/>
        </w:rPr>
        <w:t xml:space="preserve">Dům sociální péče </w:t>
      </w:r>
      <w:proofErr w:type="gramStart"/>
      <w:r w:rsidRPr="00BA72F7">
        <w:rPr>
          <w:rFonts w:cs="Tahoma"/>
          <w:b/>
        </w:rPr>
        <w:t>Kralovice</w:t>
      </w:r>
      <w:r>
        <w:rPr>
          <w:rFonts w:cs="Tahoma"/>
        </w:rPr>
        <w:t xml:space="preserve">,                                                </w:t>
      </w:r>
      <w:r w:rsidRPr="00BA72F7">
        <w:rPr>
          <w:b/>
        </w:rPr>
        <w:t>Odborné</w:t>
      </w:r>
      <w:proofErr w:type="gramEnd"/>
      <w:r w:rsidRPr="00BA72F7">
        <w:rPr>
          <w:b/>
        </w:rPr>
        <w:t xml:space="preserve"> zdravotnické zařízení s.r.o.</w:t>
      </w:r>
    </w:p>
    <w:p w:rsidR="00335ADE" w:rsidRPr="00FA1BBD" w:rsidRDefault="00335ADE" w:rsidP="00335ADE">
      <w:pPr>
        <w:jc w:val="both"/>
        <w:rPr>
          <w:rFonts w:cs="Tahoma"/>
        </w:rPr>
      </w:pPr>
      <w:r w:rsidRPr="00BA72F7">
        <w:rPr>
          <w:rFonts w:cs="Tahoma"/>
          <w:b/>
        </w:rPr>
        <w:t xml:space="preserve">příspěvková </w:t>
      </w:r>
      <w:proofErr w:type="gramStart"/>
      <w:r w:rsidRPr="00BA72F7">
        <w:rPr>
          <w:rFonts w:cs="Tahoma"/>
          <w:b/>
        </w:rPr>
        <w:t xml:space="preserve">organizace                                                          </w:t>
      </w:r>
      <w:r>
        <w:rPr>
          <w:rFonts w:cs="Tahoma"/>
        </w:rPr>
        <w:t>jednatel</w:t>
      </w:r>
      <w:proofErr w:type="gramEnd"/>
      <w:r w:rsidRPr="00E57D11">
        <w:rPr>
          <w:rFonts w:cs="Tahoma"/>
        </w:rPr>
        <w:t xml:space="preserve"> </w:t>
      </w:r>
      <w:r w:rsidRPr="00FA1BBD">
        <w:rPr>
          <w:rFonts w:cs="Tahoma"/>
          <w:highlight w:val="black"/>
        </w:rPr>
        <w:t>Lukáš Anton</w:t>
      </w:r>
    </w:p>
    <w:p w:rsidR="00335ADE" w:rsidRPr="00FA1BBD" w:rsidRDefault="00335ADE" w:rsidP="00335ADE">
      <w:r>
        <w:rPr>
          <w:rFonts w:cs="Tahoma"/>
        </w:rPr>
        <w:t xml:space="preserve">jednající ředitelem </w:t>
      </w:r>
      <w:r w:rsidRPr="00FA1BBD">
        <w:rPr>
          <w:rFonts w:cs="Tahoma"/>
          <w:highlight w:val="black"/>
        </w:rPr>
        <w:t xml:space="preserve">Ing. Rudolfem </w:t>
      </w:r>
      <w:proofErr w:type="spellStart"/>
      <w:r w:rsidRPr="00FA1BBD">
        <w:rPr>
          <w:rFonts w:cs="Tahoma"/>
          <w:highlight w:val="black"/>
        </w:rPr>
        <w:t>Salfickým</w:t>
      </w:r>
      <w:proofErr w:type="spellEnd"/>
    </w:p>
    <w:p w:rsidR="00335ADE" w:rsidRDefault="00335ADE" w:rsidP="00335ADE">
      <w:pPr>
        <w:jc w:val="both"/>
        <w:rPr>
          <w:rFonts w:cs="Tahoma"/>
        </w:rPr>
      </w:pPr>
      <w:r>
        <w:rPr>
          <w:rFonts w:cs="Tahoma"/>
        </w:rPr>
        <w:t xml:space="preserve">                                                      </w:t>
      </w:r>
    </w:p>
    <w:p w:rsidR="00335ADE" w:rsidRDefault="00335ADE" w:rsidP="00335ADE">
      <w:pPr>
        <w:spacing w:after="113"/>
        <w:ind w:firstLine="567"/>
        <w:jc w:val="both"/>
        <w:rPr>
          <w:rFonts w:cs="Tahoma"/>
          <w:kern w:val="1"/>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tbl>
      <w:tblPr>
        <w:tblpPr w:leftFromText="141" w:rightFromText="141" w:vertAnchor="text" w:horzAnchor="margin" w:tblpXSpec="center" w:tblpY="-100"/>
        <w:tblW w:w="11439" w:type="dxa"/>
        <w:tblCellMar>
          <w:left w:w="70" w:type="dxa"/>
          <w:right w:w="70" w:type="dxa"/>
        </w:tblCellMar>
        <w:tblLook w:val="04A0"/>
      </w:tblPr>
      <w:tblGrid>
        <w:gridCol w:w="1067"/>
        <w:gridCol w:w="191"/>
        <w:gridCol w:w="1352"/>
        <w:gridCol w:w="1000"/>
        <w:gridCol w:w="220"/>
        <w:gridCol w:w="1000"/>
        <w:gridCol w:w="914"/>
        <w:gridCol w:w="851"/>
        <w:gridCol w:w="205"/>
        <w:gridCol w:w="654"/>
        <w:gridCol w:w="442"/>
        <w:gridCol w:w="260"/>
        <w:gridCol w:w="260"/>
        <w:gridCol w:w="237"/>
        <w:gridCol w:w="1967"/>
        <w:gridCol w:w="191"/>
        <w:gridCol w:w="628"/>
      </w:tblGrid>
      <w:tr w:rsidR="00335ADE" w:rsidRPr="00C433EE" w:rsidTr="007B0983">
        <w:trPr>
          <w:trHeight w:val="300"/>
        </w:trPr>
        <w:tc>
          <w:tcPr>
            <w:tcW w:w="1067" w:type="dxa"/>
            <w:tcBorders>
              <w:top w:val="nil"/>
              <w:left w:val="nil"/>
              <w:bottom w:val="nil"/>
              <w:right w:val="nil"/>
            </w:tcBorders>
            <w:shd w:val="clear" w:color="auto" w:fill="auto"/>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lastRenderedPageBreak/>
              <w:t xml:space="preserve">Příloha č. 1 </w:t>
            </w:r>
          </w:p>
        </w:tc>
        <w:tc>
          <w:tcPr>
            <w:tcW w:w="191" w:type="dxa"/>
            <w:tcBorders>
              <w:top w:val="nil"/>
              <w:left w:val="nil"/>
              <w:bottom w:val="nil"/>
              <w:right w:val="nil"/>
            </w:tcBorders>
            <w:shd w:val="clear" w:color="auto" w:fill="auto"/>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914" w:type="dxa"/>
            <w:tcBorders>
              <w:top w:val="nil"/>
              <w:left w:val="nil"/>
              <w:bottom w:val="nil"/>
              <w:right w:val="nil"/>
            </w:tcBorders>
            <w:shd w:val="clear" w:color="auto" w:fill="auto"/>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851" w:type="dxa"/>
            <w:tcBorders>
              <w:top w:val="nil"/>
              <w:left w:val="nil"/>
              <w:bottom w:val="nil"/>
              <w:right w:val="nil"/>
            </w:tcBorders>
            <w:shd w:val="clear" w:color="auto" w:fill="auto"/>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05" w:type="dxa"/>
            <w:tcBorders>
              <w:top w:val="nil"/>
              <w:left w:val="nil"/>
              <w:bottom w:val="nil"/>
              <w:right w:val="nil"/>
            </w:tcBorders>
            <w:shd w:val="clear" w:color="auto" w:fill="auto"/>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3820" w:type="dxa"/>
            <w:gridSpan w:val="6"/>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Strana 1</w:t>
            </w:r>
          </w:p>
        </w:tc>
        <w:tc>
          <w:tcPr>
            <w:tcW w:w="191" w:type="dxa"/>
            <w:tcBorders>
              <w:top w:val="nil"/>
              <w:left w:val="nil"/>
              <w:bottom w:val="nil"/>
              <w:right w:val="nil"/>
            </w:tcBorders>
            <w:shd w:val="clear" w:color="auto" w:fill="auto"/>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375"/>
        </w:trPr>
        <w:tc>
          <w:tcPr>
            <w:tcW w:w="4830" w:type="dxa"/>
            <w:gridSpan w:val="6"/>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b/>
                <w:bCs/>
                <w:color w:val="000080"/>
                <w:sz w:val="28"/>
                <w:szCs w:val="28"/>
              </w:rPr>
            </w:pPr>
            <w:r w:rsidRPr="00C433EE">
              <w:rPr>
                <w:rFonts w:ascii="Arial" w:eastAsia="Times New Roman" w:hAnsi="Arial" w:cs="Arial"/>
                <w:b/>
                <w:bCs/>
                <w:color w:val="000080"/>
                <w:sz w:val="28"/>
                <w:szCs w:val="28"/>
              </w:rPr>
              <w:t xml:space="preserve">Soupis majetkového vybavení </w:t>
            </w: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r>
      <w:tr w:rsidR="00335ADE" w:rsidRPr="00C433EE" w:rsidTr="007B0983">
        <w:trPr>
          <w:trHeight w:val="255"/>
        </w:trPr>
        <w:tc>
          <w:tcPr>
            <w:tcW w:w="3610" w:type="dxa"/>
            <w:gridSpan w:val="4"/>
            <w:tcBorders>
              <w:top w:val="nil"/>
              <w:left w:val="nil"/>
              <w:bottom w:val="single" w:sz="12" w:space="0" w:color="000000"/>
              <w:right w:val="nil"/>
            </w:tcBorders>
            <w:shd w:val="clear" w:color="auto" w:fill="auto"/>
            <w:noWrap/>
            <w:hideMark/>
          </w:tcPr>
          <w:p w:rsidR="00335ADE" w:rsidRPr="00C433EE" w:rsidRDefault="00335ADE" w:rsidP="007B0983">
            <w:pPr>
              <w:widowControl/>
              <w:suppressAutoHyphens w:val="0"/>
              <w:rPr>
                <w:rFonts w:ascii="Arial" w:eastAsia="Times New Roman" w:hAnsi="Arial" w:cs="Arial"/>
                <w:b/>
                <w:bCs/>
                <w:color w:val="000000"/>
                <w:sz w:val="18"/>
                <w:szCs w:val="18"/>
              </w:rPr>
            </w:pPr>
            <w:r w:rsidRPr="00C433EE">
              <w:rPr>
                <w:rFonts w:ascii="Arial" w:eastAsia="Times New Roman" w:hAnsi="Arial" w:cs="Arial"/>
                <w:b/>
                <w:bCs/>
                <w:color w:val="000000"/>
                <w:sz w:val="18"/>
                <w:szCs w:val="18"/>
              </w:rPr>
              <w:t xml:space="preserve">Dům sociální péče Kralovice, </w:t>
            </w:r>
            <w:proofErr w:type="spellStart"/>
            <w:proofErr w:type="gramStart"/>
            <w:r w:rsidRPr="00C433EE">
              <w:rPr>
                <w:rFonts w:ascii="Arial" w:eastAsia="Times New Roman" w:hAnsi="Arial" w:cs="Arial"/>
                <w:b/>
                <w:bCs/>
                <w:color w:val="000000"/>
                <w:sz w:val="18"/>
                <w:szCs w:val="18"/>
              </w:rPr>
              <w:t>p.o</w:t>
            </w:r>
            <w:proofErr w:type="spellEnd"/>
            <w:r w:rsidRPr="00C433EE">
              <w:rPr>
                <w:rFonts w:ascii="Arial" w:eastAsia="Times New Roman" w:hAnsi="Arial" w:cs="Arial"/>
                <w:b/>
                <w:bCs/>
                <w:color w:val="000000"/>
                <w:sz w:val="18"/>
                <w:szCs w:val="18"/>
              </w:rPr>
              <w:t>.</w:t>
            </w:r>
            <w:proofErr w:type="gramEnd"/>
          </w:p>
        </w:tc>
        <w:tc>
          <w:tcPr>
            <w:tcW w:w="1220" w:type="dxa"/>
            <w:gridSpan w:val="2"/>
            <w:tcBorders>
              <w:top w:val="nil"/>
              <w:left w:val="nil"/>
              <w:bottom w:val="single" w:sz="12" w:space="0" w:color="000000"/>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IČ: 49748190</w:t>
            </w:r>
          </w:p>
        </w:tc>
        <w:tc>
          <w:tcPr>
            <w:tcW w:w="914" w:type="dxa"/>
            <w:tcBorders>
              <w:top w:val="nil"/>
              <w:left w:val="nil"/>
              <w:bottom w:val="single" w:sz="12"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851" w:type="dxa"/>
            <w:tcBorders>
              <w:top w:val="nil"/>
              <w:left w:val="nil"/>
              <w:bottom w:val="single" w:sz="12" w:space="0" w:color="000000"/>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Rok: 202</w:t>
            </w:r>
            <w:r>
              <w:rPr>
                <w:rFonts w:ascii="Arial" w:eastAsia="Times New Roman" w:hAnsi="Arial" w:cs="Arial"/>
                <w:color w:val="000000"/>
                <w:sz w:val="18"/>
                <w:szCs w:val="18"/>
              </w:rPr>
              <w:t>0</w:t>
            </w:r>
          </w:p>
        </w:tc>
        <w:tc>
          <w:tcPr>
            <w:tcW w:w="1301" w:type="dxa"/>
            <w:gridSpan w:val="3"/>
            <w:tcBorders>
              <w:top w:val="nil"/>
              <w:left w:val="nil"/>
              <w:bottom w:val="single" w:sz="12" w:space="0" w:color="000000"/>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xml:space="preserve">Dne: </w:t>
            </w:r>
            <w:proofErr w:type="gramStart"/>
            <w:r>
              <w:rPr>
                <w:rFonts w:ascii="Arial" w:eastAsia="Times New Roman" w:hAnsi="Arial" w:cs="Arial"/>
                <w:color w:val="000000"/>
                <w:sz w:val="18"/>
                <w:szCs w:val="18"/>
              </w:rPr>
              <w:t>31.12.2020</w:t>
            </w:r>
            <w:proofErr w:type="gramEnd"/>
          </w:p>
        </w:tc>
        <w:tc>
          <w:tcPr>
            <w:tcW w:w="3543" w:type="dxa"/>
            <w:gridSpan w:val="6"/>
            <w:tcBorders>
              <w:top w:val="nil"/>
              <w:left w:val="nil"/>
              <w:bottom w:val="single" w:sz="12" w:space="0" w:color="000000"/>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r>
      <w:tr w:rsidR="00335ADE" w:rsidRPr="00C433EE" w:rsidTr="007B0983">
        <w:trPr>
          <w:trHeight w:val="240"/>
        </w:trPr>
        <w:tc>
          <w:tcPr>
            <w:tcW w:w="10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35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60" w:type="dxa"/>
            <w:tcBorders>
              <w:top w:val="single" w:sz="12"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60" w:type="dxa"/>
            <w:tcBorders>
              <w:top w:val="single" w:sz="12"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37" w:type="dxa"/>
            <w:tcBorders>
              <w:top w:val="single" w:sz="12"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67" w:type="dxa"/>
            <w:tcBorders>
              <w:top w:val="single" w:sz="12"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single" w:sz="12"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b/>
                <w:bCs/>
                <w:color w:val="000000"/>
                <w:sz w:val="18"/>
                <w:szCs w:val="18"/>
              </w:rPr>
            </w:pPr>
            <w:r w:rsidRPr="00C433EE">
              <w:rPr>
                <w:rFonts w:ascii="Arial" w:eastAsia="Times New Roman" w:hAnsi="Arial" w:cs="Arial"/>
                <w:b/>
                <w:bCs/>
                <w:color w:val="000000"/>
                <w:sz w:val="18"/>
                <w:szCs w:val="18"/>
              </w:rPr>
              <w:t>Datum</w:t>
            </w: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b/>
                <w:bCs/>
                <w:color w:val="000000"/>
                <w:sz w:val="18"/>
                <w:szCs w:val="18"/>
              </w:rPr>
            </w:pPr>
          </w:p>
        </w:tc>
      </w:tr>
      <w:tr w:rsidR="00335ADE" w:rsidRPr="00C433EE" w:rsidTr="007B0983">
        <w:trPr>
          <w:trHeight w:val="240"/>
        </w:trPr>
        <w:tc>
          <w:tcPr>
            <w:tcW w:w="1067"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b/>
                <w:bCs/>
                <w:color w:val="000000"/>
                <w:sz w:val="18"/>
                <w:szCs w:val="18"/>
              </w:rPr>
            </w:pPr>
            <w:r w:rsidRPr="00C433EE">
              <w:rPr>
                <w:rFonts w:ascii="Arial" w:eastAsia="Times New Roman" w:hAnsi="Arial" w:cs="Arial"/>
                <w:b/>
                <w:bCs/>
                <w:color w:val="000000"/>
                <w:sz w:val="18"/>
                <w:szCs w:val="18"/>
              </w:rPr>
              <w:t>Typ</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b/>
                <w:bCs/>
                <w:color w:val="000000"/>
                <w:sz w:val="18"/>
                <w:szCs w:val="18"/>
              </w:rPr>
            </w:pPr>
            <w:r w:rsidRPr="00C433EE">
              <w:rPr>
                <w:rFonts w:ascii="Arial" w:eastAsia="Times New Roman" w:hAnsi="Arial" w:cs="Arial"/>
                <w:b/>
                <w:bCs/>
                <w:color w:val="000000"/>
                <w:sz w:val="18"/>
                <w:szCs w:val="18"/>
              </w:rPr>
              <w:t>Číslo</w:t>
            </w:r>
          </w:p>
        </w:tc>
        <w:tc>
          <w:tcPr>
            <w:tcW w:w="1000"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b/>
                <w:bCs/>
                <w:color w:val="000000"/>
                <w:sz w:val="18"/>
                <w:szCs w:val="18"/>
              </w:rPr>
            </w:pPr>
            <w:r w:rsidRPr="00C433EE">
              <w:rPr>
                <w:rFonts w:ascii="Arial" w:eastAsia="Times New Roman" w:hAnsi="Arial" w:cs="Arial"/>
                <w:b/>
                <w:bCs/>
                <w:color w:val="000000"/>
                <w:sz w:val="18"/>
                <w:szCs w:val="18"/>
              </w:rPr>
              <w:t>pořízení</w:t>
            </w: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b/>
                <w:bCs/>
                <w:color w:val="000000"/>
                <w:sz w:val="18"/>
                <w:szCs w:val="18"/>
              </w:rPr>
            </w:pPr>
            <w:r w:rsidRPr="00C433EE">
              <w:rPr>
                <w:rFonts w:ascii="Arial" w:eastAsia="Times New Roman" w:hAnsi="Arial" w:cs="Arial"/>
                <w:b/>
                <w:bCs/>
                <w:color w:val="000000"/>
                <w:sz w:val="18"/>
                <w:szCs w:val="18"/>
              </w:rPr>
              <w:t>Název</w:t>
            </w: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859" w:type="dxa"/>
            <w:gridSpan w:val="2"/>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b/>
                <w:bCs/>
                <w:color w:val="000000"/>
                <w:sz w:val="18"/>
                <w:szCs w:val="18"/>
              </w:rPr>
            </w:pPr>
            <w:r w:rsidRPr="00C433EE">
              <w:rPr>
                <w:rFonts w:ascii="Arial" w:eastAsia="Times New Roman" w:hAnsi="Arial" w:cs="Arial"/>
                <w:b/>
                <w:bCs/>
                <w:color w:val="000000"/>
                <w:sz w:val="18"/>
                <w:szCs w:val="18"/>
              </w:rPr>
              <w:t>Počet</w:t>
            </w:r>
          </w:p>
        </w:tc>
        <w:tc>
          <w:tcPr>
            <w:tcW w:w="962" w:type="dxa"/>
            <w:gridSpan w:val="3"/>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b/>
                <w:bCs/>
                <w:color w:val="000000"/>
                <w:sz w:val="18"/>
                <w:szCs w:val="18"/>
              </w:rPr>
            </w:pPr>
            <w:proofErr w:type="spellStart"/>
            <w:r w:rsidRPr="00C433EE">
              <w:rPr>
                <w:rFonts w:ascii="Arial" w:eastAsia="Times New Roman" w:hAnsi="Arial" w:cs="Arial"/>
                <w:b/>
                <w:bCs/>
                <w:color w:val="000000"/>
                <w:sz w:val="18"/>
                <w:szCs w:val="18"/>
              </w:rPr>
              <w:t>Jedn</w:t>
            </w:r>
            <w:proofErr w:type="spellEnd"/>
            <w:r w:rsidRPr="00C433EE">
              <w:rPr>
                <w:rFonts w:ascii="Arial" w:eastAsia="Times New Roman" w:hAnsi="Arial" w:cs="Arial"/>
                <w:b/>
                <w:bCs/>
                <w:color w:val="000000"/>
                <w:sz w:val="18"/>
                <w:szCs w:val="18"/>
              </w:rPr>
              <w:t xml:space="preserve">. </w:t>
            </w:r>
            <w:proofErr w:type="gramStart"/>
            <w:r w:rsidRPr="00C433EE">
              <w:rPr>
                <w:rFonts w:ascii="Arial" w:eastAsia="Times New Roman" w:hAnsi="Arial" w:cs="Arial"/>
                <w:b/>
                <w:bCs/>
                <w:color w:val="000000"/>
                <w:sz w:val="18"/>
                <w:szCs w:val="18"/>
              </w:rPr>
              <w:t>cena</w:t>
            </w:r>
            <w:proofErr w:type="gramEnd"/>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67" w:type="dxa"/>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b/>
                <w:bCs/>
                <w:color w:val="000000"/>
                <w:sz w:val="18"/>
                <w:szCs w:val="18"/>
              </w:rPr>
            </w:pPr>
            <w:r w:rsidRPr="00C433EE">
              <w:rPr>
                <w:rFonts w:ascii="Arial" w:eastAsia="Times New Roman" w:hAnsi="Arial" w:cs="Arial"/>
                <w:b/>
                <w:bCs/>
                <w:color w:val="000000"/>
                <w:sz w:val="18"/>
                <w:szCs w:val="18"/>
              </w:rPr>
              <w:t>Celkem</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b/>
                <w:bCs/>
                <w:color w:val="000000"/>
                <w:sz w:val="18"/>
                <w:szCs w:val="18"/>
              </w:rPr>
            </w:pPr>
          </w:p>
        </w:tc>
      </w:tr>
      <w:tr w:rsidR="00335ADE" w:rsidRPr="00C433EE" w:rsidTr="007B0983">
        <w:trPr>
          <w:trHeight w:val="315"/>
        </w:trPr>
        <w:tc>
          <w:tcPr>
            <w:tcW w:w="1067"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352"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000"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20"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000"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914"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851"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05"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654"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442"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60"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60"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37"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67"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nil"/>
              <w:left w:val="nil"/>
              <w:bottom w:val="single" w:sz="8"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Hmotný</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352"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OE0163e</w:t>
            </w:r>
          </w:p>
        </w:tc>
        <w:tc>
          <w:tcPr>
            <w:tcW w:w="1220" w:type="dxa"/>
            <w:gridSpan w:val="2"/>
            <w:tcBorders>
              <w:top w:val="single" w:sz="8" w:space="0" w:color="000000"/>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proofErr w:type="gramStart"/>
            <w:r w:rsidRPr="00C433EE">
              <w:rPr>
                <w:rFonts w:ascii="Arial" w:eastAsia="Times New Roman" w:hAnsi="Arial" w:cs="Arial"/>
                <w:color w:val="000000"/>
                <w:sz w:val="18"/>
                <w:szCs w:val="18"/>
              </w:rPr>
              <w:t>01.01.1997</w:t>
            </w:r>
            <w:proofErr w:type="gramEnd"/>
          </w:p>
        </w:tc>
        <w:tc>
          <w:tcPr>
            <w:tcW w:w="2765" w:type="dxa"/>
            <w:gridSpan w:val="3"/>
            <w:tcBorders>
              <w:top w:val="single" w:sz="8" w:space="0" w:color="000000"/>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lavice koženková chirurgie</w:t>
            </w: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654" w:type="dxa"/>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1</w:t>
            </w:r>
          </w:p>
        </w:tc>
        <w:tc>
          <w:tcPr>
            <w:tcW w:w="962" w:type="dxa"/>
            <w:gridSpan w:val="3"/>
            <w:tcBorders>
              <w:top w:val="single" w:sz="8" w:space="0" w:color="000000"/>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800,00</w:t>
            </w:r>
          </w:p>
        </w:tc>
        <w:tc>
          <w:tcPr>
            <w:tcW w:w="2204" w:type="dxa"/>
            <w:gridSpan w:val="2"/>
            <w:tcBorders>
              <w:top w:val="single" w:sz="8" w:space="0" w:color="000000"/>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800,00</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Hmotný</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OE0163f</w:t>
            </w:r>
          </w:p>
        </w:tc>
        <w:tc>
          <w:tcPr>
            <w:tcW w:w="1220" w:type="dxa"/>
            <w:gridSpan w:val="2"/>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proofErr w:type="gramStart"/>
            <w:r w:rsidRPr="00C433EE">
              <w:rPr>
                <w:rFonts w:ascii="Arial" w:eastAsia="Times New Roman" w:hAnsi="Arial" w:cs="Arial"/>
                <w:color w:val="000000"/>
                <w:sz w:val="18"/>
                <w:szCs w:val="18"/>
              </w:rPr>
              <w:t>01.01.1997</w:t>
            </w:r>
            <w:proofErr w:type="gramEnd"/>
          </w:p>
        </w:tc>
        <w:tc>
          <w:tcPr>
            <w:tcW w:w="2765" w:type="dxa"/>
            <w:gridSpan w:val="3"/>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lavice koženková chirurgie</w:t>
            </w: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54" w:type="dxa"/>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1</w:t>
            </w:r>
          </w:p>
        </w:tc>
        <w:tc>
          <w:tcPr>
            <w:tcW w:w="962" w:type="dxa"/>
            <w:gridSpan w:val="3"/>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800,00</w:t>
            </w:r>
          </w:p>
        </w:tc>
        <w:tc>
          <w:tcPr>
            <w:tcW w:w="2204" w:type="dxa"/>
            <w:gridSpan w:val="2"/>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800,00</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Hmotný</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OE0163g</w:t>
            </w:r>
          </w:p>
        </w:tc>
        <w:tc>
          <w:tcPr>
            <w:tcW w:w="1220" w:type="dxa"/>
            <w:gridSpan w:val="2"/>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proofErr w:type="gramStart"/>
            <w:r w:rsidRPr="00C433EE">
              <w:rPr>
                <w:rFonts w:ascii="Arial" w:eastAsia="Times New Roman" w:hAnsi="Arial" w:cs="Arial"/>
                <w:color w:val="000000"/>
                <w:sz w:val="18"/>
                <w:szCs w:val="18"/>
              </w:rPr>
              <w:t>01.01.1997</w:t>
            </w:r>
            <w:proofErr w:type="gramEnd"/>
          </w:p>
        </w:tc>
        <w:tc>
          <w:tcPr>
            <w:tcW w:w="2765" w:type="dxa"/>
            <w:gridSpan w:val="3"/>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lavice koženková chirurgie</w:t>
            </w: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54" w:type="dxa"/>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1</w:t>
            </w:r>
          </w:p>
        </w:tc>
        <w:tc>
          <w:tcPr>
            <w:tcW w:w="962" w:type="dxa"/>
            <w:gridSpan w:val="3"/>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800,00</w:t>
            </w:r>
          </w:p>
        </w:tc>
        <w:tc>
          <w:tcPr>
            <w:tcW w:w="2204" w:type="dxa"/>
            <w:gridSpan w:val="2"/>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800,00</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Hmotný</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OE0163k</w:t>
            </w:r>
          </w:p>
        </w:tc>
        <w:tc>
          <w:tcPr>
            <w:tcW w:w="1220" w:type="dxa"/>
            <w:gridSpan w:val="2"/>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proofErr w:type="gramStart"/>
            <w:r w:rsidRPr="00C433EE">
              <w:rPr>
                <w:rFonts w:ascii="Arial" w:eastAsia="Times New Roman" w:hAnsi="Arial" w:cs="Arial"/>
                <w:color w:val="000000"/>
                <w:sz w:val="18"/>
                <w:szCs w:val="18"/>
              </w:rPr>
              <w:t>01.01.1997</w:t>
            </w:r>
            <w:proofErr w:type="gramEnd"/>
          </w:p>
        </w:tc>
        <w:tc>
          <w:tcPr>
            <w:tcW w:w="2765" w:type="dxa"/>
            <w:gridSpan w:val="3"/>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lavice koženková u chirurgie</w:t>
            </w: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54" w:type="dxa"/>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1</w:t>
            </w:r>
          </w:p>
        </w:tc>
        <w:tc>
          <w:tcPr>
            <w:tcW w:w="962" w:type="dxa"/>
            <w:gridSpan w:val="3"/>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800,00</w:t>
            </w:r>
          </w:p>
        </w:tc>
        <w:tc>
          <w:tcPr>
            <w:tcW w:w="2204" w:type="dxa"/>
            <w:gridSpan w:val="2"/>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800,00</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Hmotný</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OE0163l</w:t>
            </w:r>
          </w:p>
        </w:tc>
        <w:tc>
          <w:tcPr>
            <w:tcW w:w="1220" w:type="dxa"/>
            <w:gridSpan w:val="2"/>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proofErr w:type="gramStart"/>
            <w:r w:rsidRPr="00C433EE">
              <w:rPr>
                <w:rFonts w:ascii="Arial" w:eastAsia="Times New Roman" w:hAnsi="Arial" w:cs="Arial"/>
                <w:color w:val="000000"/>
                <w:sz w:val="18"/>
                <w:szCs w:val="18"/>
              </w:rPr>
              <w:t>01.01.1997</w:t>
            </w:r>
            <w:proofErr w:type="gramEnd"/>
          </w:p>
        </w:tc>
        <w:tc>
          <w:tcPr>
            <w:tcW w:w="2765" w:type="dxa"/>
            <w:gridSpan w:val="3"/>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lavice koženková u chirurgie</w:t>
            </w: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54" w:type="dxa"/>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1</w:t>
            </w:r>
          </w:p>
        </w:tc>
        <w:tc>
          <w:tcPr>
            <w:tcW w:w="962" w:type="dxa"/>
            <w:gridSpan w:val="3"/>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800,00</w:t>
            </w:r>
          </w:p>
        </w:tc>
        <w:tc>
          <w:tcPr>
            <w:tcW w:w="2204" w:type="dxa"/>
            <w:gridSpan w:val="2"/>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800,00</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Hmotný</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OE0163m</w:t>
            </w:r>
          </w:p>
        </w:tc>
        <w:tc>
          <w:tcPr>
            <w:tcW w:w="1220" w:type="dxa"/>
            <w:gridSpan w:val="2"/>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proofErr w:type="gramStart"/>
            <w:r w:rsidRPr="00C433EE">
              <w:rPr>
                <w:rFonts w:ascii="Arial" w:eastAsia="Times New Roman" w:hAnsi="Arial" w:cs="Arial"/>
                <w:color w:val="000000"/>
                <w:sz w:val="18"/>
                <w:szCs w:val="18"/>
              </w:rPr>
              <w:t>01.01.1997</w:t>
            </w:r>
            <w:proofErr w:type="gramEnd"/>
          </w:p>
        </w:tc>
        <w:tc>
          <w:tcPr>
            <w:tcW w:w="2765" w:type="dxa"/>
            <w:gridSpan w:val="3"/>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lavice koženková u chirurgie</w:t>
            </w: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54" w:type="dxa"/>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1</w:t>
            </w:r>
          </w:p>
        </w:tc>
        <w:tc>
          <w:tcPr>
            <w:tcW w:w="962" w:type="dxa"/>
            <w:gridSpan w:val="3"/>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800,00</w:t>
            </w:r>
          </w:p>
        </w:tc>
        <w:tc>
          <w:tcPr>
            <w:tcW w:w="2204" w:type="dxa"/>
            <w:gridSpan w:val="2"/>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800,00</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single" w:sz="4" w:space="0" w:color="000000"/>
              <w:left w:val="single" w:sz="4" w:space="0" w:color="000000"/>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352"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000"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20"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000"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914"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851"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05"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654"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442"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60"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60"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37"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67" w:type="dxa"/>
            <w:tcBorders>
              <w:top w:val="single" w:sz="4" w:space="0" w:color="000000"/>
              <w:left w:val="nil"/>
              <w:bottom w:val="nil"/>
              <w:right w:val="single" w:sz="4" w:space="0" w:color="auto"/>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single" w:sz="4" w:space="0" w:color="000000"/>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970" w:type="dxa"/>
            <w:gridSpan w:val="4"/>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Hmotný majetek:</w:t>
            </w:r>
          </w:p>
        </w:tc>
        <w:tc>
          <w:tcPr>
            <w:tcW w:w="654" w:type="dxa"/>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6</w:t>
            </w: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464" w:type="dxa"/>
            <w:gridSpan w:val="3"/>
            <w:tcBorders>
              <w:top w:val="nil"/>
              <w:left w:val="nil"/>
              <w:bottom w:val="nil"/>
              <w:right w:val="single" w:sz="4" w:space="0" w:color="000000"/>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4 800,00</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single" w:sz="4" w:space="0" w:color="000000"/>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970" w:type="dxa"/>
            <w:gridSpan w:val="4"/>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Nehmotný majetek:</w:t>
            </w:r>
          </w:p>
        </w:tc>
        <w:tc>
          <w:tcPr>
            <w:tcW w:w="654" w:type="dxa"/>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0</w:t>
            </w: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464" w:type="dxa"/>
            <w:gridSpan w:val="3"/>
            <w:tcBorders>
              <w:top w:val="nil"/>
              <w:left w:val="nil"/>
              <w:bottom w:val="nil"/>
              <w:right w:val="single" w:sz="4" w:space="0" w:color="000000"/>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0,00</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single" w:sz="4" w:space="0" w:color="000000"/>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3134" w:type="dxa"/>
            <w:gridSpan w:val="4"/>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color w:val="000000"/>
                <w:sz w:val="18"/>
                <w:szCs w:val="18"/>
              </w:rPr>
            </w:pPr>
            <w:r w:rsidRPr="00C433EE">
              <w:rPr>
                <w:rFonts w:ascii="Arial" w:eastAsia="Times New Roman" w:hAnsi="Arial" w:cs="Arial"/>
                <w:color w:val="000000"/>
                <w:sz w:val="18"/>
                <w:szCs w:val="18"/>
              </w:rPr>
              <w:t>Aktuální hodnota drobného m</w:t>
            </w:r>
            <w:r>
              <w:rPr>
                <w:rFonts w:ascii="Arial" w:eastAsia="Times New Roman" w:hAnsi="Arial" w:cs="Arial"/>
                <w:color w:val="000000"/>
                <w:sz w:val="18"/>
                <w:szCs w:val="18"/>
              </w:rPr>
              <w:t>0</w:t>
            </w:r>
            <w:r w:rsidRPr="00C433EE">
              <w:rPr>
                <w:rFonts w:ascii="Arial" w:eastAsia="Times New Roman" w:hAnsi="Arial" w:cs="Arial"/>
                <w:color w:val="000000"/>
                <w:sz w:val="18"/>
                <w:szCs w:val="18"/>
              </w:rPr>
              <w:t>ajetku:</w:t>
            </w: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54" w:type="dxa"/>
            <w:tcBorders>
              <w:top w:val="nil"/>
              <w:left w:val="nil"/>
              <w:bottom w:val="nil"/>
              <w:right w:val="nil"/>
            </w:tcBorders>
            <w:shd w:val="clear" w:color="auto" w:fill="auto"/>
            <w:noWrap/>
            <w:hideMark/>
          </w:tcPr>
          <w:p w:rsidR="00335ADE" w:rsidRPr="00C433EE" w:rsidRDefault="00335ADE" w:rsidP="007B0983">
            <w:pPr>
              <w:widowControl/>
              <w:suppressAutoHyphens w:val="0"/>
              <w:jc w:val="right"/>
              <w:rPr>
                <w:rFonts w:ascii="Arial" w:eastAsia="Times New Roman" w:hAnsi="Arial" w:cs="Arial"/>
                <w:b/>
                <w:bCs/>
                <w:color w:val="000000"/>
                <w:sz w:val="18"/>
                <w:szCs w:val="18"/>
              </w:rPr>
            </w:pPr>
            <w:r w:rsidRPr="00C433EE">
              <w:rPr>
                <w:rFonts w:ascii="Arial" w:eastAsia="Times New Roman" w:hAnsi="Arial" w:cs="Arial"/>
                <w:b/>
                <w:bCs/>
                <w:color w:val="000000"/>
                <w:sz w:val="18"/>
                <w:szCs w:val="18"/>
              </w:rPr>
              <w:t>6</w:t>
            </w: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464" w:type="dxa"/>
            <w:gridSpan w:val="3"/>
            <w:tcBorders>
              <w:top w:val="nil"/>
              <w:left w:val="nil"/>
              <w:bottom w:val="nil"/>
              <w:right w:val="single" w:sz="4" w:space="0" w:color="000000"/>
            </w:tcBorders>
            <w:shd w:val="clear" w:color="auto" w:fill="auto"/>
            <w:noWrap/>
            <w:hideMark/>
          </w:tcPr>
          <w:p w:rsidR="00335ADE" w:rsidRPr="00C433EE" w:rsidRDefault="00335ADE" w:rsidP="007B0983">
            <w:pPr>
              <w:widowControl/>
              <w:suppressAutoHyphens w:val="0"/>
              <w:jc w:val="right"/>
              <w:rPr>
                <w:rFonts w:ascii="Arial" w:eastAsia="Times New Roman" w:hAnsi="Arial" w:cs="Arial"/>
                <w:b/>
                <w:bCs/>
                <w:color w:val="000000"/>
                <w:sz w:val="18"/>
                <w:szCs w:val="18"/>
              </w:rPr>
            </w:pPr>
            <w:r w:rsidRPr="00C433EE">
              <w:rPr>
                <w:rFonts w:ascii="Arial" w:eastAsia="Times New Roman" w:hAnsi="Arial" w:cs="Arial"/>
                <w:b/>
                <w:bCs/>
                <w:color w:val="000000"/>
                <w:sz w:val="18"/>
                <w:szCs w:val="18"/>
              </w:rPr>
              <w:t>4 800,00</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single" w:sz="4" w:space="0" w:color="000000"/>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single" w:sz="4"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37" w:type="dxa"/>
            <w:tcBorders>
              <w:top w:val="nil"/>
              <w:left w:val="nil"/>
              <w:bottom w:val="single" w:sz="4" w:space="0" w:color="000000"/>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67" w:type="dxa"/>
            <w:tcBorders>
              <w:top w:val="nil"/>
              <w:left w:val="nil"/>
              <w:bottom w:val="single" w:sz="4" w:space="0" w:color="000000"/>
              <w:right w:val="single" w:sz="4" w:space="0" w:color="auto"/>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352"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000"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20"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000"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914"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851"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05"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654"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442"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60" w:type="dxa"/>
            <w:tcBorders>
              <w:top w:val="single" w:sz="4" w:space="0" w:color="000000"/>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r w:rsidRPr="00C433EE">
              <w:rPr>
                <w:rFonts w:ascii="Arial" w:eastAsia="Times New Roman" w:hAnsi="Arial" w:cs="Arial"/>
                <w:color w:val="000000"/>
                <w:sz w:val="18"/>
                <w:szCs w:val="18"/>
              </w:rPr>
              <w:t> </w:t>
            </w: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35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40"/>
        </w:trPr>
        <w:tc>
          <w:tcPr>
            <w:tcW w:w="1067" w:type="dxa"/>
            <w:tcBorders>
              <w:top w:val="nil"/>
              <w:left w:val="nil"/>
              <w:bottom w:val="nil"/>
              <w:right w:val="nil"/>
            </w:tcBorders>
            <w:shd w:val="clear" w:color="auto" w:fill="auto"/>
            <w:noWrap/>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5337" w:type="dxa"/>
            <w:gridSpan w:val="6"/>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r w:rsidRPr="00C433EE">
              <w:rPr>
                <w:rFonts w:ascii="Calibri" w:eastAsia="Times New Roman" w:hAnsi="Calibri" w:cs="Calibri"/>
                <w:color w:val="000000"/>
                <w:sz w:val="22"/>
                <w:szCs w:val="22"/>
              </w:rPr>
              <w:t>Výpočet roční nájem 10% z celkové hodnoty majetku</w:t>
            </w: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270"/>
        </w:trPr>
        <w:tc>
          <w:tcPr>
            <w:tcW w:w="10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3572" w:type="dxa"/>
            <w:gridSpan w:val="4"/>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r w:rsidRPr="00C433EE">
              <w:rPr>
                <w:rFonts w:ascii="Calibri" w:eastAsia="Times New Roman" w:hAnsi="Calibri" w:cs="Calibri"/>
                <w:color w:val="000000"/>
                <w:sz w:val="22"/>
                <w:szCs w:val="22"/>
              </w:rPr>
              <w:t>(4800/100)*10=480</w:t>
            </w: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Arial" w:eastAsia="Times New Roman" w:hAnsi="Arial" w:cs="Arial"/>
                <w:color w:val="000000"/>
                <w:sz w:val="18"/>
                <w:szCs w:val="18"/>
              </w:rPr>
            </w:pPr>
          </w:p>
        </w:tc>
      </w:tr>
      <w:tr w:rsidR="00335ADE" w:rsidRPr="00C433EE" w:rsidTr="007B0983">
        <w:trPr>
          <w:trHeight w:val="300"/>
        </w:trPr>
        <w:tc>
          <w:tcPr>
            <w:tcW w:w="10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35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r>
      <w:tr w:rsidR="00335ADE" w:rsidRPr="00C433EE" w:rsidTr="007B0983">
        <w:trPr>
          <w:trHeight w:val="300"/>
        </w:trPr>
        <w:tc>
          <w:tcPr>
            <w:tcW w:w="10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3572" w:type="dxa"/>
            <w:gridSpan w:val="4"/>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r w:rsidRPr="00C433EE">
              <w:rPr>
                <w:rFonts w:ascii="Calibri" w:eastAsia="Times New Roman" w:hAnsi="Calibri" w:cs="Calibri"/>
                <w:color w:val="000000"/>
                <w:sz w:val="22"/>
                <w:szCs w:val="22"/>
              </w:rPr>
              <w:t>Výpočet měsíčního nájmu maje</w:t>
            </w:r>
            <w:r>
              <w:rPr>
                <w:rFonts w:ascii="Calibri" w:eastAsia="Times New Roman" w:hAnsi="Calibri" w:cs="Calibri"/>
                <w:color w:val="000000"/>
                <w:sz w:val="22"/>
                <w:szCs w:val="22"/>
              </w:rPr>
              <w:t>tku</w:t>
            </w: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r>
      <w:tr w:rsidR="00335ADE" w:rsidRPr="00C433EE" w:rsidTr="007B0983">
        <w:trPr>
          <w:trHeight w:val="300"/>
        </w:trPr>
        <w:tc>
          <w:tcPr>
            <w:tcW w:w="10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352" w:type="dxa"/>
            <w:gridSpan w:val="2"/>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r w:rsidRPr="00C433EE">
              <w:rPr>
                <w:rFonts w:ascii="Calibri" w:eastAsia="Times New Roman" w:hAnsi="Calibri" w:cs="Calibri"/>
                <w:color w:val="000000"/>
                <w:sz w:val="22"/>
                <w:szCs w:val="22"/>
              </w:rPr>
              <w:t>480/12=40</w:t>
            </w: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r>
      <w:tr w:rsidR="00335ADE" w:rsidRPr="00C433EE" w:rsidTr="007B0983">
        <w:trPr>
          <w:trHeight w:val="300"/>
        </w:trPr>
        <w:tc>
          <w:tcPr>
            <w:tcW w:w="10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35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r>
      <w:tr w:rsidR="00335ADE" w:rsidRPr="00C433EE" w:rsidTr="007B0983">
        <w:trPr>
          <w:trHeight w:val="300"/>
        </w:trPr>
        <w:tc>
          <w:tcPr>
            <w:tcW w:w="10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5337" w:type="dxa"/>
            <w:gridSpan w:val="6"/>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b/>
                <w:bCs/>
                <w:color w:val="000000"/>
                <w:sz w:val="22"/>
                <w:szCs w:val="22"/>
              </w:rPr>
            </w:pPr>
            <w:r w:rsidRPr="00C433EE">
              <w:rPr>
                <w:rFonts w:ascii="Calibri" w:eastAsia="Times New Roman" w:hAnsi="Calibri" w:cs="Calibri"/>
                <w:b/>
                <w:bCs/>
                <w:color w:val="000000"/>
                <w:sz w:val="22"/>
                <w:szCs w:val="22"/>
              </w:rPr>
              <w:t xml:space="preserve">Celková hodnota měsíčního </w:t>
            </w:r>
            <w:proofErr w:type="gramStart"/>
            <w:r w:rsidRPr="00C433EE">
              <w:rPr>
                <w:rFonts w:ascii="Calibri" w:eastAsia="Times New Roman" w:hAnsi="Calibri" w:cs="Calibri"/>
                <w:b/>
                <w:bCs/>
                <w:color w:val="000000"/>
                <w:sz w:val="22"/>
                <w:szCs w:val="22"/>
              </w:rPr>
              <w:t>nájmu  za</w:t>
            </w:r>
            <w:proofErr w:type="gramEnd"/>
            <w:r w:rsidRPr="00C433EE">
              <w:rPr>
                <w:rFonts w:ascii="Calibri" w:eastAsia="Times New Roman" w:hAnsi="Calibri" w:cs="Calibri"/>
                <w:b/>
                <w:bCs/>
                <w:color w:val="000000"/>
                <w:sz w:val="22"/>
                <w:szCs w:val="22"/>
              </w:rPr>
              <w:t xml:space="preserve"> vybavení 40,- Kč</w:t>
            </w: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r>
      <w:tr w:rsidR="00335ADE" w:rsidRPr="00C433EE" w:rsidTr="007B0983">
        <w:trPr>
          <w:trHeight w:val="300"/>
        </w:trPr>
        <w:tc>
          <w:tcPr>
            <w:tcW w:w="10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35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r>
      <w:tr w:rsidR="00335ADE" w:rsidRPr="00C433EE" w:rsidTr="007B0983">
        <w:trPr>
          <w:trHeight w:val="300"/>
        </w:trPr>
        <w:tc>
          <w:tcPr>
            <w:tcW w:w="10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35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00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91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05"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54"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442"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60"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23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67"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191"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c>
          <w:tcPr>
            <w:tcW w:w="628" w:type="dxa"/>
            <w:tcBorders>
              <w:top w:val="nil"/>
              <w:left w:val="nil"/>
              <w:bottom w:val="nil"/>
              <w:right w:val="nil"/>
            </w:tcBorders>
            <w:shd w:val="clear" w:color="auto" w:fill="auto"/>
            <w:noWrap/>
            <w:vAlign w:val="bottom"/>
            <w:hideMark/>
          </w:tcPr>
          <w:p w:rsidR="00335ADE" w:rsidRPr="00C433EE" w:rsidRDefault="00335ADE" w:rsidP="007B0983">
            <w:pPr>
              <w:widowControl/>
              <w:suppressAutoHyphens w:val="0"/>
              <w:rPr>
                <w:rFonts w:ascii="Calibri" w:eastAsia="Times New Roman" w:hAnsi="Calibri" w:cs="Calibri"/>
                <w:color w:val="000000"/>
                <w:sz w:val="22"/>
                <w:szCs w:val="22"/>
              </w:rPr>
            </w:pPr>
          </w:p>
        </w:tc>
      </w:tr>
    </w:tbl>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p w:rsidR="00335ADE" w:rsidRDefault="00335ADE" w:rsidP="00335ADE">
      <w:pPr>
        <w:spacing w:after="113"/>
        <w:ind w:firstLine="567"/>
        <w:jc w:val="both"/>
        <w:rPr>
          <w:rFonts w:cs="Tahoma"/>
        </w:rPr>
      </w:pPr>
    </w:p>
    <w:sectPr w:rsidR="00335ADE" w:rsidSect="00A14E81">
      <w:footnotePr>
        <w:pos w:val="beneathText"/>
      </w:footnotePr>
      <w:pgSz w:w="11905" w:h="16837"/>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A000BC"/>
    <w:rsid w:val="00076554"/>
    <w:rsid w:val="0008438E"/>
    <w:rsid w:val="0008729A"/>
    <w:rsid w:val="000A2FD8"/>
    <w:rsid w:val="000D6509"/>
    <w:rsid w:val="000D7665"/>
    <w:rsid w:val="000F5BDE"/>
    <w:rsid w:val="001011FA"/>
    <w:rsid w:val="001117EB"/>
    <w:rsid w:val="0012403C"/>
    <w:rsid w:val="00124C75"/>
    <w:rsid w:val="00187B6E"/>
    <w:rsid w:val="001B35DE"/>
    <w:rsid w:val="00222FD1"/>
    <w:rsid w:val="0022641B"/>
    <w:rsid w:val="0023378E"/>
    <w:rsid w:val="00273A13"/>
    <w:rsid w:val="002A1243"/>
    <w:rsid w:val="002D2EEE"/>
    <w:rsid w:val="00331DC9"/>
    <w:rsid w:val="00335ADE"/>
    <w:rsid w:val="00345BA1"/>
    <w:rsid w:val="00363222"/>
    <w:rsid w:val="00383983"/>
    <w:rsid w:val="0039456C"/>
    <w:rsid w:val="003A4D51"/>
    <w:rsid w:val="003B1F8D"/>
    <w:rsid w:val="003B5F2B"/>
    <w:rsid w:val="003D493D"/>
    <w:rsid w:val="00416AB2"/>
    <w:rsid w:val="004207B7"/>
    <w:rsid w:val="004225E9"/>
    <w:rsid w:val="00460412"/>
    <w:rsid w:val="0048445E"/>
    <w:rsid w:val="00494E3B"/>
    <w:rsid w:val="004A3413"/>
    <w:rsid w:val="004A5C99"/>
    <w:rsid w:val="0050008B"/>
    <w:rsid w:val="005524FC"/>
    <w:rsid w:val="00591911"/>
    <w:rsid w:val="005A0991"/>
    <w:rsid w:val="005A6557"/>
    <w:rsid w:val="005E1559"/>
    <w:rsid w:val="005E34F9"/>
    <w:rsid w:val="005E4747"/>
    <w:rsid w:val="005F45C8"/>
    <w:rsid w:val="00634659"/>
    <w:rsid w:val="00657706"/>
    <w:rsid w:val="0068736B"/>
    <w:rsid w:val="00694F3A"/>
    <w:rsid w:val="006B03F1"/>
    <w:rsid w:val="006E3BD0"/>
    <w:rsid w:val="006F6DB7"/>
    <w:rsid w:val="00742DF6"/>
    <w:rsid w:val="007536EE"/>
    <w:rsid w:val="00764725"/>
    <w:rsid w:val="00765F38"/>
    <w:rsid w:val="00790E08"/>
    <w:rsid w:val="007A410E"/>
    <w:rsid w:val="007C1A44"/>
    <w:rsid w:val="007D7139"/>
    <w:rsid w:val="007E1CB0"/>
    <w:rsid w:val="00831B37"/>
    <w:rsid w:val="00846AE6"/>
    <w:rsid w:val="0085295F"/>
    <w:rsid w:val="008641D2"/>
    <w:rsid w:val="00892640"/>
    <w:rsid w:val="008C0D2D"/>
    <w:rsid w:val="008E73EA"/>
    <w:rsid w:val="0092005C"/>
    <w:rsid w:val="00930A39"/>
    <w:rsid w:val="00930AB9"/>
    <w:rsid w:val="00944149"/>
    <w:rsid w:val="00986231"/>
    <w:rsid w:val="009B7AC1"/>
    <w:rsid w:val="009D353A"/>
    <w:rsid w:val="009D3623"/>
    <w:rsid w:val="009E101C"/>
    <w:rsid w:val="00A000BC"/>
    <w:rsid w:val="00A14E81"/>
    <w:rsid w:val="00A66695"/>
    <w:rsid w:val="00A80AA1"/>
    <w:rsid w:val="00A84D24"/>
    <w:rsid w:val="00B104DA"/>
    <w:rsid w:val="00B33CE7"/>
    <w:rsid w:val="00B4009C"/>
    <w:rsid w:val="00B4502F"/>
    <w:rsid w:val="00B61309"/>
    <w:rsid w:val="00B6135E"/>
    <w:rsid w:val="00B67822"/>
    <w:rsid w:val="00B853AB"/>
    <w:rsid w:val="00BA72F7"/>
    <w:rsid w:val="00BC225F"/>
    <w:rsid w:val="00BC4A11"/>
    <w:rsid w:val="00BF3FAF"/>
    <w:rsid w:val="00C022C5"/>
    <w:rsid w:val="00C11EFF"/>
    <w:rsid w:val="00C433EE"/>
    <w:rsid w:val="00C616B2"/>
    <w:rsid w:val="00C976EA"/>
    <w:rsid w:val="00CC5A9F"/>
    <w:rsid w:val="00D13B56"/>
    <w:rsid w:val="00D24F87"/>
    <w:rsid w:val="00D572A0"/>
    <w:rsid w:val="00D60646"/>
    <w:rsid w:val="00DD2EAC"/>
    <w:rsid w:val="00DE6122"/>
    <w:rsid w:val="00DE7717"/>
    <w:rsid w:val="00DF47C6"/>
    <w:rsid w:val="00E33C5C"/>
    <w:rsid w:val="00E51414"/>
    <w:rsid w:val="00E57D11"/>
    <w:rsid w:val="00E634ED"/>
    <w:rsid w:val="00ED324F"/>
    <w:rsid w:val="00F05C8A"/>
    <w:rsid w:val="00F0731A"/>
    <w:rsid w:val="00F50223"/>
    <w:rsid w:val="00F5103D"/>
    <w:rsid w:val="00F74229"/>
    <w:rsid w:val="00FA1BBD"/>
    <w:rsid w:val="00FC770A"/>
    <w:rsid w:val="00FF134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0AA1"/>
    <w:pPr>
      <w:widowControl w:val="0"/>
      <w:suppressAutoHyphens/>
    </w:pPr>
    <w:rPr>
      <w:rFonts w:eastAsia="Lucida Sans Unicode"/>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80AA1"/>
  </w:style>
  <w:style w:type="paragraph" w:customStyle="1" w:styleId="Nadpis">
    <w:name w:val="Nadpis"/>
    <w:basedOn w:val="Normln"/>
    <w:next w:val="Zkladntext"/>
    <w:rsid w:val="00A80AA1"/>
    <w:pPr>
      <w:keepNext/>
      <w:spacing w:before="240" w:after="120"/>
    </w:pPr>
    <w:rPr>
      <w:rFonts w:ascii="Arial" w:hAnsi="Arial" w:cs="Tahoma"/>
      <w:sz w:val="28"/>
      <w:szCs w:val="28"/>
    </w:rPr>
  </w:style>
  <w:style w:type="paragraph" w:styleId="Zkladntext">
    <w:name w:val="Body Text"/>
    <w:basedOn w:val="Normln"/>
    <w:rsid w:val="00A80AA1"/>
    <w:pPr>
      <w:spacing w:after="120"/>
    </w:pPr>
  </w:style>
  <w:style w:type="paragraph" w:styleId="Seznam">
    <w:name w:val="List"/>
    <w:basedOn w:val="Zkladntext"/>
    <w:rsid w:val="00A80AA1"/>
    <w:rPr>
      <w:rFonts w:cs="Tahoma"/>
    </w:rPr>
  </w:style>
  <w:style w:type="paragraph" w:customStyle="1" w:styleId="Popisek">
    <w:name w:val="Popisek"/>
    <w:basedOn w:val="Normln"/>
    <w:rsid w:val="00A80AA1"/>
    <w:pPr>
      <w:suppressLineNumbers/>
      <w:spacing w:before="120" w:after="120"/>
    </w:pPr>
    <w:rPr>
      <w:rFonts w:cs="Tahoma"/>
      <w:i/>
      <w:iCs/>
    </w:rPr>
  </w:style>
  <w:style w:type="paragraph" w:customStyle="1" w:styleId="Rejstk">
    <w:name w:val="Rejstřík"/>
    <w:basedOn w:val="Normln"/>
    <w:rsid w:val="00A80AA1"/>
    <w:pPr>
      <w:suppressLineNumbers/>
    </w:pPr>
    <w:rPr>
      <w:rFonts w:cs="Tahoma"/>
    </w:rPr>
  </w:style>
</w:styles>
</file>

<file path=word/webSettings.xml><?xml version="1.0" encoding="utf-8"?>
<w:webSettings xmlns:r="http://schemas.openxmlformats.org/officeDocument/2006/relationships" xmlns:w="http://schemas.openxmlformats.org/wordprocessingml/2006/main">
  <w:divs>
    <w:div w:id="20153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D6BB6-E730-4DBF-BAB4-0EE1DAC8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1319</Words>
  <Characters>7787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Dodatek č</vt:lpstr>
    </vt:vector>
  </TitlesOfParts>
  <Company>ÚSP Kralovice</Company>
  <LinksUpToDate>false</LinksUpToDate>
  <CharactersWithSpaces>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Mgr. Lenka Radochová</dc:creator>
  <cp:lastModifiedBy>Jana Šuldová</cp:lastModifiedBy>
  <cp:revision>3</cp:revision>
  <cp:lastPrinted>2021-02-01T11:30:00Z</cp:lastPrinted>
  <dcterms:created xsi:type="dcterms:W3CDTF">2021-02-10T12:10:00Z</dcterms:created>
  <dcterms:modified xsi:type="dcterms:W3CDTF">2021-02-10T12:11:00Z</dcterms:modified>
</cp:coreProperties>
</file>