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4997B" w14:textId="77777777" w:rsidR="00B83375" w:rsidRDefault="00BF0520">
      <w:pPr>
        <w:pStyle w:val="Heading10"/>
        <w:framePr w:w="9187" w:h="5437" w:hRule="exact" w:wrap="none" w:vAnchor="page" w:hAnchor="page" w:x="1304" w:y="1213"/>
        <w:shd w:val="clear" w:color="auto" w:fill="auto"/>
      </w:pPr>
      <w:bookmarkStart w:id="0" w:name="bookmark0"/>
      <w:r>
        <w:t>Níže uvedeného dne, měsíce a roku:</w:t>
      </w:r>
      <w:bookmarkEnd w:id="0"/>
    </w:p>
    <w:p w14:paraId="6334997C" w14:textId="77777777" w:rsidR="00B83375" w:rsidRDefault="00BF0520">
      <w:pPr>
        <w:pStyle w:val="Heading10"/>
        <w:framePr w:w="9187" w:h="5437" w:hRule="exact" w:wrap="none" w:vAnchor="page" w:hAnchor="page" w:x="1304" w:y="1213"/>
        <w:numPr>
          <w:ilvl w:val="0"/>
          <w:numId w:val="1"/>
        </w:numPr>
        <w:shd w:val="clear" w:color="auto" w:fill="auto"/>
        <w:tabs>
          <w:tab w:val="left" w:pos="312"/>
        </w:tabs>
      </w:pPr>
      <w:bookmarkStart w:id="1" w:name="bookmark1"/>
      <w:r>
        <w:t>Základní škola a mateřská škola Jihlava, Nad Plovárnou 5, příspěvková organizace</w:t>
      </w:r>
      <w:bookmarkEnd w:id="1"/>
    </w:p>
    <w:p w14:paraId="75917E8A" w14:textId="77777777" w:rsidR="00BF0520" w:rsidRDefault="00BF0520">
      <w:pPr>
        <w:pStyle w:val="Bodytext20"/>
        <w:framePr w:w="9187" w:h="5437" w:hRule="exact" w:wrap="none" w:vAnchor="page" w:hAnchor="page" w:x="1304" w:y="1213"/>
        <w:shd w:val="clear" w:color="auto" w:fill="auto"/>
        <w:ind w:right="1460"/>
        <w:rPr>
          <w:rStyle w:val="Bodytext2Bold"/>
        </w:rPr>
      </w:pPr>
      <w:r>
        <w:t xml:space="preserve">Nad Plovárnou 4494/5, 586 01 Jihlava IČ: 47366354                                                              </w:t>
      </w:r>
      <w:r>
        <w:t xml:space="preserve">zástupce: Mgr. Jiří Šaufl, ředitel školy                                                                                                    </w:t>
      </w:r>
      <w:r>
        <w:t xml:space="preserve">dále označovaný též jako </w:t>
      </w:r>
      <w:r>
        <w:rPr>
          <w:rStyle w:val="Bodytext2Bold"/>
        </w:rPr>
        <w:t xml:space="preserve">"Nabyvatel" </w:t>
      </w:r>
    </w:p>
    <w:p w14:paraId="6334997D" w14:textId="239711C5" w:rsidR="00B83375" w:rsidRDefault="00BF0520">
      <w:pPr>
        <w:pStyle w:val="Bodytext20"/>
        <w:framePr w:w="9187" w:h="5437" w:hRule="exact" w:wrap="none" w:vAnchor="page" w:hAnchor="page" w:x="1304" w:y="1213"/>
        <w:shd w:val="clear" w:color="auto" w:fill="auto"/>
        <w:ind w:right="1460"/>
      </w:pPr>
      <w:r>
        <w:rPr>
          <w:rStyle w:val="Bodytext2Bold"/>
        </w:rPr>
        <w:t>a</w:t>
      </w:r>
    </w:p>
    <w:p w14:paraId="6334997E" w14:textId="50B08E3B" w:rsidR="00B83375" w:rsidRDefault="00BF0520">
      <w:pPr>
        <w:pStyle w:val="Heading10"/>
        <w:framePr w:w="9187" w:h="5437" w:hRule="exact" w:wrap="none" w:vAnchor="page" w:hAnchor="page" w:x="1304" w:y="1213"/>
        <w:numPr>
          <w:ilvl w:val="0"/>
          <w:numId w:val="1"/>
        </w:numPr>
        <w:shd w:val="clear" w:color="auto" w:fill="auto"/>
        <w:tabs>
          <w:tab w:val="left" w:pos="312"/>
        </w:tabs>
      </w:pPr>
      <w:bookmarkStart w:id="2" w:name="bookmark2"/>
      <w:r>
        <w:t xml:space="preserve">Hudební </w:t>
      </w:r>
      <w:r>
        <w:t>divadlo v Karlí</w:t>
      </w:r>
      <w:r>
        <w:t>ně</w:t>
      </w:r>
      <w:bookmarkEnd w:id="2"/>
    </w:p>
    <w:p w14:paraId="6334997F" w14:textId="24DC4E14" w:rsidR="00B83375" w:rsidRDefault="00BF0520">
      <w:pPr>
        <w:pStyle w:val="Bodytext20"/>
        <w:framePr w:w="9187" w:h="5437" w:hRule="exact" w:wrap="none" w:vAnchor="page" w:hAnchor="page" w:x="1304" w:y="1213"/>
        <w:shd w:val="clear" w:color="auto" w:fill="auto"/>
        <w:ind w:right="1460"/>
      </w:pPr>
      <w:r>
        <w:t xml:space="preserve">Křižíkova 283/10, Karlín, 186 00 Praha IČ: 00064335                                                                          </w:t>
      </w:r>
      <w:r>
        <w:t xml:space="preserve">dále označovaný též jako </w:t>
      </w:r>
      <w:r>
        <w:rPr>
          <w:rStyle w:val="Bodytext2Bold"/>
        </w:rPr>
        <w:t>"Poskytovatel"</w:t>
      </w:r>
    </w:p>
    <w:p w14:paraId="63349980" w14:textId="77777777" w:rsidR="00B83375" w:rsidRDefault="00BF0520">
      <w:pPr>
        <w:pStyle w:val="Heading10"/>
        <w:framePr w:w="9187" w:h="5437" w:hRule="exact" w:wrap="none" w:vAnchor="page" w:hAnchor="page" w:x="1304" w:y="1213"/>
        <w:shd w:val="clear" w:color="auto" w:fill="auto"/>
      </w:pPr>
      <w:bookmarkStart w:id="3" w:name="bookmark3"/>
      <w:r>
        <w:t>(Nabyvatel a Poskytovatel označováni společně dále též jako "Smluvní strany")</w:t>
      </w:r>
      <w:bookmarkEnd w:id="3"/>
    </w:p>
    <w:p w14:paraId="63349981" w14:textId="08E5899A" w:rsidR="00B83375" w:rsidRDefault="00BF0520">
      <w:pPr>
        <w:pStyle w:val="Bodytext20"/>
        <w:framePr w:w="9187" w:h="5437" w:hRule="exact" w:wrap="none" w:vAnchor="page" w:hAnchor="page" w:x="1304" w:y="1213"/>
        <w:shd w:val="clear" w:color="auto" w:fill="auto"/>
      </w:pPr>
      <w:r>
        <w:t>u</w:t>
      </w:r>
      <w:r>
        <w:t>zavřely</w:t>
      </w:r>
    </w:p>
    <w:p w14:paraId="63349982" w14:textId="77777777" w:rsidR="00B83375" w:rsidRDefault="00BF0520">
      <w:pPr>
        <w:pStyle w:val="Heading10"/>
        <w:framePr w:w="9187" w:h="5437" w:hRule="exact" w:wrap="none" w:vAnchor="page" w:hAnchor="page" w:x="1304" w:y="1213"/>
        <w:shd w:val="clear" w:color="auto" w:fill="auto"/>
        <w:jc w:val="center"/>
      </w:pPr>
      <w:bookmarkStart w:id="4" w:name="bookmark4"/>
      <w:r>
        <w:t>DOHODU O VZÁJEMNÉM VYPOŘÁDÁNÍ</w:t>
      </w:r>
      <w:bookmarkEnd w:id="4"/>
    </w:p>
    <w:p w14:paraId="63349983" w14:textId="77777777" w:rsidR="00B83375" w:rsidRDefault="00BF0520">
      <w:pPr>
        <w:pStyle w:val="Heading10"/>
        <w:framePr w:w="9187" w:h="6735" w:hRule="exact" w:wrap="none" w:vAnchor="page" w:hAnchor="page" w:x="1304" w:y="6768"/>
        <w:shd w:val="clear" w:color="auto" w:fill="auto"/>
        <w:spacing w:after="148" w:line="224" w:lineRule="exact"/>
      </w:pPr>
      <w:bookmarkStart w:id="5" w:name="bookmark5"/>
      <w:r>
        <w:t>VZHLEDEM K TOMU, ŽE:</w:t>
      </w:r>
      <w:bookmarkEnd w:id="5"/>
    </w:p>
    <w:p w14:paraId="63349984" w14:textId="77777777" w:rsidR="00B83375" w:rsidRDefault="00BF0520">
      <w:pPr>
        <w:pStyle w:val="Bodytext20"/>
        <w:framePr w:w="9187" w:h="6735" w:hRule="exact" w:wrap="none" w:vAnchor="page" w:hAnchor="page" w:x="1304" w:y="6768"/>
        <w:numPr>
          <w:ilvl w:val="0"/>
          <w:numId w:val="2"/>
        </w:numPr>
        <w:shd w:val="clear" w:color="auto" w:fill="auto"/>
        <w:tabs>
          <w:tab w:val="left" w:pos="380"/>
        </w:tabs>
        <w:spacing w:after="161" w:line="264" w:lineRule="exact"/>
        <w:jc w:val="both"/>
      </w:pPr>
      <w:r>
        <w:t>Nabyvatel dne 13. 03. 2019 uhradil fakturu č. 131900001 (51.520,00 Kč). Objednávka vztahující se k faktuře byla účinná dnem uveřejnění v registru smluv - 15. 03. 2019. Nabyvatel plnil před účinností objednávky. Protože došlo k oboustrannému plnění z této o</w:t>
      </w:r>
      <w:r>
        <w:t>bjednávky, obě smluvní strany se bezdůvodně obohatily dle zákona č. 89/2012 Sb., občanský zákoník (§ 2991 až 3005) o vypořádání bezdůvodného obohacení. Poskytovatel poskytl Nabyvateli objednané plnění a Nabyvatel zaplatil Poskytovateli za výše uvedené obje</w:t>
      </w:r>
      <w:r>
        <w:t>dnané plnění na základě vystavené faktury (dále jen „Objednávka") ve výši 51.520,00 Kč.</w:t>
      </w:r>
    </w:p>
    <w:p w14:paraId="63349985" w14:textId="77777777" w:rsidR="00B83375" w:rsidRDefault="00BF0520">
      <w:pPr>
        <w:pStyle w:val="Bodytext20"/>
        <w:framePr w:w="9187" w:h="6735" w:hRule="exact" w:wrap="none" w:vAnchor="page" w:hAnchor="page" w:x="1304" w:y="6768"/>
        <w:numPr>
          <w:ilvl w:val="0"/>
          <w:numId w:val="2"/>
        </w:numPr>
        <w:shd w:val="clear" w:color="auto" w:fill="auto"/>
        <w:tabs>
          <w:tab w:val="left" w:pos="375"/>
        </w:tabs>
        <w:spacing w:after="231" w:line="288" w:lineRule="exact"/>
        <w:jc w:val="both"/>
      </w:pPr>
      <w:r>
        <w:t>Smluvní strany si vzájemně poskytly faktické plnění z Objednávky již před jejím uveřejněním v Registru smluv, a tedy před účinností samotné Objednávky. V zájmu úpravy v</w:t>
      </w:r>
      <w:r>
        <w:t>zájemných práv a povinností vyplývajících z Objednávky, jakož i s ohledem na skutečnost, že obě Smluvní strany jednaly s vědomím závaznosti Objednávky a v souladu s jejím obsahem plnily, co si vzájemně ujednaly, a ve snaze napravit závadný stav vzniklý v d</w:t>
      </w:r>
      <w:r>
        <w:t>ůsledku plnění z Objednávky před jejím uveřejněním v Registru smluv, sjednávají Smluvní strany tuto dohodu o vypořádání bezdůvodného obohacení.</w:t>
      </w:r>
    </w:p>
    <w:p w14:paraId="63349986" w14:textId="77777777" w:rsidR="00B83375" w:rsidRDefault="00BF0520">
      <w:pPr>
        <w:pStyle w:val="Heading10"/>
        <w:framePr w:w="9187" w:h="6735" w:hRule="exact" w:wrap="none" w:vAnchor="page" w:hAnchor="page" w:x="1304" w:y="6768"/>
        <w:shd w:val="clear" w:color="auto" w:fill="auto"/>
        <w:spacing w:after="129" w:line="224" w:lineRule="exact"/>
      </w:pPr>
      <w:bookmarkStart w:id="6" w:name="bookmark6"/>
      <w:r>
        <w:t>I. Předmět dohody</w:t>
      </w:r>
      <w:bookmarkEnd w:id="6"/>
    </w:p>
    <w:p w14:paraId="63349987" w14:textId="77777777" w:rsidR="00B83375" w:rsidRDefault="00BF0520">
      <w:pPr>
        <w:pStyle w:val="Bodytext20"/>
        <w:framePr w:w="9187" w:h="6735" w:hRule="exact" w:wrap="none" w:vAnchor="page" w:hAnchor="page" w:x="1304" w:y="6768"/>
        <w:numPr>
          <w:ilvl w:val="0"/>
          <w:numId w:val="3"/>
        </w:numPr>
        <w:shd w:val="clear" w:color="auto" w:fill="auto"/>
        <w:tabs>
          <w:tab w:val="left" w:pos="312"/>
        </w:tabs>
        <w:spacing w:after="176" w:line="288" w:lineRule="exact"/>
        <w:jc w:val="both"/>
      </w:pPr>
      <w:r>
        <w:t xml:space="preserve">Smluvní strany prohlašují, že mezi nimi již došlo k oboustrannému plnění, vyspecifikovanému v </w:t>
      </w:r>
      <w:r>
        <w:t>bodě (A) preambule této dohody, a že mají zájem se vypořádat tím způsobem, že Nabyvatel již poskytnuté objednané plnění zcela užil, když naproti tomu je Poskytovatel oprávněn ponechat si již poukázanou finanční odměnu.</w:t>
      </w:r>
    </w:p>
    <w:p w14:paraId="63349988" w14:textId="77777777" w:rsidR="00B83375" w:rsidRDefault="00BF0520">
      <w:pPr>
        <w:pStyle w:val="Bodytext20"/>
        <w:framePr w:w="9187" w:h="6735" w:hRule="exact" w:wrap="none" w:vAnchor="page" w:hAnchor="page" w:x="1304" w:y="6768"/>
        <w:numPr>
          <w:ilvl w:val="0"/>
          <w:numId w:val="3"/>
        </w:numPr>
        <w:shd w:val="clear" w:color="auto" w:fill="auto"/>
        <w:tabs>
          <w:tab w:val="left" w:pos="312"/>
        </w:tabs>
        <w:spacing w:line="293" w:lineRule="exact"/>
        <w:jc w:val="both"/>
      </w:pPr>
      <w:r>
        <w:t>Smluvní strany prohlašují, že tímto v</w:t>
      </w:r>
      <w:r>
        <w:t>ypořádáním bezdůvodného obohacení nemají vůči sobě navzájem žádných dalších nároků.</w:t>
      </w:r>
    </w:p>
    <w:p w14:paraId="63349989" w14:textId="77777777" w:rsidR="00B83375" w:rsidRDefault="00B83375">
      <w:pPr>
        <w:rPr>
          <w:sz w:val="2"/>
          <w:szCs w:val="2"/>
        </w:rPr>
        <w:sectPr w:rsidR="00B8337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334998A" w14:textId="77777777" w:rsidR="00B83375" w:rsidRDefault="00BF0520">
      <w:pPr>
        <w:pStyle w:val="Heading10"/>
        <w:framePr w:wrap="none" w:vAnchor="page" w:hAnchor="page" w:x="1322" w:y="1394"/>
        <w:shd w:val="clear" w:color="auto" w:fill="auto"/>
        <w:spacing w:line="224" w:lineRule="exact"/>
        <w:jc w:val="both"/>
      </w:pPr>
      <w:bookmarkStart w:id="7" w:name="bookmark7"/>
      <w:r>
        <w:lastRenderedPageBreak/>
        <w:t>II. Ostatní ujednání</w:t>
      </w:r>
      <w:bookmarkEnd w:id="7"/>
    </w:p>
    <w:p w14:paraId="6334998B" w14:textId="77777777" w:rsidR="00B83375" w:rsidRDefault="00BF0520">
      <w:pPr>
        <w:pStyle w:val="Bodytext20"/>
        <w:framePr w:w="9173" w:h="2396" w:hRule="exact" w:wrap="none" w:vAnchor="page" w:hAnchor="page" w:x="1322" w:y="1793"/>
        <w:numPr>
          <w:ilvl w:val="0"/>
          <w:numId w:val="4"/>
        </w:numPr>
        <w:shd w:val="clear" w:color="auto" w:fill="auto"/>
        <w:tabs>
          <w:tab w:val="left" w:pos="301"/>
        </w:tabs>
        <w:spacing w:after="180" w:line="288" w:lineRule="exact"/>
        <w:jc w:val="both"/>
      </w:pPr>
      <w:r>
        <w:t xml:space="preserve">Tato dohoda je vyhotovena ve dvou stejnopisech, z nichž každý má platnost originálu. Poskytovatel obdrží jeden stejnopis, </w:t>
      </w:r>
      <w:r>
        <w:t>Nabyvatel obdrží jeden stejnopis.</w:t>
      </w:r>
    </w:p>
    <w:p w14:paraId="6334998C" w14:textId="77777777" w:rsidR="00B83375" w:rsidRDefault="00BF0520">
      <w:pPr>
        <w:pStyle w:val="Bodytext20"/>
        <w:framePr w:w="9173" w:h="2396" w:hRule="exact" w:wrap="none" w:vAnchor="page" w:hAnchor="page" w:x="1322" w:y="1793"/>
        <w:numPr>
          <w:ilvl w:val="0"/>
          <w:numId w:val="4"/>
        </w:numPr>
        <w:shd w:val="clear" w:color="auto" w:fill="auto"/>
        <w:tabs>
          <w:tab w:val="left" w:pos="298"/>
        </w:tabs>
        <w:spacing w:after="180" w:line="288" w:lineRule="exact"/>
        <w:jc w:val="both"/>
      </w:pPr>
      <w:r>
        <w:t>Tato dohoda je uzavřena podpisem oprávněných zástupců Smluvních stran s přihlédnutím k povinnostem stanoveným v zákoně č. 340/2015 Sb., o zvláštních podmínkách účinnosti některých smluv, uveřejňování těchto smluv a o regis</w:t>
      </w:r>
      <w:r>
        <w:t>tru smluv.</w:t>
      </w:r>
    </w:p>
    <w:p w14:paraId="6334998D" w14:textId="77777777" w:rsidR="00B83375" w:rsidRDefault="00BF0520">
      <w:pPr>
        <w:pStyle w:val="Bodytext20"/>
        <w:framePr w:w="9173" w:h="2396" w:hRule="exact" w:wrap="none" w:vAnchor="page" w:hAnchor="page" w:x="1322" w:y="1793"/>
        <w:numPr>
          <w:ilvl w:val="0"/>
          <w:numId w:val="4"/>
        </w:numPr>
        <w:shd w:val="clear" w:color="auto" w:fill="auto"/>
        <w:tabs>
          <w:tab w:val="left" w:pos="298"/>
        </w:tabs>
        <w:spacing w:line="288" w:lineRule="exact"/>
        <w:jc w:val="both"/>
      </w:pPr>
      <w:r>
        <w:t>Tuto Dohodu o vypořádání bezdůvodného obohacení ukládá uzavřít Rada města Jihlavy příspěvkové organizaci Základní škole a mateřské škole Jihlava, Nad Plovárnou 5, příspěvkové organizaci.</w:t>
      </w:r>
    </w:p>
    <w:p w14:paraId="6334998E" w14:textId="6EE4CAE7" w:rsidR="00B83375" w:rsidRDefault="00BF0520" w:rsidP="00BF0520">
      <w:pPr>
        <w:pStyle w:val="Picturecaption0"/>
        <w:framePr w:w="9076" w:wrap="none" w:vAnchor="page" w:hAnchor="page" w:x="1313" w:y="4711"/>
        <w:shd w:val="clear" w:color="auto" w:fill="auto"/>
        <w:tabs>
          <w:tab w:val="left" w:pos="2798"/>
        </w:tabs>
      </w:pPr>
      <w:r>
        <w:t xml:space="preserve">V Jihlavě, dne: </w:t>
      </w:r>
      <w:bookmarkStart w:id="8" w:name="_GoBack"/>
      <w:bookmarkEnd w:id="8"/>
      <w:r>
        <w:t xml:space="preserve">  </w:t>
      </w:r>
      <w:r>
        <w:rPr>
          <w:color w:val="0070C0"/>
        </w:rPr>
        <w:t>29.1.2021</w:t>
      </w:r>
      <w:r>
        <w:rPr>
          <w:rStyle w:val="PicturecaptionItalic"/>
        </w:rPr>
        <w:tab/>
        <w:t xml:space="preserve">                                             </w:t>
      </w:r>
      <w:r>
        <w:rPr>
          <w:rStyle w:val="PicturecaptionItalic"/>
          <w:i w:val="0"/>
        </w:rPr>
        <w:t xml:space="preserve"> </w:t>
      </w:r>
      <w:r>
        <w:rPr>
          <w:rStyle w:val="PicturecaptionItalic"/>
          <w:i w:val="0"/>
          <w:color w:val="auto"/>
        </w:rPr>
        <w:t xml:space="preserve">V Praze, dne:   </w:t>
      </w:r>
      <w:r>
        <w:rPr>
          <w:rStyle w:val="PicturecaptionItalic"/>
          <w:i w:val="0"/>
          <w:color w:val="0070C0"/>
        </w:rPr>
        <w:t>28.1.2021</w:t>
      </w:r>
    </w:p>
    <w:p w14:paraId="63349990" w14:textId="379749C9" w:rsidR="00B83375" w:rsidRDefault="00BF0520" w:rsidP="00BF0520">
      <w:pPr>
        <w:pStyle w:val="Picturecaption0"/>
        <w:framePr w:w="9286" w:wrap="none" w:vAnchor="page" w:hAnchor="page" w:x="1317" w:y="6132"/>
        <w:shd w:val="clear" w:color="auto" w:fill="auto"/>
        <w:jc w:val="left"/>
      </w:pPr>
      <w:r>
        <w:t xml:space="preserve">za Nabyvatele Mgr. Jiří Šaufl                                                   </w:t>
      </w:r>
      <w:r>
        <w:rPr>
          <w:color w:val="auto"/>
        </w:rPr>
        <w:t>za Poskytovatele Bc. Matěj Huleš</w:t>
      </w:r>
    </w:p>
    <w:p w14:paraId="63349998" w14:textId="77777777" w:rsidR="00B83375" w:rsidRDefault="00B83375">
      <w:pPr>
        <w:framePr w:wrap="none" w:vAnchor="page" w:hAnchor="page" w:x="6189" w:y="7278"/>
      </w:pPr>
    </w:p>
    <w:p w14:paraId="6334999C" w14:textId="77777777" w:rsidR="00B83375" w:rsidRDefault="00B83375">
      <w:pPr>
        <w:rPr>
          <w:sz w:val="2"/>
          <w:szCs w:val="2"/>
        </w:rPr>
      </w:pPr>
    </w:p>
    <w:sectPr w:rsidR="00B8337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499A3" w14:textId="77777777" w:rsidR="00000000" w:rsidRDefault="00BF0520">
      <w:r>
        <w:separator/>
      </w:r>
    </w:p>
  </w:endnote>
  <w:endnote w:type="continuationSeparator" w:id="0">
    <w:p w14:paraId="633499A5" w14:textId="77777777" w:rsidR="00000000" w:rsidRDefault="00BF0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Estrangelo Edessa">
    <w:altName w:val="Times New Roman"/>
    <w:panose1 w:val="000000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4999F" w14:textId="77777777" w:rsidR="00B83375" w:rsidRDefault="00B83375"/>
  </w:footnote>
  <w:footnote w:type="continuationSeparator" w:id="0">
    <w:p w14:paraId="633499A0" w14:textId="77777777" w:rsidR="00B83375" w:rsidRDefault="00B833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B67F5"/>
    <w:multiLevelType w:val="multilevel"/>
    <w:tmpl w:val="B8A87A2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A5782B"/>
    <w:multiLevelType w:val="multilevel"/>
    <w:tmpl w:val="D0003A1C"/>
    <w:lvl w:ilvl="0">
      <w:start w:val="1"/>
      <w:numFmt w:val="upperLetter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EA4735A"/>
    <w:multiLevelType w:val="multilevel"/>
    <w:tmpl w:val="09BA8FF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3F07EA7"/>
    <w:multiLevelType w:val="multilevel"/>
    <w:tmpl w:val="1BC6F8F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83375"/>
    <w:rsid w:val="00B83375"/>
    <w:rsid w:val="00BF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34997B"/>
  <w15:docId w15:val="{BC6DC81E-F238-4B76-9669-EA041A299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Italic">
    <w:name w:val="Picture caption + Italic"/>
    <w:basedOn w:val="Picturecaption"/>
    <w:rPr>
      <w:rFonts w:ascii="Calibri" w:eastAsia="Calibri" w:hAnsi="Calibri" w:cs="Calibri"/>
      <w:b w:val="0"/>
      <w:bCs w:val="0"/>
      <w:i/>
      <w:iCs/>
      <w:smallCaps w:val="0"/>
      <w:strike w:val="0"/>
      <w:color w:val="67569F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385ptBold">
    <w:name w:val="Body text (3) + 8.5 pt;Bold"/>
    <w:basedOn w:val="Body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Impact" w:eastAsia="Impact" w:hAnsi="Impact" w:cs="Impact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Impact" w:eastAsia="Impact" w:hAnsi="Impact" w:cs="Impact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">
    <w:name w:val="Body text (8)_"/>
    <w:basedOn w:val="Standardnpsmoodstavce"/>
    <w:link w:val="Bodytext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61">
    <w:name w:val="Body text (6)"/>
    <w:basedOn w:val="Bodytext6"/>
    <w:rPr>
      <w:rFonts w:ascii="Calibri" w:eastAsia="Calibri" w:hAnsi="Calibri" w:cs="Calibri"/>
      <w:b/>
      <w:bCs/>
      <w:i w:val="0"/>
      <w:iCs w:val="0"/>
      <w:smallCaps w:val="0"/>
      <w:strike w:val="0"/>
      <w:color w:val="A1B4E4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9">
    <w:name w:val="Body text (9)_"/>
    <w:basedOn w:val="Standardnpsmoodstavce"/>
    <w:link w:val="Bodytext9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91">
    <w:name w:val="Body text (9)"/>
    <w:basedOn w:val="Bodytext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A1B4E4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9Bold">
    <w:name w:val="Body text (9) + Bold"/>
    <w:basedOn w:val="Bodytext9"/>
    <w:rPr>
      <w:rFonts w:ascii="Calibri" w:eastAsia="Calibri" w:hAnsi="Calibri" w:cs="Calibri"/>
      <w:b/>
      <w:bCs/>
      <w:i w:val="0"/>
      <w:iCs w:val="0"/>
      <w:smallCaps w:val="0"/>
      <w:strike w:val="0"/>
      <w:color w:val="A1B4E4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7SmallCaps">
    <w:name w:val="Body text (7) + Small Caps"/>
    <w:basedOn w:val="Bodytext7"/>
    <w:rPr>
      <w:rFonts w:ascii="Calibri" w:eastAsia="Calibri" w:hAnsi="Calibri" w:cs="Calibri"/>
      <w:b w:val="0"/>
      <w:bCs w:val="0"/>
      <w:i w:val="0"/>
      <w:iCs w:val="0"/>
      <w:smallCaps/>
      <w:strike w:val="0"/>
      <w:color w:val="A1B4E4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765ptSmallCaps">
    <w:name w:val="Body text (7) + 6.5 pt;Small Caps"/>
    <w:basedOn w:val="Bodytext7"/>
    <w:rPr>
      <w:rFonts w:ascii="Calibri" w:eastAsia="Calibri" w:hAnsi="Calibri" w:cs="Calibri"/>
      <w:b w:val="0"/>
      <w:bCs w:val="0"/>
      <w:i w:val="0"/>
      <w:iCs w:val="0"/>
      <w:smallCaps/>
      <w:strike w:val="0"/>
      <w:color w:val="A1B4E4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71">
    <w:name w:val="Body text (7)"/>
    <w:basedOn w:val="Bodytext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A1B4E4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785ptBold">
    <w:name w:val="Body text (7) + 8.5 pt;Bold"/>
    <w:basedOn w:val="Bodytext7"/>
    <w:rPr>
      <w:rFonts w:ascii="Calibri" w:eastAsia="Calibri" w:hAnsi="Calibri" w:cs="Calibri"/>
      <w:b/>
      <w:bCs/>
      <w:i w:val="0"/>
      <w:iCs w:val="0"/>
      <w:smallCaps w:val="0"/>
      <w:strike w:val="0"/>
      <w:color w:val="A1B4E4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7EstrangeloEdessa13pt">
    <w:name w:val="Body text (7) + Estrangelo Edessa;13 pt"/>
    <w:basedOn w:val="Bodytext7"/>
    <w:rPr>
      <w:rFonts w:ascii="Estrangelo Edessa" w:eastAsia="Estrangelo Edessa" w:hAnsi="Estrangelo Edessa" w:cs="Estrangelo Edessa"/>
      <w:b w:val="0"/>
      <w:bCs w:val="0"/>
      <w:i w:val="0"/>
      <w:iCs w:val="0"/>
      <w:smallCaps w:val="0"/>
      <w:strike w:val="0"/>
      <w:color w:val="A1B4E4"/>
      <w:spacing w:val="0"/>
      <w:w w:val="100"/>
      <w:position w:val="0"/>
      <w:sz w:val="26"/>
      <w:szCs w:val="26"/>
      <w:u w:val="non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446" w:lineRule="exact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446" w:lineRule="exact"/>
    </w:pPr>
    <w:rPr>
      <w:rFonts w:ascii="Calibri" w:eastAsia="Calibri" w:hAnsi="Calibri" w:cs="Calibri"/>
      <w:sz w:val="22"/>
      <w:szCs w:val="22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24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21" w:lineRule="exact"/>
      <w:jc w:val="both"/>
    </w:pPr>
    <w:rPr>
      <w:rFonts w:ascii="Calibri" w:eastAsia="Calibri" w:hAnsi="Calibri" w:cs="Calibri"/>
      <w:sz w:val="15"/>
      <w:szCs w:val="15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178" w:lineRule="exact"/>
    </w:pPr>
    <w:rPr>
      <w:rFonts w:ascii="Calibri" w:eastAsia="Calibri" w:hAnsi="Calibri" w:cs="Calibri"/>
      <w:sz w:val="18"/>
      <w:szCs w:val="18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21" w:lineRule="exact"/>
    </w:pPr>
    <w:rPr>
      <w:rFonts w:ascii="Impact" w:eastAsia="Impact" w:hAnsi="Impact" w:cs="Impact"/>
      <w:sz w:val="15"/>
      <w:szCs w:val="15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21" w:lineRule="exact"/>
    </w:pPr>
    <w:rPr>
      <w:rFonts w:ascii="Impact" w:eastAsia="Impact" w:hAnsi="Impact" w:cs="Impact"/>
      <w:sz w:val="22"/>
      <w:szCs w:val="22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134" w:lineRule="exact"/>
    </w:pPr>
    <w:rPr>
      <w:rFonts w:ascii="Calibri" w:eastAsia="Calibri" w:hAnsi="Calibri" w:cs="Calibri"/>
      <w:sz w:val="13"/>
      <w:szCs w:val="13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56" w:lineRule="exact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line="168" w:lineRule="exact"/>
    </w:pPr>
    <w:rPr>
      <w:rFonts w:ascii="Calibri" w:eastAsia="Calibri" w:hAnsi="Calibri" w:cs="Calibri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459</Words>
  <Characters>2710</Characters>
  <Application>Microsoft Office Word</Application>
  <DocSecurity>0</DocSecurity>
  <Lines>22</Lines>
  <Paragraphs>6</Paragraphs>
  <ScaleCrop>false</ScaleCrop>
  <Company>Hudební divadlo Karlín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2021-02-08T10:37:00Z</dcterms:created>
  <dcterms:modified xsi:type="dcterms:W3CDTF">2021-02-08T10:41:00Z</dcterms:modified>
</cp:coreProperties>
</file>