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42" w:rsidRDefault="00A57CA2">
      <w:pPr>
        <w:pStyle w:val="Nadpis1"/>
        <w:spacing w:before="36"/>
        <w:ind w:left="570" w:right="450"/>
        <w:jc w:val="center"/>
      </w:pPr>
      <w:r>
        <w:t>SMLOUVA O VYUŽITÍ VÝSLEDKŮ PROJEKTU ČÍSLO TH02010345</w:t>
      </w:r>
    </w:p>
    <w:p w:rsidR="005A2C42" w:rsidRDefault="005A2C42">
      <w:pPr>
        <w:pStyle w:val="Zkladntext"/>
        <w:spacing w:before="8"/>
        <w:rPr>
          <w:b/>
          <w:sz w:val="19"/>
        </w:rPr>
      </w:pPr>
    </w:p>
    <w:p w:rsidR="005A2C42" w:rsidRDefault="00A57CA2">
      <w:pPr>
        <w:pStyle w:val="Zkladntext"/>
        <w:spacing w:before="1"/>
        <w:ind w:left="569" w:right="450"/>
        <w:jc w:val="center"/>
      </w:pPr>
      <w:proofErr w:type="gramStart"/>
      <w:r>
        <w:t>" Sušení</w:t>
      </w:r>
      <w:proofErr w:type="gramEnd"/>
      <w:r>
        <w:t xml:space="preserve"> sprejovou nebulizací ‐ nová cesta k uchování vlastností nutraceutik“</w:t>
      </w:r>
    </w:p>
    <w:p w:rsidR="005A2C42" w:rsidRDefault="005A2C42">
      <w:pPr>
        <w:pStyle w:val="Zkladntext"/>
        <w:spacing w:before="8"/>
        <w:rPr>
          <w:sz w:val="19"/>
        </w:rPr>
      </w:pPr>
    </w:p>
    <w:p w:rsidR="005A2C42" w:rsidRDefault="00A57CA2">
      <w:pPr>
        <w:pStyle w:val="Zkladntext"/>
        <w:spacing w:line="276" w:lineRule="auto"/>
        <w:ind w:left="570" w:right="445"/>
        <w:jc w:val="center"/>
      </w:pPr>
      <w:proofErr w:type="gramStart"/>
      <w:r>
        <w:t>v</w:t>
      </w:r>
      <w:proofErr w:type="gramEnd"/>
      <w:r>
        <w:t xml:space="preserve"> rámci programu na podporu aplikovaného výzkumu a experimentálního vývoje "EPSILON" Technologické agentury České republiky</w:t>
      </w: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3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12"/>
        </w:numPr>
        <w:tabs>
          <w:tab w:val="left" w:pos="533"/>
        </w:tabs>
        <w:spacing w:line="510" w:lineRule="atLeast"/>
        <w:ind w:right="6654" w:firstLine="0"/>
        <w:rPr>
          <w:b/>
        </w:rPr>
      </w:pPr>
      <w:r>
        <w:t xml:space="preserve">Hlavní příjemce podpory Název: </w:t>
      </w:r>
      <w:r>
        <w:rPr>
          <w:b/>
        </w:rPr>
        <w:t>C2P</w:t>
      </w:r>
      <w:r>
        <w:rPr>
          <w:b/>
          <w:spacing w:val="4"/>
        </w:rPr>
        <w:t xml:space="preserve"> </w:t>
      </w:r>
      <w:r>
        <w:rPr>
          <w:b/>
        </w:rPr>
        <w:t>s.r.o.</w:t>
      </w:r>
    </w:p>
    <w:p w:rsidR="005A2C42" w:rsidRDefault="00A57CA2">
      <w:pPr>
        <w:pStyle w:val="Zkladntext"/>
        <w:ind w:left="217" w:right="2800" w:hanging="1"/>
      </w:pPr>
      <w:proofErr w:type="gramStart"/>
      <w:r>
        <w:t>se</w:t>
      </w:r>
      <w:proofErr w:type="gramEnd"/>
      <w:r>
        <w:t xml:space="preserve"> sídlem: Jungmannova 101, 503 51 Chlumec nad Cidlinou IČ:26003279</w:t>
      </w:r>
    </w:p>
    <w:p w:rsidR="005A2C42" w:rsidRDefault="00A57CA2">
      <w:pPr>
        <w:pStyle w:val="Zkladntext"/>
        <w:ind w:left="217"/>
      </w:pPr>
      <w:r>
        <w:t>DIČ</w:t>
      </w:r>
      <w:proofErr w:type="gramStart"/>
      <w:r>
        <w:t>:CZ26003279</w:t>
      </w:r>
      <w:proofErr w:type="gramEnd"/>
    </w:p>
    <w:p w:rsidR="005A2C42" w:rsidRDefault="00A57CA2">
      <w:pPr>
        <w:pStyle w:val="Zkladntext"/>
        <w:tabs>
          <w:tab w:val="left" w:pos="1633"/>
        </w:tabs>
        <w:ind w:left="266" w:right="4676"/>
      </w:pPr>
      <w:r>
        <w:t>Zastoupen:</w:t>
      </w:r>
      <w:r>
        <w:tab/>
      </w:r>
      <w:r w:rsidR="003A7051">
        <w:t>xxxxxxxxxxxxxxxxxx</w:t>
      </w:r>
      <w:r>
        <w:t xml:space="preserve"> (dále jen</w:t>
      </w:r>
      <w:r>
        <w:rPr>
          <w:spacing w:val="-1"/>
        </w:rPr>
        <w:t xml:space="preserve"> </w:t>
      </w:r>
      <w:r>
        <w:t>"Příjemce")</w:t>
      </w:r>
    </w:p>
    <w:p w:rsidR="005A2C42" w:rsidRDefault="005A2C42">
      <w:pPr>
        <w:pStyle w:val="Zkladntext"/>
        <w:spacing w:before="11"/>
        <w:rPr>
          <w:sz w:val="21"/>
        </w:rPr>
      </w:pPr>
    </w:p>
    <w:p w:rsidR="005A2C42" w:rsidRDefault="00A57CA2">
      <w:pPr>
        <w:pStyle w:val="Zkladntext"/>
        <w:ind w:left="217"/>
      </w:pPr>
      <w:r>
        <w:rPr>
          <w:w w:val="99"/>
        </w:rPr>
        <w:t>A</w:t>
      </w:r>
    </w:p>
    <w:p w:rsidR="005A2C42" w:rsidRDefault="005A2C42">
      <w:pPr>
        <w:pStyle w:val="Zkladntext"/>
        <w:spacing w:before="1"/>
      </w:pPr>
    </w:p>
    <w:p w:rsidR="005A2C42" w:rsidRDefault="00A57CA2">
      <w:pPr>
        <w:pStyle w:val="Odstavecseseznamem"/>
        <w:numPr>
          <w:ilvl w:val="0"/>
          <w:numId w:val="12"/>
        </w:numPr>
        <w:tabs>
          <w:tab w:val="left" w:pos="533"/>
        </w:tabs>
        <w:ind w:left="532"/>
      </w:pPr>
      <w:r>
        <w:t>Další účastník</w:t>
      </w:r>
      <w:r>
        <w:rPr>
          <w:spacing w:val="-2"/>
        </w:rPr>
        <w:t xml:space="preserve"> </w:t>
      </w:r>
      <w:r>
        <w:t>projektu</w:t>
      </w:r>
    </w:p>
    <w:p w:rsidR="005A2C42" w:rsidRDefault="005A2C42">
      <w:pPr>
        <w:pStyle w:val="Zkladntext"/>
        <w:spacing w:before="11"/>
        <w:rPr>
          <w:sz w:val="21"/>
        </w:rPr>
      </w:pPr>
    </w:p>
    <w:p w:rsidR="005A2C42" w:rsidRDefault="00A57CA2">
      <w:pPr>
        <w:pStyle w:val="Nadpis1"/>
      </w:pPr>
      <w:r>
        <w:rPr>
          <w:b w:val="0"/>
        </w:rPr>
        <w:t xml:space="preserve">Název: </w:t>
      </w:r>
      <w:r>
        <w:t>Výzkumný ústav potravinářský Praha, v. v. i.</w:t>
      </w:r>
    </w:p>
    <w:p w:rsidR="005A2C42" w:rsidRDefault="00A57CA2">
      <w:pPr>
        <w:pStyle w:val="Zkladntext"/>
        <w:tabs>
          <w:tab w:val="left" w:pos="1632"/>
        </w:tabs>
        <w:spacing w:before="1"/>
        <w:ind w:left="217" w:right="6345"/>
      </w:pPr>
      <w:proofErr w:type="gramStart"/>
      <w:r>
        <w:t>se</w:t>
      </w:r>
      <w:proofErr w:type="gramEnd"/>
      <w:r>
        <w:rPr>
          <w:spacing w:val="-3"/>
        </w:rPr>
        <w:t xml:space="preserve"> </w:t>
      </w:r>
      <w:r>
        <w:t>sídlem:</w:t>
      </w:r>
      <w:r>
        <w:tab/>
        <w:t xml:space="preserve">Radiová </w:t>
      </w:r>
      <w:r>
        <w:rPr>
          <w:spacing w:val="-3"/>
        </w:rPr>
        <w:t xml:space="preserve">1285/7 </w:t>
      </w:r>
      <w:r>
        <w:t>IČ:00027022</w:t>
      </w:r>
    </w:p>
    <w:p w:rsidR="005A2C42" w:rsidRDefault="00A57CA2">
      <w:pPr>
        <w:pStyle w:val="Zkladntext"/>
        <w:spacing w:line="268" w:lineRule="exact"/>
        <w:ind w:left="217"/>
      </w:pPr>
      <w:r>
        <w:t>DIČ</w:t>
      </w:r>
      <w:proofErr w:type="gramStart"/>
      <w:r>
        <w:t>:CZ00027022</w:t>
      </w:r>
      <w:proofErr w:type="gramEnd"/>
    </w:p>
    <w:p w:rsidR="005A2C42" w:rsidRDefault="00A57CA2">
      <w:pPr>
        <w:pStyle w:val="Zkladntext"/>
        <w:tabs>
          <w:tab w:val="left" w:pos="1632"/>
        </w:tabs>
        <w:ind w:left="216" w:right="4909"/>
      </w:pPr>
      <w:r>
        <w:t>Zastoupen:</w:t>
      </w:r>
      <w:r>
        <w:tab/>
      </w:r>
      <w:r w:rsidR="003A7051">
        <w:t>xxxxxxxxxxxxxxx</w:t>
      </w:r>
      <w:r>
        <w:t xml:space="preserve"> (dále jen "Další</w:t>
      </w:r>
      <w:r>
        <w:rPr>
          <w:spacing w:val="-3"/>
        </w:rPr>
        <w:t xml:space="preserve"> </w:t>
      </w:r>
      <w:r>
        <w:t>účastník")</w:t>
      </w: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8"/>
        <w:rPr>
          <w:sz w:val="19"/>
        </w:rPr>
      </w:pPr>
    </w:p>
    <w:p w:rsidR="005A2C42" w:rsidRDefault="00A57CA2">
      <w:pPr>
        <w:pStyle w:val="Zkladntext"/>
        <w:spacing w:before="1" w:line="276" w:lineRule="auto"/>
        <w:ind w:left="217" w:right="116" w:hanging="1"/>
      </w:pPr>
      <w:r>
        <w:t>(</w:t>
      </w:r>
      <w:proofErr w:type="gramStart"/>
      <w:r>
        <w:t>ve</w:t>
      </w:r>
      <w:proofErr w:type="gramEnd"/>
      <w:r>
        <w:t xml:space="preserve"> Smlouvě dále Příjemce, Další účastník samostatně také jako "Smluvní strana" a společně dále jako "Smluvní strany")</w:t>
      </w:r>
    </w:p>
    <w:p w:rsidR="005A2C42" w:rsidRDefault="005A2C42">
      <w:pPr>
        <w:pStyle w:val="Zkladntext"/>
        <w:spacing w:before="4"/>
        <w:rPr>
          <w:sz w:val="16"/>
        </w:rPr>
      </w:pPr>
    </w:p>
    <w:p w:rsidR="005A2C42" w:rsidRDefault="00A57CA2">
      <w:pPr>
        <w:pStyle w:val="Zkladntext"/>
        <w:ind w:left="217"/>
      </w:pPr>
      <w:r>
        <w:t>Preambule</w:t>
      </w:r>
    </w:p>
    <w:p w:rsidR="005A2C42" w:rsidRDefault="005A2C42">
      <w:pPr>
        <w:pStyle w:val="Zkladntext"/>
        <w:spacing w:before="8"/>
        <w:rPr>
          <w:sz w:val="19"/>
        </w:rPr>
      </w:pPr>
    </w:p>
    <w:p w:rsidR="005A2C42" w:rsidRDefault="00A57CA2">
      <w:pPr>
        <w:pStyle w:val="Zkladntext"/>
        <w:spacing w:line="276" w:lineRule="auto"/>
        <w:ind w:left="217" w:right="292"/>
      </w:pPr>
      <w:r>
        <w:t xml:space="preserve">V souladu </w:t>
      </w:r>
      <w:proofErr w:type="gramStart"/>
      <w:r>
        <w:t>s  článkem</w:t>
      </w:r>
      <w:proofErr w:type="gramEnd"/>
      <w:r>
        <w:t xml:space="preserve">  13 Všeobecných podmínek  Technologické  agentury  České republiky (dále jen "VP TAČR"} programu EPSILON Smluvní strany uzavírají Smlouvu o využití výsledků projektu (dále jen "Smlouva") která se vztahuje k projektu č. TH02010345,  s názvem " Název projektu: Sušení sprejovou nebulizací ‐ nová cesta k uchování vlastností nutraceutik." (dále jen "Projekt"}, </w:t>
      </w:r>
      <w:proofErr w:type="gramStart"/>
      <w:r>
        <w:t>realizovaného  prostřednictvím</w:t>
      </w:r>
      <w:proofErr w:type="gramEnd"/>
      <w:r>
        <w:t xml:space="preserve">  účinné  spolupráce,  směřující  ke   společnému   cíli,   při zohlednění zejména finančních, vědeckých i technologických</w:t>
      </w:r>
      <w:r>
        <w:rPr>
          <w:spacing w:val="-5"/>
        </w:rPr>
        <w:t xml:space="preserve"> </w:t>
      </w:r>
      <w:r>
        <w:t>rizik.</w:t>
      </w:r>
    </w:p>
    <w:p w:rsidR="005A2C42" w:rsidRDefault="005A2C42">
      <w:pPr>
        <w:pStyle w:val="Zkladntext"/>
        <w:spacing w:before="5"/>
        <w:rPr>
          <w:sz w:val="16"/>
        </w:rPr>
      </w:pPr>
    </w:p>
    <w:p w:rsidR="005A2C42" w:rsidRDefault="00A57CA2">
      <w:pPr>
        <w:pStyle w:val="Zkladntext"/>
        <w:ind w:left="217" w:right="292"/>
      </w:pPr>
      <w:r>
        <w:t xml:space="preserve">Smlouva vymezuje duševní vlastnictví a dosažené výsledky Projektu v rámci stanovených cílů Projektu. Smlouva upravuje vlastnická </w:t>
      </w:r>
      <w:proofErr w:type="gramStart"/>
      <w:r>
        <w:t>a</w:t>
      </w:r>
      <w:proofErr w:type="gramEnd"/>
      <w:r>
        <w:t xml:space="preserve"> užívací práva k výsledkům a způsob jejich využití.</w:t>
      </w: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9"/>
        <w:rPr>
          <w:sz w:val="19"/>
        </w:rPr>
      </w:pPr>
    </w:p>
    <w:p w:rsidR="005A2C42" w:rsidRDefault="00A57CA2">
      <w:pPr>
        <w:pStyle w:val="Zkladntext"/>
        <w:spacing w:line="276" w:lineRule="auto"/>
        <w:ind w:left="217" w:right="181"/>
      </w:pPr>
      <w:r>
        <w:t xml:space="preserve">Společným úsilím Smluvních stran dochází k naplnění stanovených cílů projektu i Programu, z nějž byl Projekt podpořen, a též k vytvoření společného duševního vlastnictví. Tato smlouva vychází také ze Smlouvy o spolupráci </w:t>
      </w:r>
      <w:proofErr w:type="gramStart"/>
      <w:r>
        <w:t>na</w:t>
      </w:r>
      <w:proofErr w:type="gramEnd"/>
      <w:r>
        <w:t xml:space="preserve"> řešení programového Projektu č.</w:t>
      </w:r>
      <w:r>
        <w:rPr>
          <w:spacing w:val="-2"/>
        </w:rPr>
        <w:t xml:space="preserve"> </w:t>
      </w:r>
      <w:r>
        <w:t>TH02010345.</w:t>
      </w:r>
    </w:p>
    <w:p w:rsidR="005A2C42" w:rsidRDefault="005A2C42">
      <w:pPr>
        <w:spacing w:line="276" w:lineRule="auto"/>
        <w:sectPr w:rsidR="005A2C42">
          <w:footerReference w:type="default" r:id="rId7"/>
          <w:type w:val="continuous"/>
          <w:pgSz w:w="11910" w:h="16840"/>
          <w:pgMar w:top="1380" w:right="1320" w:bottom="1200" w:left="1200" w:header="708" w:footer="1003" w:gutter="0"/>
          <w:pgNumType w:start="1"/>
          <w:cols w:space="708"/>
        </w:sectPr>
      </w:pPr>
    </w:p>
    <w:p w:rsidR="005A2C42" w:rsidRDefault="00A57CA2">
      <w:pPr>
        <w:pStyle w:val="Zkladntext"/>
        <w:spacing w:before="36"/>
        <w:ind w:left="217"/>
      </w:pPr>
      <w:r>
        <w:lastRenderedPageBreak/>
        <w:t xml:space="preserve">Způsob řešení Projektu ctí zásady vycházející z evropské i národní legislativy platné </w:t>
      </w:r>
      <w:proofErr w:type="gramStart"/>
      <w:r>
        <w:t>a</w:t>
      </w:r>
      <w:proofErr w:type="gramEnd"/>
      <w:r>
        <w:t xml:space="preserve"> účinné v době uzavření této Smlouvy a dodržuje ustanovení zejména těchto právních dokumentů:</w:t>
      </w:r>
    </w:p>
    <w:p w:rsidR="005A2C42" w:rsidRDefault="00A57CA2">
      <w:pPr>
        <w:pStyle w:val="Odstavecseseznamem"/>
        <w:numPr>
          <w:ilvl w:val="0"/>
          <w:numId w:val="11"/>
        </w:numPr>
        <w:tabs>
          <w:tab w:val="left" w:pos="376"/>
        </w:tabs>
        <w:ind w:right="340" w:hanging="1"/>
      </w:pPr>
      <w:proofErr w:type="gramStart"/>
      <w:r>
        <w:t>Nařízení  Komise</w:t>
      </w:r>
      <w:proofErr w:type="gramEnd"/>
      <w:r>
        <w:t xml:space="preserve">  (EU} č.  651/2014 </w:t>
      </w:r>
      <w:proofErr w:type="gramStart"/>
      <w:r>
        <w:t>ze  dne</w:t>
      </w:r>
      <w:proofErr w:type="gramEnd"/>
      <w:r>
        <w:t xml:space="preserve">  17.  </w:t>
      </w:r>
      <w:proofErr w:type="gramStart"/>
      <w:r>
        <w:t>června  2014</w:t>
      </w:r>
      <w:proofErr w:type="gramEnd"/>
      <w:r>
        <w:t xml:space="preserve">,  kterým se v souladu s články  107 a 108 Smlouvy prohlašují určité  kategorie  podpory  za  slučitelné s vnitřním trhem ‐ Úřední věstník Evropské unie L 187, 26. </w:t>
      </w:r>
      <w:proofErr w:type="gramStart"/>
      <w:r>
        <w:t>června</w:t>
      </w:r>
      <w:proofErr w:type="gramEnd"/>
      <w:r>
        <w:t xml:space="preserve"> 2014, zejm. </w:t>
      </w:r>
      <w:proofErr w:type="gramStart"/>
      <w:r>
        <w:t>čl</w:t>
      </w:r>
      <w:proofErr w:type="gramEnd"/>
      <w:r>
        <w:t>.</w:t>
      </w:r>
      <w:r>
        <w:rPr>
          <w:spacing w:val="-13"/>
        </w:rPr>
        <w:t xml:space="preserve"> </w:t>
      </w:r>
      <w:r>
        <w:t>25,</w:t>
      </w:r>
    </w:p>
    <w:p w:rsidR="005A2C42" w:rsidRDefault="00A57CA2">
      <w:pPr>
        <w:pStyle w:val="Zkladntext"/>
        <w:ind w:left="217"/>
      </w:pPr>
      <w:r>
        <w:t>28 a 29;</w:t>
      </w:r>
    </w:p>
    <w:p w:rsidR="005A2C42" w:rsidRDefault="00A57CA2">
      <w:pPr>
        <w:pStyle w:val="Odstavecseseznamem"/>
        <w:numPr>
          <w:ilvl w:val="0"/>
          <w:numId w:val="11"/>
        </w:numPr>
        <w:tabs>
          <w:tab w:val="left" w:pos="376"/>
        </w:tabs>
        <w:ind w:right="1352" w:firstLine="0"/>
      </w:pPr>
      <w:r>
        <w:t xml:space="preserve">Rámec pro státní podporu výzkumu, vývoje a inovací‐ </w:t>
      </w:r>
      <w:proofErr w:type="gramStart"/>
      <w:r>
        <w:t>Úřední  věstník</w:t>
      </w:r>
      <w:proofErr w:type="gramEnd"/>
      <w:r>
        <w:t xml:space="preserve">  Evropské unie C 198, 27. června</w:t>
      </w:r>
      <w:r>
        <w:rPr>
          <w:spacing w:val="45"/>
        </w:rPr>
        <w:t xml:space="preserve"> </w:t>
      </w:r>
      <w:r>
        <w:t>2014;</w:t>
      </w:r>
    </w:p>
    <w:p w:rsidR="005A2C42" w:rsidRDefault="00A57CA2">
      <w:pPr>
        <w:pStyle w:val="Odstavecseseznamem"/>
        <w:numPr>
          <w:ilvl w:val="0"/>
          <w:numId w:val="11"/>
        </w:numPr>
        <w:tabs>
          <w:tab w:val="left" w:pos="376"/>
        </w:tabs>
        <w:spacing w:line="268" w:lineRule="exact"/>
        <w:ind w:left="375"/>
      </w:pPr>
      <w:r>
        <w:t>Zákona č. 89/2012 Sb., občanský</w:t>
      </w:r>
      <w:r>
        <w:rPr>
          <w:spacing w:val="-2"/>
        </w:rPr>
        <w:t xml:space="preserve"> </w:t>
      </w:r>
      <w:r>
        <w:t>zákoník;</w:t>
      </w:r>
    </w:p>
    <w:p w:rsidR="005A2C42" w:rsidRDefault="00A57CA2">
      <w:pPr>
        <w:pStyle w:val="Odstavecseseznamem"/>
        <w:numPr>
          <w:ilvl w:val="0"/>
          <w:numId w:val="11"/>
        </w:numPr>
        <w:tabs>
          <w:tab w:val="left" w:pos="376"/>
        </w:tabs>
        <w:spacing w:before="1"/>
        <w:ind w:right="492" w:firstLine="0"/>
      </w:pPr>
      <w:r>
        <w:t>Zákona č. 130/2002 Sb., o podpoře výzkumu, experimentálního vývoje a inovací z veřejných prostředků a o změně některých souvisejících zákonů (zákon o podpoře výzkumu, experimentálního vývoje a inovací}, ve znění pozdějších</w:t>
      </w:r>
      <w:r>
        <w:rPr>
          <w:spacing w:val="-7"/>
        </w:rPr>
        <w:t xml:space="preserve"> </w:t>
      </w:r>
      <w:r>
        <w:t>předpisů;</w:t>
      </w:r>
    </w:p>
    <w:p w:rsidR="005A2C42" w:rsidRDefault="00A57CA2">
      <w:pPr>
        <w:pStyle w:val="Odstavecseseznamem"/>
        <w:numPr>
          <w:ilvl w:val="0"/>
          <w:numId w:val="11"/>
        </w:numPr>
        <w:tabs>
          <w:tab w:val="left" w:pos="376"/>
        </w:tabs>
        <w:spacing w:line="268" w:lineRule="exact"/>
        <w:ind w:left="375"/>
      </w:pPr>
      <w:r>
        <w:t>Zákona č. 121/2000 Sb., autorský</w:t>
      </w:r>
      <w:r>
        <w:rPr>
          <w:spacing w:val="48"/>
        </w:rPr>
        <w:t xml:space="preserve"> </w:t>
      </w:r>
      <w:r>
        <w:t>zákon;</w:t>
      </w:r>
    </w:p>
    <w:p w:rsidR="005A2C42" w:rsidRDefault="00A57CA2">
      <w:pPr>
        <w:pStyle w:val="Odstavecseseznamem"/>
        <w:numPr>
          <w:ilvl w:val="0"/>
          <w:numId w:val="11"/>
        </w:numPr>
        <w:tabs>
          <w:tab w:val="left" w:pos="376"/>
        </w:tabs>
        <w:ind w:left="375"/>
      </w:pPr>
      <w:r>
        <w:t>Zákon č. 527/1990 Sb., o vynálezech, průmyslových vzorech a zlepšovacích</w:t>
      </w:r>
      <w:r>
        <w:rPr>
          <w:spacing w:val="-9"/>
        </w:rPr>
        <w:t xml:space="preserve"> </w:t>
      </w:r>
      <w:r>
        <w:t>návrzích;</w:t>
      </w:r>
    </w:p>
    <w:p w:rsidR="005A2C42" w:rsidRDefault="00A57CA2">
      <w:pPr>
        <w:pStyle w:val="Odstavecseseznamem"/>
        <w:numPr>
          <w:ilvl w:val="0"/>
          <w:numId w:val="11"/>
        </w:numPr>
        <w:tabs>
          <w:tab w:val="left" w:pos="376"/>
        </w:tabs>
        <w:ind w:right="703" w:firstLine="0"/>
      </w:pPr>
      <w:r>
        <w:t xml:space="preserve">Zákona č. 218/2000 Sb., o rozpočtových pravidlech </w:t>
      </w:r>
      <w:proofErr w:type="gramStart"/>
      <w:r>
        <w:t>a</w:t>
      </w:r>
      <w:proofErr w:type="gramEnd"/>
      <w:r>
        <w:t xml:space="preserve"> o změně některých souvisejících zákonů (rozpočtová</w:t>
      </w:r>
      <w:r>
        <w:rPr>
          <w:spacing w:val="-2"/>
        </w:rPr>
        <w:t xml:space="preserve"> </w:t>
      </w:r>
      <w:r>
        <w:t>pravidla).</w:t>
      </w:r>
    </w:p>
    <w:p w:rsidR="005A2C42" w:rsidRDefault="005A2C42">
      <w:pPr>
        <w:pStyle w:val="Zkladntext"/>
        <w:spacing w:before="12"/>
        <w:rPr>
          <w:sz w:val="21"/>
        </w:rPr>
      </w:pPr>
    </w:p>
    <w:p w:rsidR="005A2C42" w:rsidRDefault="00A57CA2">
      <w:pPr>
        <w:pStyle w:val="Zkladntext"/>
        <w:ind w:left="569" w:right="450"/>
        <w:jc w:val="center"/>
      </w:pPr>
      <w:r>
        <w:t>Článek 1.</w:t>
      </w:r>
    </w:p>
    <w:p w:rsidR="005A2C42" w:rsidRDefault="00A57CA2">
      <w:pPr>
        <w:pStyle w:val="Zkladntext"/>
        <w:ind w:left="570" w:right="450"/>
        <w:jc w:val="center"/>
      </w:pPr>
      <w:r>
        <w:t>Vymezení výsledků a jejich srovnání s cíli Projektu</w:t>
      </w:r>
    </w:p>
    <w:p w:rsidR="005A2C42" w:rsidRDefault="005A2C42">
      <w:pPr>
        <w:pStyle w:val="Zkladntext"/>
      </w:pPr>
    </w:p>
    <w:p w:rsidR="005A2C42" w:rsidRDefault="00A57CA2">
      <w:pPr>
        <w:pStyle w:val="Odstavecseseznamem"/>
        <w:numPr>
          <w:ilvl w:val="0"/>
          <w:numId w:val="10"/>
        </w:numPr>
        <w:tabs>
          <w:tab w:val="left" w:pos="544"/>
        </w:tabs>
        <w:spacing w:before="1" w:line="276" w:lineRule="auto"/>
        <w:ind w:right="320" w:firstLine="0"/>
      </w:pPr>
      <w:r>
        <w:t>Prostřednictvím níže uvedených výsledků bylo dosaženo cílů Projektu, které byly definovány následně:</w:t>
      </w:r>
    </w:p>
    <w:p w:rsidR="005A2C42" w:rsidRDefault="005A2C42">
      <w:pPr>
        <w:pStyle w:val="Zkladntext"/>
        <w:spacing w:before="4"/>
        <w:rPr>
          <w:sz w:val="16"/>
        </w:rPr>
      </w:pPr>
    </w:p>
    <w:p w:rsidR="005A2C42" w:rsidRDefault="00A57CA2">
      <w:pPr>
        <w:pStyle w:val="Zkladntext"/>
        <w:spacing w:line="276" w:lineRule="auto"/>
        <w:ind w:left="217" w:right="100"/>
      </w:pPr>
      <w:r>
        <w:t xml:space="preserve">Cílem projektu bylo odzkoušet </w:t>
      </w:r>
      <w:proofErr w:type="gramStart"/>
      <w:r>
        <w:t>na</w:t>
      </w:r>
      <w:proofErr w:type="gramEnd"/>
      <w:r>
        <w:t xml:space="preserve"> existujícím demonstrátoru sprejové nebulizační sušárny optimální parametry pro sušení a enkapsulaci přírodních statinů z produkčního kmene Monascus purpureus (na seznamu zdravotních tvrzení EFSA), probiotických bakterií, imunostimulantů ‐ polysacharidů hub a plísní, lyzátů patogenních bakterií, včetně jejich derivátů.</w:t>
      </w:r>
    </w:p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A57CA2">
      <w:pPr>
        <w:pStyle w:val="Odstavecseseznamem"/>
        <w:numPr>
          <w:ilvl w:val="0"/>
          <w:numId w:val="10"/>
        </w:numPr>
        <w:tabs>
          <w:tab w:val="left" w:pos="544"/>
        </w:tabs>
        <w:spacing w:before="171"/>
        <w:ind w:left="543"/>
      </w:pPr>
      <w:r>
        <w:t>V rámci Projektu bylo dosaženo těchto hlavních výsledků aplikovaného</w:t>
      </w:r>
      <w:r>
        <w:rPr>
          <w:spacing w:val="-6"/>
        </w:rPr>
        <w:t xml:space="preserve"> </w:t>
      </w:r>
      <w:r>
        <w:t>výzkumu:</w:t>
      </w:r>
    </w:p>
    <w:p w:rsidR="005A2C42" w:rsidRDefault="005A2C42">
      <w:pPr>
        <w:pStyle w:val="Zkladntext"/>
        <w:spacing w:before="9"/>
        <w:rPr>
          <w:sz w:val="19"/>
        </w:rPr>
      </w:pPr>
    </w:p>
    <w:p w:rsidR="005A2C42" w:rsidRDefault="00A57CA2">
      <w:pPr>
        <w:pStyle w:val="Odstavecseseznamem"/>
        <w:numPr>
          <w:ilvl w:val="0"/>
          <w:numId w:val="9"/>
        </w:numPr>
        <w:tabs>
          <w:tab w:val="left" w:pos="527"/>
        </w:tabs>
        <w:spacing w:line="453" w:lineRule="auto"/>
        <w:ind w:right="4993" w:firstLine="0"/>
      </w:pPr>
      <w:r>
        <w:t>TH02010345‐V2 Imunostimulační preparát Rok dosažení výsledku:</w:t>
      </w:r>
      <w:r>
        <w:rPr>
          <w:spacing w:val="48"/>
        </w:rPr>
        <w:t xml:space="preserve"> </w:t>
      </w:r>
      <w:r>
        <w:t>2018</w:t>
      </w:r>
    </w:p>
    <w:p w:rsidR="005A2C42" w:rsidRDefault="00A57CA2">
      <w:pPr>
        <w:pStyle w:val="Zkladntext"/>
        <w:spacing w:before="2"/>
        <w:ind w:left="217"/>
      </w:pPr>
      <w:r>
        <w:t>Typ výsledku: F‐ užitný vzor</w:t>
      </w:r>
    </w:p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4"/>
        <w:rPr>
          <w:sz w:val="17"/>
        </w:rPr>
      </w:pPr>
    </w:p>
    <w:p w:rsidR="005A2C42" w:rsidRDefault="00A57CA2">
      <w:pPr>
        <w:pStyle w:val="Odstavecseseznamem"/>
        <w:numPr>
          <w:ilvl w:val="0"/>
          <w:numId w:val="9"/>
        </w:numPr>
        <w:tabs>
          <w:tab w:val="left" w:pos="537"/>
        </w:tabs>
        <w:spacing w:before="1" w:line="453" w:lineRule="auto"/>
        <w:ind w:left="216" w:right="4983" w:firstLine="0"/>
      </w:pPr>
      <w:r>
        <w:t>TH02010345‐V3 Imunostimulační preparát Rok dosažení výsledku:</w:t>
      </w:r>
      <w:r>
        <w:rPr>
          <w:spacing w:val="48"/>
        </w:rPr>
        <w:t xml:space="preserve"> </w:t>
      </w:r>
      <w:r>
        <w:t>2018</w:t>
      </w:r>
    </w:p>
    <w:p w:rsidR="005A2C42" w:rsidRDefault="00A57CA2">
      <w:pPr>
        <w:pStyle w:val="Zkladntext"/>
        <w:spacing w:before="3"/>
        <w:ind w:left="217"/>
      </w:pPr>
      <w:r>
        <w:t>Typ výsledku: G‐ funkční vzorek</w:t>
      </w:r>
    </w:p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4"/>
        <w:rPr>
          <w:sz w:val="17"/>
        </w:rPr>
      </w:pPr>
    </w:p>
    <w:p w:rsidR="005A2C42" w:rsidRDefault="00A57CA2">
      <w:pPr>
        <w:pStyle w:val="Odstavecseseznamem"/>
        <w:numPr>
          <w:ilvl w:val="0"/>
          <w:numId w:val="9"/>
        </w:numPr>
        <w:tabs>
          <w:tab w:val="left" w:pos="514"/>
        </w:tabs>
        <w:spacing w:before="1" w:line="453" w:lineRule="auto"/>
        <w:ind w:right="1111" w:firstLine="0"/>
      </w:pPr>
      <w:r>
        <w:t>TH02010345‐V6 Poloprovozně ověřená technologie enkapsulace probiotických bakterií Rok dosažení výsledku:</w:t>
      </w:r>
      <w:r>
        <w:rPr>
          <w:spacing w:val="48"/>
        </w:rPr>
        <w:t xml:space="preserve"> </w:t>
      </w:r>
      <w:r>
        <w:t>2019</w:t>
      </w:r>
    </w:p>
    <w:p w:rsidR="005A2C42" w:rsidRDefault="00A57CA2">
      <w:pPr>
        <w:pStyle w:val="Zkladntext"/>
        <w:spacing w:before="2"/>
        <w:ind w:left="217"/>
      </w:pPr>
      <w:r>
        <w:t>Typ výsledku: Z‐ ověřená technologie</w:t>
      </w:r>
    </w:p>
    <w:p w:rsidR="005A2C42" w:rsidRDefault="005A2C42">
      <w:pPr>
        <w:sectPr w:rsidR="005A2C42">
          <w:pgSz w:w="11910" w:h="16840"/>
          <w:pgMar w:top="1380" w:right="1320" w:bottom="1200" w:left="1200" w:header="0" w:footer="1003" w:gutter="0"/>
          <w:cols w:space="708"/>
        </w:sectPr>
      </w:pPr>
    </w:p>
    <w:p w:rsidR="005A2C42" w:rsidRDefault="005A2C42">
      <w:pPr>
        <w:pStyle w:val="Zkladntext"/>
        <w:spacing w:before="1"/>
      </w:pPr>
    </w:p>
    <w:p w:rsidR="005A2C42" w:rsidRDefault="00A57CA2">
      <w:pPr>
        <w:pStyle w:val="Odstavecseseznamem"/>
        <w:numPr>
          <w:ilvl w:val="0"/>
          <w:numId w:val="9"/>
        </w:numPr>
        <w:tabs>
          <w:tab w:val="left" w:pos="537"/>
        </w:tabs>
        <w:spacing w:before="55" w:line="453" w:lineRule="auto"/>
        <w:ind w:right="1446" w:firstLine="0"/>
      </w:pPr>
      <w:r>
        <w:t>TH02010345‐V7 Preparát probiotických bakterií enkapsulovaných metodou CASND Rok dosažení výsledku:</w:t>
      </w:r>
      <w:r>
        <w:rPr>
          <w:spacing w:val="48"/>
        </w:rPr>
        <w:t xml:space="preserve"> </w:t>
      </w:r>
      <w:r>
        <w:t>2019</w:t>
      </w:r>
    </w:p>
    <w:p w:rsidR="005A2C42" w:rsidRDefault="00A57CA2">
      <w:pPr>
        <w:pStyle w:val="Zkladntext"/>
        <w:spacing w:before="3"/>
        <w:ind w:left="217"/>
      </w:pPr>
      <w:r>
        <w:t>Typ výsledku: G‐ funkční vzorek</w:t>
      </w:r>
    </w:p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4"/>
        <w:rPr>
          <w:sz w:val="17"/>
        </w:rPr>
      </w:pPr>
    </w:p>
    <w:p w:rsidR="005A2C42" w:rsidRDefault="00A57CA2">
      <w:pPr>
        <w:pStyle w:val="Odstavecseseznamem"/>
        <w:numPr>
          <w:ilvl w:val="0"/>
          <w:numId w:val="9"/>
        </w:numPr>
        <w:tabs>
          <w:tab w:val="left" w:pos="431"/>
        </w:tabs>
        <w:spacing w:line="453" w:lineRule="auto"/>
        <w:ind w:right="4860" w:firstLine="0"/>
      </w:pPr>
      <w:r>
        <w:t>TH02010345‐V9 Finální preparát nutraceutika Rok dosažení výsledku:</w:t>
      </w:r>
      <w:r>
        <w:rPr>
          <w:spacing w:val="48"/>
        </w:rPr>
        <w:t xml:space="preserve"> </w:t>
      </w:r>
      <w:r>
        <w:t>2020</w:t>
      </w:r>
    </w:p>
    <w:p w:rsidR="005A2C42" w:rsidRDefault="00A57CA2">
      <w:pPr>
        <w:pStyle w:val="Zkladntext"/>
        <w:spacing w:before="3"/>
        <w:ind w:left="217"/>
      </w:pPr>
      <w:r>
        <w:t>Typ výsledku: G‐ funkční vzorek</w:t>
      </w:r>
    </w:p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4"/>
        <w:rPr>
          <w:sz w:val="17"/>
        </w:rPr>
      </w:pPr>
    </w:p>
    <w:p w:rsidR="005A2C42" w:rsidRDefault="00A57CA2">
      <w:pPr>
        <w:pStyle w:val="Odstavecseseznamem"/>
        <w:numPr>
          <w:ilvl w:val="0"/>
          <w:numId w:val="9"/>
        </w:numPr>
        <w:tabs>
          <w:tab w:val="left" w:pos="489"/>
        </w:tabs>
        <w:spacing w:line="453" w:lineRule="auto"/>
        <w:ind w:right="956" w:firstLine="0"/>
      </w:pPr>
      <w:r>
        <w:t>TH02010345‐V10 Technická dokumentace a schéma optimalizovaného CASND prototypu Rok dosažení výsledku:</w:t>
      </w:r>
      <w:r>
        <w:rPr>
          <w:spacing w:val="48"/>
        </w:rPr>
        <w:t xml:space="preserve"> </w:t>
      </w:r>
      <w:r>
        <w:t>2020</w:t>
      </w:r>
    </w:p>
    <w:p w:rsidR="005A2C42" w:rsidRDefault="00A57CA2">
      <w:pPr>
        <w:pStyle w:val="Zkladntext"/>
        <w:spacing w:before="3"/>
        <w:ind w:left="217"/>
      </w:pPr>
      <w:r>
        <w:t>Typ výsledku:  O‐</w:t>
      </w:r>
      <w:r>
        <w:rPr>
          <w:spacing w:val="-9"/>
        </w:rPr>
        <w:t xml:space="preserve"> </w:t>
      </w:r>
      <w:r>
        <w:t>ostatní</w:t>
      </w:r>
    </w:p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4"/>
        <w:rPr>
          <w:sz w:val="17"/>
        </w:rPr>
      </w:pPr>
    </w:p>
    <w:p w:rsidR="005A2C42" w:rsidRDefault="00A57CA2">
      <w:pPr>
        <w:pStyle w:val="Odstavecseseznamem"/>
        <w:numPr>
          <w:ilvl w:val="0"/>
          <w:numId w:val="9"/>
        </w:numPr>
        <w:tabs>
          <w:tab w:val="left" w:pos="425"/>
        </w:tabs>
        <w:spacing w:line="276" w:lineRule="auto"/>
        <w:ind w:right="822" w:firstLine="0"/>
      </w:pPr>
      <w:r>
        <w:t>TH02010345‐V13 Enkapsulovaný preparát obsahující extrakty plísňového kmene Monascus purpureus</w:t>
      </w:r>
    </w:p>
    <w:p w:rsidR="005A2C42" w:rsidRDefault="005A2C42">
      <w:pPr>
        <w:pStyle w:val="Zkladntext"/>
        <w:spacing w:before="5"/>
        <w:rPr>
          <w:sz w:val="16"/>
        </w:rPr>
      </w:pPr>
    </w:p>
    <w:p w:rsidR="005A2C42" w:rsidRDefault="00A57CA2">
      <w:pPr>
        <w:pStyle w:val="Zkladntext"/>
        <w:spacing w:line="453" w:lineRule="auto"/>
        <w:ind w:left="217" w:right="6307"/>
      </w:pPr>
      <w:r>
        <w:t>Rok dosažení výsledku: 2017 Typ výsledku: G‐ funkční vzorek</w:t>
      </w: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11"/>
        <w:rPr>
          <w:sz w:val="19"/>
        </w:rPr>
      </w:pPr>
    </w:p>
    <w:p w:rsidR="005A2C42" w:rsidRDefault="00A57CA2">
      <w:pPr>
        <w:pStyle w:val="Odstavecseseznamem"/>
        <w:numPr>
          <w:ilvl w:val="0"/>
          <w:numId w:val="9"/>
        </w:numPr>
        <w:tabs>
          <w:tab w:val="left" w:pos="437"/>
        </w:tabs>
        <w:spacing w:line="276" w:lineRule="auto"/>
        <w:ind w:left="216" w:right="810" w:firstLine="0"/>
      </w:pPr>
      <w:r>
        <w:t>TH02010345‐V14 Enkapsulovaný preparát obsahující extrakty plísňového kmene Monascus purpureus</w:t>
      </w:r>
    </w:p>
    <w:p w:rsidR="005A2C42" w:rsidRDefault="005A2C42">
      <w:pPr>
        <w:pStyle w:val="Zkladntext"/>
        <w:spacing w:before="4"/>
        <w:rPr>
          <w:sz w:val="16"/>
        </w:rPr>
      </w:pPr>
    </w:p>
    <w:p w:rsidR="005A2C42" w:rsidRDefault="00A57CA2">
      <w:pPr>
        <w:pStyle w:val="Zkladntext"/>
        <w:spacing w:line="453" w:lineRule="auto"/>
        <w:ind w:left="216" w:right="6345"/>
      </w:pPr>
      <w:r>
        <w:t>Rok dosažení výsledku: 2017 Typ výsledku: F‐ užitný vzor</w:t>
      </w: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11"/>
        <w:rPr>
          <w:sz w:val="19"/>
        </w:rPr>
      </w:pPr>
    </w:p>
    <w:p w:rsidR="005A2C42" w:rsidRDefault="00A57CA2">
      <w:pPr>
        <w:pStyle w:val="Odstavecseseznamem"/>
        <w:numPr>
          <w:ilvl w:val="0"/>
          <w:numId w:val="9"/>
        </w:numPr>
        <w:tabs>
          <w:tab w:val="left" w:pos="372"/>
        </w:tabs>
        <w:spacing w:line="276" w:lineRule="auto"/>
        <w:ind w:right="359" w:hanging="1"/>
      </w:pPr>
      <w:r>
        <w:t>TH02010345‐V15 (neplánovaný výsledek, přirozeně vzniklý jako vedlejší výstup řešení hlavního cíle Projektu) Fosfolipidový nosič</w:t>
      </w:r>
      <w:r>
        <w:rPr>
          <w:spacing w:val="-4"/>
        </w:rPr>
        <w:t xml:space="preserve"> </w:t>
      </w:r>
      <w:r>
        <w:t>glutathionu.</w:t>
      </w:r>
    </w:p>
    <w:p w:rsidR="005A2C42" w:rsidRDefault="005A2C42">
      <w:pPr>
        <w:pStyle w:val="Zkladntext"/>
        <w:spacing w:before="5"/>
        <w:rPr>
          <w:sz w:val="16"/>
        </w:rPr>
      </w:pPr>
    </w:p>
    <w:p w:rsidR="005A2C42" w:rsidRDefault="00A57CA2">
      <w:pPr>
        <w:pStyle w:val="Zkladntext"/>
        <w:spacing w:before="1" w:line="453" w:lineRule="auto"/>
        <w:ind w:left="217" w:right="6284"/>
      </w:pPr>
      <w:r>
        <w:t>Rok dosažení výsledku: 2020 Typ výsledku: G‐ funkční</w:t>
      </w:r>
      <w:r>
        <w:rPr>
          <w:spacing w:val="40"/>
        </w:rPr>
        <w:t xml:space="preserve"> </w:t>
      </w:r>
      <w:r>
        <w:t>vzorek</w:t>
      </w:r>
    </w:p>
    <w:p w:rsidR="005A2C42" w:rsidRDefault="005A2C42">
      <w:pPr>
        <w:spacing w:line="453" w:lineRule="auto"/>
        <w:sectPr w:rsidR="005A2C42">
          <w:pgSz w:w="11910" w:h="16840"/>
          <w:pgMar w:top="1600" w:right="1320" w:bottom="1200" w:left="1200" w:header="0" w:footer="1003" w:gutter="0"/>
          <w:cols w:space="708"/>
        </w:sectPr>
      </w:pPr>
    </w:p>
    <w:p w:rsidR="005A2C42" w:rsidRDefault="005A2C42">
      <w:pPr>
        <w:pStyle w:val="Zkladntext"/>
        <w:spacing w:before="1"/>
      </w:pPr>
    </w:p>
    <w:p w:rsidR="005A2C42" w:rsidRDefault="00A57CA2">
      <w:pPr>
        <w:pStyle w:val="Zkladntext"/>
        <w:spacing w:before="55"/>
        <w:ind w:left="570" w:right="450"/>
        <w:jc w:val="center"/>
      </w:pPr>
      <w:r>
        <w:t>Článek 2.</w:t>
      </w:r>
    </w:p>
    <w:p w:rsidR="005A2C42" w:rsidRDefault="00A57CA2">
      <w:pPr>
        <w:pStyle w:val="Zkladntext"/>
        <w:spacing w:before="1"/>
        <w:ind w:left="569" w:right="450"/>
        <w:jc w:val="center"/>
      </w:pPr>
      <w:r>
        <w:t>Úprava vlastnických práv k výsledkům</w:t>
      </w: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7"/>
        <w:rPr>
          <w:sz w:val="19"/>
        </w:rPr>
      </w:pPr>
    </w:p>
    <w:p w:rsidR="005A2C42" w:rsidRDefault="00A57CA2">
      <w:pPr>
        <w:pStyle w:val="Odstavecseseznamem"/>
        <w:numPr>
          <w:ilvl w:val="0"/>
          <w:numId w:val="8"/>
        </w:numPr>
        <w:tabs>
          <w:tab w:val="left" w:pos="494"/>
        </w:tabs>
        <w:spacing w:line="276" w:lineRule="auto"/>
        <w:ind w:right="424" w:firstLine="0"/>
      </w:pPr>
      <w:r>
        <w:t xml:space="preserve">Vlastnická práva k výsledkům jsou stanovena </w:t>
      </w:r>
      <w:proofErr w:type="gramStart"/>
      <w:r>
        <w:t>na</w:t>
      </w:r>
      <w:proofErr w:type="gramEnd"/>
      <w:r>
        <w:t xml:space="preserve"> základě podílu spolupráce, vloženého duševního vlastnictví a finančního zapojení jednotlivých Smluvních</w:t>
      </w:r>
      <w:r>
        <w:rPr>
          <w:spacing w:val="-7"/>
        </w:rPr>
        <w:t xml:space="preserve"> </w:t>
      </w:r>
      <w:r>
        <w:t>stran.</w:t>
      </w:r>
    </w:p>
    <w:p w:rsidR="005A2C42" w:rsidRDefault="005A2C42">
      <w:pPr>
        <w:pStyle w:val="Zkladntext"/>
        <w:spacing w:before="5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8"/>
        </w:numPr>
        <w:tabs>
          <w:tab w:val="left" w:pos="494"/>
        </w:tabs>
        <w:spacing w:line="276" w:lineRule="auto"/>
        <w:ind w:right="1015" w:firstLine="0"/>
      </w:pPr>
      <w:r>
        <w:t>Dohodnuté vlastnické podíly Smluvních stran na jednotlivých výsledcích jsou uvedeny v následující tabulce:</w:t>
      </w:r>
    </w:p>
    <w:p w:rsidR="005A2C42" w:rsidRDefault="005A2C42">
      <w:pPr>
        <w:pStyle w:val="Zkladntext"/>
        <w:spacing w:before="4"/>
        <w:rPr>
          <w:sz w:val="16"/>
        </w:rPr>
      </w:pPr>
    </w:p>
    <w:p w:rsidR="005A2C42" w:rsidRDefault="00A57CA2">
      <w:pPr>
        <w:pStyle w:val="Zkladntext"/>
        <w:spacing w:before="1"/>
        <w:ind w:left="217"/>
      </w:pPr>
      <w:r>
        <w:t>Vlastnické podíly Smluvních stran v jednotlivých výsledcích</w:t>
      </w:r>
    </w:p>
    <w:p w:rsidR="005A2C42" w:rsidRDefault="005A2C42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01"/>
        <w:gridCol w:w="2995"/>
        <w:gridCol w:w="1025"/>
        <w:gridCol w:w="1561"/>
      </w:tblGrid>
      <w:tr w:rsidR="005A2C42">
        <w:trPr>
          <w:trHeight w:val="805"/>
        </w:trPr>
        <w:tc>
          <w:tcPr>
            <w:tcW w:w="6506" w:type="dxa"/>
            <w:gridSpan w:val="3"/>
          </w:tcPr>
          <w:p w:rsidR="005A2C42" w:rsidRDefault="00A57CA2">
            <w:pPr>
              <w:pStyle w:val="TableParagraph"/>
              <w:spacing w:line="240" w:lineRule="auto"/>
              <w:ind w:left="107"/>
            </w:pPr>
            <w:r>
              <w:t>Základní informace o výsledku</w:t>
            </w:r>
          </w:p>
        </w:tc>
        <w:tc>
          <w:tcPr>
            <w:tcW w:w="2586" w:type="dxa"/>
            <w:gridSpan w:val="2"/>
          </w:tcPr>
          <w:p w:rsidR="005A2C42" w:rsidRDefault="00A57CA2">
            <w:pPr>
              <w:pStyle w:val="TableParagraph"/>
              <w:spacing w:line="240" w:lineRule="auto"/>
              <w:ind w:left="105" w:right="454"/>
            </w:pPr>
            <w:r>
              <w:t>Vlastnický podíl (v%) jednotlivých účastníků</w:t>
            </w:r>
          </w:p>
          <w:p w:rsidR="005A2C42" w:rsidRDefault="00A57CA2">
            <w:pPr>
              <w:pStyle w:val="TableParagraph"/>
              <w:spacing w:line="249" w:lineRule="exact"/>
              <w:ind w:left="105"/>
            </w:pPr>
            <w:r>
              <w:t>Projektu</w:t>
            </w:r>
          </w:p>
        </w:tc>
      </w:tr>
      <w:tr w:rsidR="005A2C42">
        <w:trPr>
          <w:trHeight w:val="537"/>
        </w:trPr>
        <w:tc>
          <w:tcPr>
            <w:tcW w:w="1810" w:type="dxa"/>
          </w:tcPr>
          <w:p w:rsidR="005A2C42" w:rsidRDefault="00A57CA2">
            <w:pPr>
              <w:pStyle w:val="TableParagraph"/>
              <w:ind w:left="107"/>
            </w:pPr>
            <w:r>
              <w:t>Číslo výsledku</w:t>
            </w:r>
          </w:p>
        </w:tc>
        <w:tc>
          <w:tcPr>
            <w:tcW w:w="1701" w:type="dxa"/>
          </w:tcPr>
          <w:p w:rsidR="005A2C42" w:rsidRDefault="00A57CA2">
            <w:pPr>
              <w:pStyle w:val="TableParagraph"/>
            </w:pPr>
            <w:r>
              <w:t>Typ</w:t>
            </w:r>
          </w:p>
        </w:tc>
        <w:tc>
          <w:tcPr>
            <w:tcW w:w="2995" w:type="dxa"/>
          </w:tcPr>
          <w:p w:rsidR="005A2C42" w:rsidRDefault="00A57CA2">
            <w:pPr>
              <w:pStyle w:val="TableParagraph"/>
            </w:pPr>
            <w:r>
              <w:t>Název</w:t>
            </w:r>
          </w:p>
        </w:tc>
        <w:tc>
          <w:tcPr>
            <w:tcW w:w="1025" w:type="dxa"/>
          </w:tcPr>
          <w:p w:rsidR="005A2C42" w:rsidRDefault="00A57CA2">
            <w:pPr>
              <w:pStyle w:val="TableParagraph"/>
              <w:ind w:left="105"/>
            </w:pPr>
            <w:r>
              <w:t>Příjemce</w:t>
            </w:r>
          </w:p>
          <w:p w:rsidR="005A2C42" w:rsidRDefault="00A57CA2">
            <w:pPr>
              <w:pStyle w:val="TableParagraph"/>
              <w:spacing w:line="249" w:lineRule="exact"/>
              <w:ind w:left="105"/>
            </w:pPr>
            <w:r>
              <w:t>C2P</w:t>
            </w:r>
          </w:p>
        </w:tc>
        <w:tc>
          <w:tcPr>
            <w:tcW w:w="1561" w:type="dxa"/>
          </w:tcPr>
          <w:p w:rsidR="005A2C42" w:rsidRDefault="00A57CA2">
            <w:pPr>
              <w:pStyle w:val="TableParagraph"/>
              <w:ind w:left="104"/>
            </w:pPr>
            <w:r>
              <w:t>Další účastník</w:t>
            </w:r>
          </w:p>
          <w:p w:rsidR="005A2C42" w:rsidRDefault="00A57CA2">
            <w:pPr>
              <w:pStyle w:val="TableParagraph"/>
              <w:spacing w:line="249" w:lineRule="exact"/>
              <w:ind w:left="104"/>
            </w:pPr>
            <w:r>
              <w:t>VUPP</w:t>
            </w:r>
          </w:p>
        </w:tc>
      </w:tr>
      <w:tr w:rsidR="005A2C42">
        <w:trPr>
          <w:trHeight w:val="268"/>
        </w:trPr>
        <w:tc>
          <w:tcPr>
            <w:tcW w:w="1810" w:type="dxa"/>
          </w:tcPr>
          <w:p w:rsidR="005A2C42" w:rsidRDefault="00A57CA2">
            <w:pPr>
              <w:pStyle w:val="TableParagraph"/>
              <w:spacing w:line="248" w:lineRule="exact"/>
              <w:ind w:left="107"/>
            </w:pPr>
            <w:r>
              <w:t>TH02010345‐V2</w:t>
            </w:r>
          </w:p>
        </w:tc>
        <w:tc>
          <w:tcPr>
            <w:tcW w:w="1701" w:type="dxa"/>
          </w:tcPr>
          <w:p w:rsidR="005A2C42" w:rsidRDefault="00A57CA2">
            <w:pPr>
              <w:pStyle w:val="TableParagraph"/>
              <w:spacing w:line="248" w:lineRule="exact"/>
            </w:pPr>
            <w:r>
              <w:t>F‐ užitný vzor</w:t>
            </w:r>
          </w:p>
        </w:tc>
        <w:tc>
          <w:tcPr>
            <w:tcW w:w="2995" w:type="dxa"/>
          </w:tcPr>
          <w:p w:rsidR="005A2C42" w:rsidRDefault="00A57CA2">
            <w:pPr>
              <w:pStyle w:val="TableParagraph"/>
              <w:spacing w:line="248" w:lineRule="exact"/>
            </w:pPr>
            <w:r>
              <w:t>Imunostimulační preparát</w:t>
            </w:r>
          </w:p>
        </w:tc>
        <w:tc>
          <w:tcPr>
            <w:tcW w:w="1025" w:type="dxa"/>
          </w:tcPr>
          <w:p w:rsidR="005A2C42" w:rsidRDefault="00A57CA2">
            <w:pPr>
              <w:pStyle w:val="TableParagraph"/>
              <w:spacing w:line="248" w:lineRule="exact"/>
              <w:ind w:left="105"/>
            </w:pPr>
            <w:r>
              <w:t>100</w:t>
            </w:r>
          </w:p>
        </w:tc>
        <w:tc>
          <w:tcPr>
            <w:tcW w:w="1561" w:type="dxa"/>
          </w:tcPr>
          <w:p w:rsidR="005A2C42" w:rsidRDefault="00A57CA2">
            <w:pPr>
              <w:pStyle w:val="TableParagraph"/>
              <w:spacing w:line="248" w:lineRule="exact"/>
              <w:ind w:left="104"/>
            </w:pPr>
            <w:r>
              <w:rPr>
                <w:w w:val="99"/>
              </w:rPr>
              <w:t>0</w:t>
            </w:r>
          </w:p>
        </w:tc>
      </w:tr>
      <w:tr w:rsidR="005A2C42">
        <w:trPr>
          <w:trHeight w:val="537"/>
        </w:trPr>
        <w:tc>
          <w:tcPr>
            <w:tcW w:w="1810" w:type="dxa"/>
          </w:tcPr>
          <w:p w:rsidR="005A2C42" w:rsidRDefault="00A57CA2">
            <w:pPr>
              <w:pStyle w:val="TableParagraph"/>
              <w:ind w:left="107"/>
            </w:pPr>
            <w:r>
              <w:t>TH02010345‐V3</w:t>
            </w:r>
          </w:p>
        </w:tc>
        <w:tc>
          <w:tcPr>
            <w:tcW w:w="1701" w:type="dxa"/>
          </w:tcPr>
          <w:p w:rsidR="005A2C42" w:rsidRDefault="00A57CA2">
            <w:pPr>
              <w:pStyle w:val="TableParagraph"/>
            </w:pPr>
            <w:r>
              <w:t>G‐ funkční</w:t>
            </w:r>
          </w:p>
          <w:p w:rsidR="005A2C42" w:rsidRDefault="00A57CA2">
            <w:pPr>
              <w:pStyle w:val="TableParagraph"/>
              <w:spacing w:line="249" w:lineRule="exact"/>
            </w:pPr>
            <w:r>
              <w:t>vzorek</w:t>
            </w:r>
          </w:p>
        </w:tc>
        <w:tc>
          <w:tcPr>
            <w:tcW w:w="2995" w:type="dxa"/>
          </w:tcPr>
          <w:p w:rsidR="005A2C42" w:rsidRDefault="00A57CA2">
            <w:pPr>
              <w:pStyle w:val="TableParagraph"/>
            </w:pPr>
            <w:r>
              <w:t>Imunostimulační preparát</w:t>
            </w:r>
          </w:p>
        </w:tc>
        <w:tc>
          <w:tcPr>
            <w:tcW w:w="1025" w:type="dxa"/>
          </w:tcPr>
          <w:p w:rsidR="005A2C42" w:rsidRDefault="00A57CA2">
            <w:pPr>
              <w:pStyle w:val="TableParagraph"/>
              <w:ind w:left="105"/>
            </w:pPr>
            <w:r>
              <w:t>100</w:t>
            </w:r>
          </w:p>
        </w:tc>
        <w:tc>
          <w:tcPr>
            <w:tcW w:w="1561" w:type="dxa"/>
          </w:tcPr>
          <w:p w:rsidR="005A2C42" w:rsidRDefault="00A57CA2">
            <w:pPr>
              <w:pStyle w:val="TableParagraph"/>
              <w:ind w:left="104"/>
            </w:pPr>
            <w:r>
              <w:rPr>
                <w:w w:val="99"/>
              </w:rPr>
              <w:t>0</w:t>
            </w:r>
          </w:p>
        </w:tc>
      </w:tr>
      <w:tr w:rsidR="005A2C42">
        <w:trPr>
          <w:trHeight w:val="806"/>
        </w:trPr>
        <w:tc>
          <w:tcPr>
            <w:tcW w:w="1810" w:type="dxa"/>
          </w:tcPr>
          <w:p w:rsidR="005A2C42" w:rsidRDefault="00A57CA2">
            <w:pPr>
              <w:pStyle w:val="TableParagraph"/>
              <w:ind w:left="107"/>
            </w:pPr>
            <w:r>
              <w:t>TH02010345‐V6</w:t>
            </w:r>
          </w:p>
        </w:tc>
        <w:tc>
          <w:tcPr>
            <w:tcW w:w="1701" w:type="dxa"/>
          </w:tcPr>
          <w:p w:rsidR="005A2C42" w:rsidRDefault="00A57CA2">
            <w:pPr>
              <w:pStyle w:val="TableParagraph"/>
              <w:spacing w:line="240" w:lineRule="auto"/>
              <w:ind w:right="511"/>
            </w:pPr>
            <w:r>
              <w:t>Z‐ ověřená technologie</w:t>
            </w:r>
          </w:p>
        </w:tc>
        <w:tc>
          <w:tcPr>
            <w:tcW w:w="2995" w:type="dxa"/>
          </w:tcPr>
          <w:p w:rsidR="005A2C42" w:rsidRDefault="00A57CA2">
            <w:pPr>
              <w:pStyle w:val="TableParagraph"/>
              <w:spacing w:line="240" w:lineRule="auto"/>
              <w:ind w:right="649"/>
            </w:pPr>
            <w:r>
              <w:t>Poloprovozně ověřená technologie enkapsulace</w:t>
            </w:r>
          </w:p>
          <w:p w:rsidR="005A2C42" w:rsidRDefault="00A57CA2">
            <w:pPr>
              <w:pStyle w:val="TableParagraph"/>
              <w:spacing w:line="249" w:lineRule="exact"/>
            </w:pPr>
            <w:r>
              <w:t>probiotických bakterií</w:t>
            </w:r>
          </w:p>
        </w:tc>
        <w:tc>
          <w:tcPr>
            <w:tcW w:w="1025" w:type="dxa"/>
          </w:tcPr>
          <w:p w:rsidR="005A2C42" w:rsidRDefault="00A57CA2">
            <w:pPr>
              <w:pStyle w:val="TableParagraph"/>
              <w:ind w:left="105"/>
            </w:pPr>
            <w:r>
              <w:t>50</w:t>
            </w:r>
          </w:p>
        </w:tc>
        <w:tc>
          <w:tcPr>
            <w:tcW w:w="1561" w:type="dxa"/>
          </w:tcPr>
          <w:p w:rsidR="005A2C42" w:rsidRDefault="00A57CA2">
            <w:pPr>
              <w:pStyle w:val="TableParagraph"/>
              <w:ind w:left="104"/>
            </w:pPr>
            <w:r>
              <w:t>50</w:t>
            </w:r>
          </w:p>
        </w:tc>
      </w:tr>
      <w:tr w:rsidR="005A2C42">
        <w:trPr>
          <w:trHeight w:val="804"/>
        </w:trPr>
        <w:tc>
          <w:tcPr>
            <w:tcW w:w="1810" w:type="dxa"/>
          </w:tcPr>
          <w:p w:rsidR="005A2C42" w:rsidRDefault="00A57CA2">
            <w:pPr>
              <w:pStyle w:val="TableParagraph"/>
              <w:ind w:left="107"/>
            </w:pPr>
            <w:r>
              <w:t>TH02010345‐V7</w:t>
            </w:r>
          </w:p>
        </w:tc>
        <w:tc>
          <w:tcPr>
            <w:tcW w:w="1701" w:type="dxa"/>
          </w:tcPr>
          <w:p w:rsidR="005A2C42" w:rsidRDefault="00A57CA2">
            <w:pPr>
              <w:pStyle w:val="TableParagraph"/>
              <w:spacing w:line="240" w:lineRule="auto"/>
              <w:ind w:right="652" w:hanging="1"/>
            </w:pPr>
            <w:r>
              <w:t>G‐ funkční vzorek</w:t>
            </w:r>
          </w:p>
        </w:tc>
        <w:tc>
          <w:tcPr>
            <w:tcW w:w="2995" w:type="dxa"/>
          </w:tcPr>
          <w:p w:rsidR="005A2C42" w:rsidRDefault="00A57CA2">
            <w:pPr>
              <w:pStyle w:val="TableParagraph"/>
              <w:spacing w:line="240" w:lineRule="auto"/>
              <w:ind w:right="85"/>
            </w:pPr>
            <w:r>
              <w:t>Preparát probiotických bakterií enkapsulovaných metodou</w:t>
            </w:r>
          </w:p>
          <w:p w:rsidR="005A2C42" w:rsidRDefault="00A57CA2">
            <w:pPr>
              <w:pStyle w:val="TableParagraph"/>
              <w:spacing w:line="248" w:lineRule="exact"/>
            </w:pPr>
            <w:r>
              <w:t>CASND</w:t>
            </w:r>
          </w:p>
        </w:tc>
        <w:tc>
          <w:tcPr>
            <w:tcW w:w="1025" w:type="dxa"/>
          </w:tcPr>
          <w:p w:rsidR="005A2C42" w:rsidRDefault="00A57CA2">
            <w:pPr>
              <w:pStyle w:val="TableParagraph"/>
              <w:ind w:left="105"/>
            </w:pPr>
            <w:r>
              <w:t>100</w:t>
            </w:r>
          </w:p>
        </w:tc>
        <w:tc>
          <w:tcPr>
            <w:tcW w:w="1561" w:type="dxa"/>
          </w:tcPr>
          <w:p w:rsidR="005A2C42" w:rsidRDefault="00A57CA2">
            <w:pPr>
              <w:pStyle w:val="TableParagraph"/>
              <w:ind w:left="104"/>
            </w:pPr>
            <w:r>
              <w:rPr>
                <w:w w:val="99"/>
              </w:rPr>
              <w:t>0</w:t>
            </w:r>
          </w:p>
        </w:tc>
      </w:tr>
      <w:tr w:rsidR="005A2C42">
        <w:trPr>
          <w:trHeight w:val="537"/>
        </w:trPr>
        <w:tc>
          <w:tcPr>
            <w:tcW w:w="1810" w:type="dxa"/>
          </w:tcPr>
          <w:p w:rsidR="005A2C42" w:rsidRDefault="00A57CA2">
            <w:pPr>
              <w:pStyle w:val="TableParagraph"/>
              <w:spacing w:line="240" w:lineRule="auto"/>
              <w:ind w:left="107"/>
            </w:pPr>
            <w:r>
              <w:t>TH02010345‐V9</w:t>
            </w:r>
          </w:p>
        </w:tc>
        <w:tc>
          <w:tcPr>
            <w:tcW w:w="1701" w:type="dxa"/>
          </w:tcPr>
          <w:p w:rsidR="005A2C42" w:rsidRDefault="00A57CA2">
            <w:pPr>
              <w:pStyle w:val="TableParagraph"/>
              <w:spacing w:line="270" w:lineRule="atLeast"/>
              <w:ind w:right="652" w:hanging="1"/>
            </w:pPr>
            <w:r>
              <w:t>G‐ funkční vzorek</w:t>
            </w:r>
          </w:p>
        </w:tc>
        <w:tc>
          <w:tcPr>
            <w:tcW w:w="2995" w:type="dxa"/>
          </w:tcPr>
          <w:p w:rsidR="005A2C42" w:rsidRDefault="00A57CA2">
            <w:pPr>
              <w:pStyle w:val="TableParagraph"/>
              <w:spacing w:line="240" w:lineRule="auto"/>
            </w:pPr>
            <w:r>
              <w:t>Finální preparát nutraceutika</w:t>
            </w:r>
          </w:p>
        </w:tc>
        <w:tc>
          <w:tcPr>
            <w:tcW w:w="1025" w:type="dxa"/>
          </w:tcPr>
          <w:p w:rsidR="005A2C42" w:rsidRDefault="00A57CA2">
            <w:pPr>
              <w:pStyle w:val="TableParagraph"/>
              <w:spacing w:line="240" w:lineRule="auto"/>
              <w:ind w:left="105"/>
            </w:pPr>
            <w:r>
              <w:t>100</w:t>
            </w:r>
          </w:p>
        </w:tc>
        <w:tc>
          <w:tcPr>
            <w:tcW w:w="1561" w:type="dxa"/>
          </w:tcPr>
          <w:p w:rsidR="005A2C42" w:rsidRDefault="00A57CA2">
            <w:pPr>
              <w:pStyle w:val="TableParagraph"/>
              <w:spacing w:line="240" w:lineRule="auto"/>
              <w:ind w:left="104"/>
            </w:pPr>
            <w:r>
              <w:rPr>
                <w:w w:val="99"/>
              </w:rPr>
              <w:t>0</w:t>
            </w:r>
          </w:p>
        </w:tc>
      </w:tr>
      <w:tr w:rsidR="005A2C42">
        <w:trPr>
          <w:trHeight w:val="802"/>
        </w:trPr>
        <w:tc>
          <w:tcPr>
            <w:tcW w:w="1810" w:type="dxa"/>
          </w:tcPr>
          <w:p w:rsidR="005A2C42" w:rsidRDefault="00A57CA2">
            <w:pPr>
              <w:pStyle w:val="TableParagraph"/>
              <w:spacing w:line="266" w:lineRule="exact"/>
              <w:ind w:left="107"/>
            </w:pPr>
            <w:r>
              <w:t>TH02010345‐V10</w:t>
            </w:r>
          </w:p>
        </w:tc>
        <w:tc>
          <w:tcPr>
            <w:tcW w:w="1701" w:type="dxa"/>
          </w:tcPr>
          <w:p w:rsidR="005A2C42" w:rsidRDefault="00A57CA2">
            <w:pPr>
              <w:pStyle w:val="TableParagraph"/>
              <w:spacing w:line="266" w:lineRule="exact"/>
            </w:pPr>
            <w:r>
              <w:t>O‐ ostatní</w:t>
            </w:r>
          </w:p>
        </w:tc>
        <w:tc>
          <w:tcPr>
            <w:tcW w:w="2995" w:type="dxa"/>
          </w:tcPr>
          <w:p w:rsidR="005A2C42" w:rsidRDefault="00A57CA2">
            <w:pPr>
              <w:pStyle w:val="TableParagraph"/>
              <w:spacing w:line="240" w:lineRule="auto"/>
              <w:ind w:right="521"/>
            </w:pPr>
            <w:r>
              <w:t>Technická dokumentace a schéma optimalizovaného</w:t>
            </w:r>
          </w:p>
          <w:p w:rsidR="005A2C42" w:rsidRDefault="00A57CA2">
            <w:pPr>
              <w:pStyle w:val="TableParagraph"/>
              <w:spacing w:line="249" w:lineRule="exact"/>
            </w:pPr>
            <w:r>
              <w:t>CASND prototypu</w:t>
            </w:r>
          </w:p>
        </w:tc>
        <w:tc>
          <w:tcPr>
            <w:tcW w:w="1025" w:type="dxa"/>
          </w:tcPr>
          <w:p w:rsidR="005A2C42" w:rsidRDefault="00A57CA2">
            <w:pPr>
              <w:pStyle w:val="TableParagraph"/>
              <w:spacing w:line="266" w:lineRule="exact"/>
              <w:ind w:left="105"/>
            </w:pPr>
            <w:r>
              <w:rPr>
                <w:w w:val="99"/>
              </w:rPr>
              <w:t>0</w:t>
            </w:r>
          </w:p>
        </w:tc>
        <w:tc>
          <w:tcPr>
            <w:tcW w:w="1561" w:type="dxa"/>
          </w:tcPr>
          <w:p w:rsidR="005A2C42" w:rsidRDefault="00A57CA2">
            <w:pPr>
              <w:pStyle w:val="TableParagraph"/>
              <w:spacing w:line="266" w:lineRule="exact"/>
              <w:ind w:left="104"/>
            </w:pPr>
            <w:r>
              <w:t>100</w:t>
            </w:r>
          </w:p>
        </w:tc>
      </w:tr>
      <w:tr w:rsidR="005A2C42">
        <w:trPr>
          <w:trHeight w:val="806"/>
        </w:trPr>
        <w:tc>
          <w:tcPr>
            <w:tcW w:w="1810" w:type="dxa"/>
          </w:tcPr>
          <w:p w:rsidR="005A2C42" w:rsidRDefault="00A57CA2">
            <w:pPr>
              <w:pStyle w:val="TableParagraph"/>
              <w:ind w:left="107"/>
            </w:pPr>
            <w:r>
              <w:t>TH02010345‐V13</w:t>
            </w:r>
          </w:p>
        </w:tc>
        <w:tc>
          <w:tcPr>
            <w:tcW w:w="1701" w:type="dxa"/>
          </w:tcPr>
          <w:p w:rsidR="005A2C42" w:rsidRDefault="00A57CA2">
            <w:pPr>
              <w:pStyle w:val="TableParagraph"/>
              <w:spacing w:line="240" w:lineRule="auto"/>
              <w:ind w:right="652" w:hanging="1"/>
            </w:pPr>
            <w:r>
              <w:t>G‐ funkční vzorek</w:t>
            </w:r>
          </w:p>
        </w:tc>
        <w:tc>
          <w:tcPr>
            <w:tcW w:w="2995" w:type="dxa"/>
          </w:tcPr>
          <w:p w:rsidR="005A2C42" w:rsidRDefault="00A57CA2">
            <w:pPr>
              <w:pStyle w:val="TableParagraph"/>
              <w:spacing w:line="240" w:lineRule="auto"/>
              <w:ind w:right="150"/>
            </w:pPr>
            <w:r>
              <w:t>Enkapsulovaný preparát obsahující extrakty plísňového</w:t>
            </w:r>
          </w:p>
          <w:p w:rsidR="005A2C42" w:rsidRDefault="00A57CA2">
            <w:pPr>
              <w:pStyle w:val="TableParagraph"/>
              <w:spacing w:line="249" w:lineRule="exact"/>
            </w:pPr>
            <w:r>
              <w:t>kmene Monascus purpureus</w:t>
            </w:r>
          </w:p>
        </w:tc>
        <w:tc>
          <w:tcPr>
            <w:tcW w:w="1025" w:type="dxa"/>
          </w:tcPr>
          <w:p w:rsidR="005A2C42" w:rsidRDefault="00A57CA2">
            <w:pPr>
              <w:pStyle w:val="TableParagraph"/>
              <w:ind w:left="105"/>
            </w:pPr>
            <w:r>
              <w:t>100</w:t>
            </w:r>
          </w:p>
        </w:tc>
        <w:tc>
          <w:tcPr>
            <w:tcW w:w="1561" w:type="dxa"/>
          </w:tcPr>
          <w:p w:rsidR="005A2C42" w:rsidRDefault="00A57CA2">
            <w:pPr>
              <w:pStyle w:val="TableParagraph"/>
              <w:ind w:left="104"/>
            </w:pPr>
            <w:r>
              <w:rPr>
                <w:w w:val="99"/>
              </w:rPr>
              <w:t>0</w:t>
            </w:r>
          </w:p>
        </w:tc>
      </w:tr>
      <w:tr w:rsidR="005A2C42">
        <w:trPr>
          <w:trHeight w:val="805"/>
        </w:trPr>
        <w:tc>
          <w:tcPr>
            <w:tcW w:w="1810" w:type="dxa"/>
          </w:tcPr>
          <w:p w:rsidR="005A2C42" w:rsidRDefault="00A57CA2">
            <w:pPr>
              <w:pStyle w:val="TableParagraph"/>
              <w:ind w:left="107"/>
            </w:pPr>
            <w:r>
              <w:t>TH02010345‐V14</w:t>
            </w:r>
          </w:p>
        </w:tc>
        <w:tc>
          <w:tcPr>
            <w:tcW w:w="1701" w:type="dxa"/>
          </w:tcPr>
          <w:p w:rsidR="005A2C42" w:rsidRDefault="00A57CA2">
            <w:pPr>
              <w:pStyle w:val="TableParagraph"/>
            </w:pPr>
            <w:r>
              <w:t>F‐ užitný vzor</w:t>
            </w:r>
          </w:p>
        </w:tc>
        <w:tc>
          <w:tcPr>
            <w:tcW w:w="2995" w:type="dxa"/>
          </w:tcPr>
          <w:p w:rsidR="005A2C42" w:rsidRDefault="00A57CA2">
            <w:pPr>
              <w:pStyle w:val="TableParagraph"/>
            </w:pPr>
            <w:r>
              <w:t>Enkapsulovaný preparát</w:t>
            </w:r>
          </w:p>
          <w:p w:rsidR="005A2C42" w:rsidRDefault="00A57CA2">
            <w:pPr>
              <w:pStyle w:val="TableParagraph"/>
              <w:spacing w:line="270" w:lineRule="atLeast"/>
              <w:ind w:right="151" w:hanging="1"/>
            </w:pPr>
            <w:r>
              <w:t>obsahující extrakty plísňového kmene Monascus purpureus</w:t>
            </w:r>
          </w:p>
        </w:tc>
        <w:tc>
          <w:tcPr>
            <w:tcW w:w="1025" w:type="dxa"/>
          </w:tcPr>
          <w:p w:rsidR="005A2C42" w:rsidRDefault="00A57CA2">
            <w:pPr>
              <w:pStyle w:val="TableParagraph"/>
              <w:ind w:left="105"/>
            </w:pPr>
            <w:r>
              <w:t>50</w:t>
            </w:r>
          </w:p>
        </w:tc>
        <w:tc>
          <w:tcPr>
            <w:tcW w:w="1561" w:type="dxa"/>
          </w:tcPr>
          <w:p w:rsidR="005A2C42" w:rsidRDefault="00A57CA2">
            <w:pPr>
              <w:pStyle w:val="TableParagraph"/>
              <w:ind w:left="104"/>
            </w:pPr>
            <w:r>
              <w:t>50</w:t>
            </w:r>
          </w:p>
        </w:tc>
      </w:tr>
      <w:tr w:rsidR="005A2C42">
        <w:trPr>
          <w:trHeight w:val="535"/>
        </w:trPr>
        <w:tc>
          <w:tcPr>
            <w:tcW w:w="1810" w:type="dxa"/>
          </w:tcPr>
          <w:p w:rsidR="005A2C42" w:rsidRDefault="00A57CA2">
            <w:pPr>
              <w:pStyle w:val="TableParagraph"/>
              <w:spacing w:line="266" w:lineRule="exact"/>
              <w:ind w:left="107"/>
            </w:pPr>
            <w:r>
              <w:t>TH02010345‐V15</w:t>
            </w:r>
          </w:p>
        </w:tc>
        <w:tc>
          <w:tcPr>
            <w:tcW w:w="1701" w:type="dxa"/>
          </w:tcPr>
          <w:p w:rsidR="005A2C42" w:rsidRDefault="00A57CA2">
            <w:pPr>
              <w:pStyle w:val="TableParagraph"/>
              <w:spacing w:line="266" w:lineRule="exact"/>
            </w:pPr>
            <w:r>
              <w:t>G‐ funkční</w:t>
            </w:r>
          </w:p>
          <w:p w:rsidR="005A2C42" w:rsidRDefault="00A57CA2">
            <w:pPr>
              <w:pStyle w:val="TableParagraph"/>
              <w:spacing w:line="249" w:lineRule="exact"/>
            </w:pPr>
            <w:r>
              <w:t>vzorek</w:t>
            </w:r>
          </w:p>
        </w:tc>
        <w:tc>
          <w:tcPr>
            <w:tcW w:w="2995" w:type="dxa"/>
          </w:tcPr>
          <w:p w:rsidR="005A2C42" w:rsidRDefault="00A57CA2">
            <w:pPr>
              <w:pStyle w:val="TableParagraph"/>
              <w:spacing w:line="266" w:lineRule="exact"/>
            </w:pPr>
            <w:r>
              <w:t>Fosfolipidový nosič</w:t>
            </w:r>
          </w:p>
          <w:p w:rsidR="005A2C42" w:rsidRDefault="00A57CA2">
            <w:pPr>
              <w:pStyle w:val="TableParagraph"/>
              <w:spacing w:line="249" w:lineRule="exact"/>
            </w:pPr>
            <w:r>
              <w:t>glutathionu</w:t>
            </w:r>
          </w:p>
        </w:tc>
        <w:tc>
          <w:tcPr>
            <w:tcW w:w="1025" w:type="dxa"/>
          </w:tcPr>
          <w:p w:rsidR="005A2C42" w:rsidRDefault="00A57CA2">
            <w:pPr>
              <w:pStyle w:val="TableParagraph"/>
              <w:spacing w:line="266" w:lineRule="exact"/>
              <w:ind w:left="105"/>
            </w:pPr>
            <w:r>
              <w:t>50</w:t>
            </w:r>
          </w:p>
        </w:tc>
        <w:tc>
          <w:tcPr>
            <w:tcW w:w="1561" w:type="dxa"/>
          </w:tcPr>
          <w:p w:rsidR="005A2C42" w:rsidRDefault="00A57CA2">
            <w:pPr>
              <w:pStyle w:val="TableParagraph"/>
              <w:spacing w:line="266" w:lineRule="exact"/>
              <w:ind w:left="104"/>
            </w:pPr>
            <w:r>
              <w:t>50</w:t>
            </w:r>
          </w:p>
        </w:tc>
      </w:tr>
    </w:tbl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7"/>
        <w:rPr>
          <w:sz w:val="19"/>
        </w:rPr>
      </w:pPr>
    </w:p>
    <w:p w:rsidR="005A2C42" w:rsidRDefault="00A57CA2">
      <w:pPr>
        <w:pStyle w:val="Zkladntext"/>
        <w:spacing w:before="1" w:line="268" w:lineRule="exact"/>
        <w:ind w:left="570" w:right="450"/>
        <w:jc w:val="center"/>
      </w:pPr>
      <w:r>
        <w:t>Článek 3.</w:t>
      </w:r>
    </w:p>
    <w:p w:rsidR="005A2C42" w:rsidRDefault="00A57CA2">
      <w:pPr>
        <w:pStyle w:val="Zkladntext"/>
        <w:spacing w:line="268" w:lineRule="exact"/>
        <w:ind w:left="569" w:right="450"/>
        <w:jc w:val="center"/>
      </w:pPr>
      <w:r>
        <w:t xml:space="preserve">Duševní vlastnictví </w:t>
      </w:r>
      <w:proofErr w:type="gramStart"/>
      <w:r>
        <w:t>a</w:t>
      </w:r>
      <w:proofErr w:type="gramEnd"/>
      <w:r>
        <w:t xml:space="preserve"> užívací práva k výsledkům</w:t>
      </w:r>
    </w:p>
    <w:p w:rsidR="005A2C42" w:rsidRDefault="005A2C42">
      <w:pPr>
        <w:pStyle w:val="Zkladntext"/>
      </w:pPr>
    </w:p>
    <w:p w:rsidR="005A2C42" w:rsidRDefault="00A57CA2">
      <w:pPr>
        <w:pStyle w:val="Odstavecseseznamem"/>
        <w:numPr>
          <w:ilvl w:val="0"/>
          <w:numId w:val="7"/>
        </w:numPr>
        <w:tabs>
          <w:tab w:val="left" w:pos="494"/>
        </w:tabs>
        <w:spacing w:line="276" w:lineRule="auto"/>
        <w:ind w:right="277" w:firstLine="0"/>
      </w:pPr>
      <w:r>
        <w:t xml:space="preserve">Práva k výsledkům Projektu a jejich ochrana se řídí článkem 14 a 15 VP TAČR a musí respektovat pravidla Rámce pro státní podporu výzkumu, vývoje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t>inovací.</w:t>
      </w:r>
    </w:p>
    <w:p w:rsidR="005A2C42" w:rsidRDefault="005A2C42">
      <w:pPr>
        <w:spacing w:line="276" w:lineRule="auto"/>
        <w:sectPr w:rsidR="005A2C42">
          <w:pgSz w:w="11910" w:h="16840"/>
          <w:pgMar w:top="1600" w:right="1320" w:bottom="1200" w:left="1200" w:header="0" w:footer="1003" w:gutter="0"/>
          <w:cols w:space="708"/>
        </w:sectPr>
      </w:pPr>
    </w:p>
    <w:p w:rsidR="005A2C42" w:rsidRDefault="00A57CA2">
      <w:pPr>
        <w:pStyle w:val="Odstavecseseznamem"/>
        <w:numPr>
          <w:ilvl w:val="0"/>
          <w:numId w:val="7"/>
        </w:numPr>
        <w:tabs>
          <w:tab w:val="left" w:pos="494"/>
        </w:tabs>
        <w:spacing w:before="36" w:line="276" w:lineRule="auto"/>
        <w:ind w:right="161" w:firstLine="0"/>
      </w:pPr>
      <w:r>
        <w:lastRenderedPageBreak/>
        <w:t xml:space="preserve">Duševním vlastnictvím se pro účel této Smlouvy rozumí jakýkoli výsledek duševní činnosti, </w:t>
      </w:r>
      <w:proofErr w:type="gramStart"/>
      <w:r>
        <w:t>na</w:t>
      </w:r>
      <w:proofErr w:type="gramEnd"/>
      <w:r>
        <w:t xml:space="preserve"> jehož základě vznikne nehmotný statek, který je objektivně zachytitelný, který má faktickou či potencionální výrobní, průmyslovou či vědeckou hodnotu. Jedná se zejména o vynálezy, technická řešení chráněná užitným vzorem, průmyslové vzory, zlepšovací návrhy, biotechnologické vynálezy, ochranné známky, know‐how, výsledky spadající pod autorské právo a další výsledky duševní činnosti.</w:t>
      </w:r>
    </w:p>
    <w:p w:rsidR="005A2C42" w:rsidRDefault="005A2C42">
      <w:pPr>
        <w:pStyle w:val="Zkladntext"/>
        <w:spacing w:before="5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7"/>
        </w:numPr>
        <w:tabs>
          <w:tab w:val="left" w:pos="494"/>
        </w:tabs>
        <w:spacing w:line="276" w:lineRule="auto"/>
        <w:ind w:left="216" w:right="810" w:firstLine="0"/>
      </w:pPr>
      <w:r>
        <w:t>Předměty duševního vlastnictví, které jsou ve vlastnictví jednotlivých Smluvních stran před uzavřením Smlouvy a které jsou potřebné pro realizaci Projektu nebo pro užívání jeho výsledků, zůstávají ve vlastnictví Příjemce nebo Dalších účastníků</w:t>
      </w:r>
      <w:r>
        <w:rPr>
          <w:spacing w:val="-12"/>
        </w:rPr>
        <w:t xml:space="preserve"> </w:t>
      </w:r>
      <w:r>
        <w:t>Projektu.</w:t>
      </w:r>
    </w:p>
    <w:p w:rsidR="005A2C42" w:rsidRDefault="005A2C42">
      <w:pPr>
        <w:pStyle w:val="Zkladntext"/>
        <w:spacing w:before="4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7"/>
        </w:numPr>
        <w:tabs>
          <w:tab w:val="left" w:pos="544"/>
        </w:tabs>
        <w:spacing w:line="276" w:lineRule="auto"/>
        <w:ind w:right="464" w:firstLine="0"/>
      </w:pPr>
      <w:r>
        <w:t xml:space="preserve">Smluvní strany se dohodly </w:t>
      </w:r>
      <w:proofErr w:type="gramStart"/>
      <w:r>
        <w:t>na</w:t>
      </w:r>
      <w:proofErr w:type="gramEnd"/>
      <w:r>
        <w:t xml:space="preserve"> tom, že duševní vlastnictví vzniklé při plnění úkolů v rámci Projektu je majetkem té Smluvní strany, jejíž pracovníci duševní vlastnictví vytvořili. Smluvní strana, která je majitelem takového duševního vlastnictví, nese náklady spojené s podáním přihlášek a vedením příslušných řízení </w:t>
      </w:r>
      <w:proofErr w:type="gramStart"/>
      <w:r>
        <w:t>na</w:t>
      </w:r>
      <w:proofErr w:type="gramEnd"/>
      <w:r>
        <w:t xml:space="preserve"> ochranu duševního</w:t>
      </w:r>
      <w:r>
        <w:rPr>
          <w:spacing w:val="43"/>
        </w:rPr>
        <w:t xml:space="preserve"> </w:t>
      </w:r>
      <w:r>
        <w:t>vlastnictví.</w:t>
      </w:r>
    </w:p>
    <w:p w:rsidR="005A2C42" w:rsidRDefault="005A2C42">
      <w:pPr>
        <w:pStyle w:val="Zkladntext"/>
        <w:spacing w:before="5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7"/>
        </w:numPr>
        <w:tabs>
          <w:tab w:val="left" w:pos="544"/>
        </w:tabs>
        <w:spacing w:before="1" w:line="276" w:lineRule="auto"/>
        <w:ind w:right="676" w:firstLine="0"/>
      </w:pPr>
      <w:r>
        <w:t xml:space="preserve">Duševní vlastnictví vzniklé při plnění úkolů v rámci Projektu prokazatelně spoluprací pracovníků Smluvních stran, je společným majetkem Smluvních stran, a to v tom poměru, v jakém se </w:t>
      </w:r>
      <w:proofErr w:type="gramStart"/>
      <w:r>
        <w:t>na</w:t>
      </w:r>
      <w:proofErr w:type="gramEnd"/>
      <w:r>
        <w:t xml:space="preserve"> vytvoření duševního vlastnictví podíleli pracovníci každé ze Smluvních stran. Vlastnické podíly Smluvních stran v jednotlivých výsledcích jsou uvedeny v čl. 2 odst. 2 této Smlouvy.</w:t>
      </w:r>
    </w:p>
    <w:p w:rsidR="005A2C42" w:rsidRDefault="005A2C42">
      <w:pPr>
        <w:pStyle w:val="Zkladntext"/>
        <w:spacing w:before="3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7"/>
        </w:numPr>
        <w:tabs>
          <w:tab w:val="left" w:pos="544"/>
          <w:tab w:val="left" w:pos="1499"/>
          <w:tab w:val="left" w:pos="2305"/>
          <w:tab w:val="left" w:pos="4096"/>
          <w:tab w:val="left" w:pos="5012"/>
          <w:tab w:val="left" w:pos="7179"/>
        </w:tabs>
        <w:spacing w:before="1" w:line="276" w:lineRule="auto"/>
        <w:ind w:right="396" w:firstLine="0"/>
      </w:pPr>
      <w:r>
        <w:t>Smluvní</w:t>
      </w:r>
      <w:r>
        <w:tab/>
        <w:t>strany</w:t>
      </w:r>
      <w:r>
        <w:tab/>
        <w:t xml:space="preserve">se  </w:t>
      </w:r>
      <w:r>
        <w:rPr>
          <w:spacing w:val="48"/>
        </w:rPr>
        <w:t xml:space="preserve"> </w:t>
      </w:r>
      <w:r>
        <w:t xml:space="preserve">dohodly    </w:t>
      </w:r>
      <w:proofErr w:type="gramStart"/>
      <w:r>
        <w:t>na</w:t>
      </w:r>
      <w:proofErr w:type="gramEnd"/>
      <w:r>
        <w:tab/>
        <w:t>udělení</w:t>
      </w:r>
      <w:r>
        <w:tab/>
        <w:t xml:space="preserve">neexkluzivní  </w:t>
      </w:r>
      <w:r>
        <w:rPr>
          <w:spacing w:val="42"/>
        </w:rPr>
        <w:t xml:space="preserve"> </w:t>
      </w:r>
      <w:r>
        <w:t>licence</w:t>
      </w:r>
      <w:r>
        <w:tab/>
        <w:t>k výsledku TH02010345‐V6 a TH02010345‐V10 příjemce. Podmínky udělení této licence budou uvedeny v samostatné smlouvě uzavřené mezi Smluvními</w:t>
      </w:r>
      <w:r>
        <w:rPr>
          <w:spacing w:val="44"/>
        </w:rPr>
        <w:t xml:space="preserve"> </w:t>
      </w:r>
      <w:r>
        <w:t>stranami.</w:t>
      </w:r>
    </w:p>
    <w:p w:rsidR="005A2C42" w:rsidRDefault="005A2C42">
      <w:pPr>
        <w:pStyle w:val="Zkladntext"/>
        <w:spacing w:before="4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7"/>
        </w:numPr>
        <w:tabs>
          <w:tab w:val="left" w:pos="494"/>
        </w:tabs>
        <w:spacing w:before="1" w:line="276" w:lineRule="auto"/>
        <w:ind w:right="501" w:firstLine="0"/>
      </w:pPr>
      <w:r>
        <w:t xml:space="preserve">V případě ochrany společného duševního vlastnictví jsou si Smluvní strany vzájemně nápomocny při přípravě podání přihlášek, </w:t>
      </w:r>
      <w:proofErr w:type="gramStart"/>
      <w:r>
        <w:t>a  to</w:t>
      </w:r>
      <w:proofErr w:type="gramEnd"/>
      <w:r>
        <w:t xml:space="preserve">  i  zahraničních. Smluvní  strany se v poměru jejich spoluvlastnických podílů  podílejí  na  nákladech  spojených s podáním  přihlášek  a vedením příslušných řízení na ochranu duševního</w:t>
      </w:r>
      <w:r>
        <w:rPr>
          <w:spacing w:val="45"/>
        </w:rPr>
        <w:t xml:space="preserve"> </w:t>
      </w:r>
      <w:r>
        <w:t>vlastnictví.</w:t>
      </w:r>
    </w:p>
    <w:p w:rsidR="005A2C42" w:rsidRDefault="005A2C42">
      <w:pPr>
        <w:pStyle w:val="Zkladntext"/>
        <w:spacing w:before="4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7"/>
        </w:numPr>
        <w:tabs>
          <w:tab w:val="left" w:pos="544"/>
        </w:tabs>
        <w:spacing w:line="276" w:lineRule="auto"/>
        <w:ind w:right="285" w:firstLine="0"/>
      </w:pPr>
      <w:r>
        <w:t xml:space="preserve">Příjemce a Další účastník ručí za právní nezávadnost Projektu, tj. </w:t>
      </w:r>
      <w:proofErr w:type="gramStart"/>
      <w:r>
        <w:t>odpovídají</w:t>
      </w:r>
      <w:proofErr w:type="gramEnd"/>
      <w:r>
        <w:t xml:space="preserve"> za to, že výsledky Projektu nezasahují do práv k  předmětům duševního  vlastnictví nebo jiných  práv třetích osob, a to pro jakékoliv využití výsledků Projektu v České republicei v zahraničí. Záruky působí i ve vztahu k dalším</w:t>
      </w:r>
      <w:r>
        <w:rPr>
          <w:spacing w:val="-2"/>
        </w:rPr>
        <w:t xml:space="preserve"> </w:t>
      </w:r>
      <w:r>
        <w:t>účastníkům.</w:t>
      </w:r>
    </w:p>
    <w:p w:rsidR="005A2C42" w:rsidRDefault="005A2C42">
      <w:pPr>
        <w:pStyle w:val="Zkladntext"/>
        <w:spacing w:before="5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7"/>
        </w:numPr>
        <w:tabs>
          <w:tab w:val="left" w:pos="544"/>
        </w:tabs>
        <w:spacing w:line="276" w:lineRule="auto"/>
        <w:ind w:right="488" w:firstLine="0"/>
      </w:pPr>
      <w:r>
        <w:t xml:space="preserve">K převodu podílu některého ze spoluvlastníků </w:t>
      </w:r>
      <w:proofErr w:type="gramStart"/>
      <w:r>
        <w:t>na</w:t>
      </w:r>
      <w:proofErr w:type="gramEnd"/>
      <w:r>
        <w:t xml:space="preserve"> jiného spoluvlastníka se souhlas ostatních nevyžaduje. Na třetí osobu může některý ze spoluvlastníků převést svůj podíl jen v případě, že žádný ze spoluvlastníků nepřijme ve lhůtě jednoho měsíce písemnou nabídku převodu. V ostatních otázkách se vzájemné vztahy mezi spoluvlastníky řídí obecnými předpisy o spoluvlastnictví (§ 1115 a násl. zákona č. 89/2012 Sb., občanský zákoník, v platném</w:t>
      </w:r>
      <w:r>
        <w:rPr>
          <w:spacing w:val="-23"/>
        </w:rPr>
        <w:t xml:space="preserve"> </w:t>
      </w:r>
      <w:r>
        <w:t>znění).</w:t>
      </w:r>
    </w:p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A57CA2">
      <w:pPr>
        <w:pStyle w:val="Odstavecseseznamem"/>
        <w:numPr>
          <w:ilvl w:val="0"/>
          <w:numId w:val="7"/>
        </w:numPr>
        <w:tabs>
          <w:tab w:val="left" w:pos="556"/>
        </w:tabs>
        <w:spacing w:before="172" w:line="276" w:lineRule="auto"/>
        <w:ind w:right="267" w:firstLine="0"/>
        <w:jc w:val="both"/>
      </w:pPr>
      <w:r>
        <w:t>Zveřejňuje‐li kterákoliv ze Smluvních stran informace o Projektu nebo o výsledcích Projektu, je povinna  důsledně  uvádět  identifikační  kód  Projektu  podle   Centrální evidence  projektů a dále tu skutečnost, že výsledek Projektu byl získán za finančního přispění Poskytovatele v rámci účelové podpory výzkumu, vývoje a inovací. Je třeba zajistit, aby v informacích zveřejňovaných</w:t>
      </w:r>
      <w:r>
        <w:rPr>
          <w:spacing w:val="37"/>
        </w:rPr>
        <w:t xml:space="preserve"> </w:t>
      </w:r>
      <w:r>
        <w:t>v</w:t>
      </w:r>
    </w:p>
    <w:p w:rsidR="005A2C42" w:rsidRDefault="005A2C42">
      <w:pPr>
        <w:spacing w:line="276" w:lineRule="auto"/>
        <w:jc w:val="both"/>
        <w:sectPr w:rsidR="005A2C42">
          <w:pgSz w:w="11910" w:h="16840"/>
          <w:pgMar w:top="1380" w:right="1320" w:bottom="1200" w:left="1200" w:header="0" w:footer="1003" w:gutter="0"/>
          <w:cols w:space="708"/>
        </w:sectPr>
      </w:pPr>
    </w:p>
    <w:p w:rsidR="005A2C42" w:rsidRDefault="00A57CA2">
      <w:pPr>
        <w:pStyle w:val="Zkladntext"/>
        <w:spacing w:before="36" w:line="276" w:lineRule="auto"/>
        <w:ind w:left="217" w:right="292"/>
      </w:pPr>
      <w:proofErr w:type="gramStart"/>
      <w:r>
        <w:lastRenderedPageBreak/>
        <w:t>souvislosti</w:t>
      </w:r>
      <w:proofErr w:type="gramEnd"/>
      <w:r>
        <w:t xml:space="preserve"> s  Projektem  bylo  vždy uvedeno: "Tento  výsledek  byl realizován za finanční  podpory ze státních prostředků prostřednictvím Technologické agentury České republiky." Současně je pak dotyčná Smluvní strana povinna uvést, že se jedná o Projekt řešený ve spolupráci s dalšími Smluvními</w:t>
      </w:r>
      <w:r>
        <w:rPr>
          <w:spacing w:val="49"/>
        </w:rPr>
        <w:t xml:space="preserve"> </w:t>
      </w:r>
      <w:r>
        <w:t>stranami.</w:t>
      </w:r>
    </w:p>
    <w:p w:rsidR="005A2C42" w:rsidRDefault="005A2C42">
      <w:pPr>
        <w:pStyle w:val="Zkladntext"/>
        <w:spacing w:before="5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7"/>
        </w:numPr>
        <w:tabs>
          <w:tab w:val="left" w:pos="556"/>
        </w:tabs>
        <w:spacing w:line="276" w:lineRule="auto"/>
        <w:ind w:right="394" w:hanging="1"/>
      </w:pPr>
      <w:r>
        <w:t>Smluvní strany prohlašují, že v této Smlouvě uvedené výsledky Projektu nejsou zároveň výsledkem jiného projektu nebo výzkumného</w:t>
      </w:r>
      <w:r>
        <w:rPr>
          <w:spacing w:val="-2"/>
        </w:rPr>
        <w:t xml:space="preserve"> </w:t>
      </w:r>
      <w:r>
        <w:t>záměru.</w:t>
      </w:r>
    </w:p>
    <w:p w:rsidR="005A2C42" w:rsidRDefault="005A2C42">
      <w:pPr>
        <w:pStyle w:val="Zkladntext"/>
        <w:spacing w:before="4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7"/>
        </w:numPr>
        <w:tabs>
          <w:tab w:val="left" w:pos="556"/>
        </w:tabs>
        <w:spacing w:line="276" w:lineRule="auto"/>
        <w:ind w:right="883" w:firstLine="0"/>
      </w:pPr>
      <w:r>
        <w:t>Všechny Smluvní strany mají právo obecně šířit výsledky projektu, které nemají za následek vznik práva k duševnímu</w:t>
      </w:r>
      <w:r>
        <w:rPr>
          <w:spacing w:val="-3"/>
        </w:rPr>
        <w:t xml:space="preserve"> </w:t>
      </w:r>
      <w:r>
        <w:t>vlastnictví.</w:t>
      </w:r>
    </w:p>
    <w:p w:rsidR="005A2C42" w:rsidRDefault="005A2C42">
      <w:pPr>
        <w:pStyle w:val="Zkladntext"/>
        <w:spacing w:before="5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7"/>
        </w:numPr>
        <w:tabs>
          <w:tab w:val="left" w:pos="556"/>
        </w:tabs>
        <w:spacing w:line="276" w:lineRule="auto"/>
        <w:ind w:right="349" w:hanging="1"/>
      </w:pPr>
      <w:r>
        <w:t xml:space="preserve">Publikační činnost Smluvních stran musí být realizována takovým způsobem, aby nebyla dotčena práva Smluvních stran </w:t>
      </w:r>
      <w:proofErr w:type="gramStart"/>
      <w:r>
        <w:t>na</w:t>
      </w:r>
      <w:proofErr w:type="gramEnd"/>
      <w:r>
        <w:t xml:space="preserve"> ochranu a komerční využití výsledků</w:t>
      </w:r>
      <w:r>
        <w:rPr>
          <w:spacing w:val="-11"/>
        </w:rPr>
        <w:t xml:space="preserve"> </w:t>
      </w:r>
      <w:r>
        <w:t>Projektu.</w:t>
      </w:r>
    </w:p>
    <w:p w:rsidR="005A2C42" w:rsidRDefault="005A2C42">
      <w:pPr>
        <w:pStyle w:val="Zkladntext"/>
        <w:spacing w:before="4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7"/>
        </w:numPr>
        <w:tabs>
          <w:tab w:val="left" w:pos="556"/>
          <w:tab w:val="left" w:pos="1998"/>
          <w:tab w:val="left" w:pos="9010"/>
        </w:tabs>
        <w:spacing w:before="1" w:line="276" w:lineRule="auto"/>
        <w:ind w:right="175" w:firstLine="0"/>
      </w:pPr>
      <w:r>
        <w:t xml:space="preserve">Tržby získané komercializací výsledků Projektu v období kalendářního roku bude mezi Smluvní strany rozdělen dle </w:t>
      </w:r>
      <w:proofErr w:type="gramStart"/>
      <w:r>
        <w:t>poměrů  uvedených</w:t>
      </w:r>
      <w:proofErr w:type="gramEnd"/>
      <w:r>
        <w:t xml:space="preserve"> v čl. 4 </w:t>
      </w:r>
      <w:proofErr w:type="gramStart"/>
      <w:r>
        <w:t>této  Smlouvy</w:t>
      </w:r>
      <w:proofErr w:type="gramEnd"/>
      <w:r>
        <w:t>. Komercializací</w:t>
      </w:r>
      <w:r>
        <w:rPr>
          <w:spacing w:val="-27"/>
        </w:rPr>
        <w:t xml:space="preserve"> </w:t>
      </w:r>
      <w:r>
        <w:t xml:space="preserve">výsledků  </w:t>
      </w:r>
      <w:r>
        <w:rPr>
          <w:spacing w:val="44"/>
        </w:rPr>
        <w:t xml:space="preserve"> </w:t>
      </w:r>
      <w:r>
        <w:t>Projektu</w:t>
      </w:r>
      <w:r>
        <w:tab/>
      </w:r>
      <w:r>
        <w:rPr>
          <w:spacing w:val="-8"/>
        </w:rPr>
        <w:t xml:space="preserve">se </w:t>
      </w:r>
      <w:r>
        <w:t xml:space="preserve">rozumí  </w:t>
      </w:r>
      <w:r>
        <w:rPr>
          <w:spacing w:val="45"/>
        </w:rPr>
        <w:t xml:space="preserve"> </w:t>
      </w:r>
      <w:r>
        <w:t>finanční</w:t>
      </w:r>
      <w:r>
        <w:tab/>
        <w:t>zhodnocení duševního vlastnictví prostřednictvím udělení licence, prodejem duševního vlastnictví, vlastní výroba nebo produkce</w:t>
      </w:r>
      <w:r>
        <w:rPr>
          <w:spacing w:val="-2"/>
        </w:rPr>
        <w:t xml:space="preserve"> </w:t>
      </w:r>
      <w:r>
        <w:t>apod.</w:t>
      </w:r>
    </w:p>
    <w:p w:rsidR="005A2C42" w:rsidRDefault="005A2C42">
      <w:pPr>
        <w:pStyle w:val="Zkladntext"/>
        <w:spacing w:before="4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7"/>
        </w:numPr>
        <w:tabs>
          <w:tab w:val="left" w:pos="556"/>
        </w:tabs>
        <w:spacing w:line="276" w:lineRule="auto"/>
        <w:ind w:right="332" w:firstLine="0"/>
        <w:jc w:val="both"/>
      </w:pPr>
      <w:r>
        <w:t xml:space="preserve">Komercializující Smluvní strana oznámí ostatním Smluvním stranám a doloží příslušnými podklady nejpozději do 31. 1. </w:t>
      </w:r>
      <w:proofErr w:type="gramStart"/>
      <w:r>
        <w:t>každého</w:t>
      </w:r>
      <w:proofErr w:type="gramEnd"/>
      <w:r>
        <w:t xml:space="preserve"> kalendářního roku (do doby platnosti Smlouvy) celkové tržby dosažené v souvislosti s komercializací výsledků Projektu v předcházejícím kalendářním</w:t>
      </w:r>
      <w:r>
        <w:rPr>
          <w:spacing w:val="-33"/>
        </w:rPr>
        <w:t xml:space="preserve"> </w:t>
      </w:r>
      <w:r>
        <w:t>roce.</w:t>
      </w:r>
    </w:p>
    <w:p w:rsidR="005A2C42" w:rsidRDefault="005A2C42">
      <w:pPr>
        <w:pStyle w:val="Zkladntext"/>
        <w:spacing w:before="5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7"/>
        </w:numPr>
        <w:tabs>
          <w:tab w:val="left" w:pos="556"/>
        </w:tabs>
        <w:spacing w:line="276" w:lineRule="auto"/>
        <w:ind w:right="197" w:firstLine="0"/>
      </w:pPr>
      <w:r>
        <w:t xml:space="preserve">Příslušné Smluvní strany </w:t>
      </w:r>
      <w:proofErr w:type="gramStart"/>
      <w:r>
        <w:t>na</w:t>
      </w:r>
      <w:proofErr w:type="gramEnd"/>
      <w:r>
        <w:t xml:space="preserve"> základě oznámení dle předchozího odstavce do 14. 2. </w:t>
      </w:r>
      <w:proofErr w:type="gramStart"/>
      <w:r>
        <w:t>daného</w:t>
      </w:r>
      <w:proofErr w:type="gramEnd"/>
      <w:r>
        <w:t xml:space="preserve"> kalendářního roku vystaví a doručí dané Smluvní straně fakturu s datem vyúčtování 31. 12. </w:t>
      </w:r>
      <w:proofErr w:type="gramStart"/>
      <w:r>
        <w:t>předchozího</w:t>
      </w:r>
      <w:proofErr w:type="gramEnd"/>
      <w:r>
        <w:t xml:space="preserve"> roku s datem zdanitelného plnění 31. 12. </w:t>
      </w:r>
      <w:proofErr w:type="gramStart"/>
      <w:r>
        <w:t>předchozího</w:t>
      </w:r>
      <w:proofErr w:type="gramEnd"/>
      <w:r>
        <w:t xml:space="preserve"> kalendářního roku. Na faktuře bude uveden text "Vyrovnání dle Smlouvy o využití výsledků projektu číslo TH01020905 za kalendářní rok xxxx". Tato faktura bude splatná do 25 dní ode dne jejího doručení dané Smluvní straně, a to </w:t>
      </w:r>
      <w:proofErr w:type="gramStart"/>
      <w:r>
        <w:t>na</w:t>
      </w:r>
      <w:proofErr w:type="gramEnd"/>
      <w:r>
        <w:t xml:space="preserve"> bankovní účet uvedený na faktuře. Daná Smluvní strana je oprávněna bez zaplacení vrátit fakturu, která bude mít nesprávné a/nebo chybějící údaje (dle této Smlouvy a právních předpisů). Nová lhůta splatnosti běží okamžikem doručení nově vyhotovené nebo opravené</w:t>
      </w:r>
      <w:r>
        <w:rPr>
          <w:spacing w:val="-34"/>
        </w:rPr>
        <w:t xml:space="preserve"> </w:t>
      </w:r>
      <w:r>
        <w:t>faktury.</w:t>
      </w:r>
    </w:p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A57CA2">
      <w:pPr>
        <w:pStyle w:val="Zkladntext"/>
        <w:spacing w:before="172" w:line="268" w:lineRule="exact"/>
        <w:ind w:left="570" w:right="450"/>
        <w:jc w:val="center"/>
      </w:pPr>
      <w:r>
        <w:t>Článek 4.</w:t>
      </w:r>
    </w:p>
    <w:p w:rsidR="005A2C42" w:rsidRDefault="00A57CA2">
      <w:pPr>
        <w:pStyle w:val="Zkladntext"/>
        <w:spacing w:line="268" w:lineRule="exact"/>
        <w:ind w:left="570" w:right="450"/>
        <w:jc w:val="center"/>
      </w:pPr>
      <w:r>
        <w:t>Způsob využití výsledků a doba, ve které budou výsledky využity</w:t>
      </w: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9"/>
        <w:rPr>
          <w:sz w:val="19"/>
        </w:rPr>
      </w:pPr>
    </w:p>
    <w:p w:rsidR="005A2C42" w:rsidRDefault="00A57CA2">
      <w:pPr>
        <w:pStyle w:val="Odstavecseseznamem"/>
        <w:numPr>
          <w:ilvl w:val="0"/>
          <w:numId w:val="6"/>
        </w:numPr>
        <w:tabs>
          <w:tab w:val="left" w:pos="483"/>
          <w:tab w:val="left" w:pos="4017"/>
        </w:tabs>
        <w:spacing w:line="276" w:lineRule="auto"/>
        <w:ind w:right="172" w:hanging="1"/>
      </w:pPr>
      <w:r>
        <w:t xml:space="preserve">Smluvní strany se zavazují spolupracovat a poskytnout si </w:t>
      </w:r>
      <w:proofErr w:type="gramStart"/>
      <w:r>
        <w:t>vzájemně  maximální</w:t>
      </w:r>
      <w:proofErr w:type="gramEnd"/>
      <w:r>
        <w:t xml:space="preserve"> součinnost  k tomu, aby byly Výsledky využity v souladu s Implementačním plánem, který je  součástí informačního  </w:t>
      </w:r>
      <w:r>
        <w:rPr>
          <w:spacing w:val="47"/>
        </w:rPr>
        <w:t xml:space="preserve"> </w:t>
      </w:r>
      <w:r>
        <w:t xml:space="preserve">systému </w:t>
      </w:r>
      <w:r>
        <w:rPr>
          <w:spacing w:val="46"/>
        </w:rPr>
        <w:t xml:space="preserve"> </w:t>
      </w:r>
      <w:r>
        <w:t>poskytovatele.</w:t>
      </w:r>
      <w:r>
        <w:tab/>
      </w:r>
      <w:proofErr w:type="gramStart"/>
      <w:r>
        <w:t>Příjemce  projektu</w:t>
      </w:r>
      <w:proofErr w:type="gramEnd"/>
      <w:r>
        <w:t xml:space="preserve">  je odpovědný za soulad této smlouvy a předkládaný Implementační plán</w:t>
      </w:r>
      <w:r>
        <w:rPr>
          <w:spacing w:val="-5"/>
        </w:rPr>
        <w:t xml:space="preserve"> </w:t>
      </w:r>
      <w:r>
        <w:t>poskytovateli.</w:t>
      </w:r>
    </w:p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A57CA2">
      <w:pPr>
        <w:pStyle w:val="Zkladntext"/>
        <w:spacing w:before="171"/>
        <w:ind w:left="217"/>
      </w:pPr>
      <w:r>
        <w:t>2. Výsledky‐ TH02010345‐V9, TH02010345‐V3, TH02010345‐V7 a TH02010345‐V13</w:t>
      </w:r>
    </w:p>
    <w:p w:rsidR="005A2C42" w:rsidRDefault="005A2C42">
      <w:pPr>
        <w:sectPr w:rsidR="005A2C42">
          <w:pgSz w:w="11910" w:h="16840"/>
          <w:pgMar w:top="1380" w:right="1320" w:bottom="1200" w:left="1200" w:header="0" w:footer="1003" w:gutter="0"/>
          <w:cols w:space="708"/>
        </w:sectPr>
      </w:pPr>
    </w:p>
    <w:p w:rsidR="005A2C42" w:rsidRDefault="00A57CA2">
      <w:pPr>
        <w:pStyle w:val="Odstavecseseznamem"/>
        <w:numPr>
          <w:ilvl w:val="1"/>
          <w:numId w:val="6"/>
        </w:numPr>
        <w:tabs>
          <w:tab w:val="left" w:pos="477"/>
        </w:tabs>
        <w:spacing w:before="36" w:line="276" w:lineRule="auto"/>
        <w:ind w:right="158" w:firstLine="0"/>
      </w:pPr>
      <w:r>
        <w:lastRenderedPageBreak/>
        <w:t xml:space="preserve">Způsob využití výsledku: Smluvní strany se dohodly, že výsledek bude komercionalizován Příjemcem projektu, který zná cílový trh a dlouhodobě </w:t>
      </w:r>
      <w:proofErr w:type="gramStart"/>
      <w:r>
        <w:t>na</w:t>
      </w:r>
      <w:proofErr w:type="gramEnd"/>
      <w:r>
        <w:t xml:space="preserve"> něm působí. Příjemce ponese náklady a rizika</w:t>
      </w:r>
      <w:r>
        <w:rPr>
          <w:spacing w:val="-2"/>
        </w:rPr>
        <w:t xml:space="preserve"> </w:t>
      </w:r>
      <w:r>
        <w:t>komercionalizace.</w:t>
      </w:r>
    </w:p>
    <w:p w:rsidR="005A2C42" w:rsidRDefault="005A2C42">
      <w:pPr>
        <w:pStyle w:val="Zkladntext"/>
        <w:spacing w:before="5"/>
        <w:rPr>
          <w:sz w:val="16"/>
        </w:rPr>
      </w:pPr>
    </w:p>
    <w:p w:rsidR="005A2C42" w:rsidRDefault="00A57CA2">
      <w:pPr>
        <w:pStyle w:val="Odstavecseseznamem"/>
        <w:numPr>
          <w:ilvl w:val="1"/>
          <w:numId w:val="6"/>
        </w:numPr>
        <w:tabs>
          <w:tab w:val="left" w:pos="537"/>
        </w:tabs>
        <w:ind w:left="536" w:hanging="320"/>
      </w:pPr>
      <w:r>
        <w:t>Doba využití výsledku: 8 let od nabytí účinnosti této</w:t>
      </w:r>
      <w:r>
        <w:rPr>
          <w:spacing w:val="-5"/>
        </w:rPr>
        <w:t xml:space="preserve"> </w:t>
      </w:r>
      <w:r>
        <w:t>Smlouvy</w:t>
      </w:r>
    </w:p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4"/>
        <w:rPr>
          <w:sz w:val="17"/>
        </w:rPr>
      </w:pPr>
    </w:p>
    <w:p w:rsidR="005A2C42" w:rsidRDefault="00A57CA2">
      <w:pPr>
        <w:pStyle w:val="Zkladntext"/>
        <w:spacing w:before="1"/>
        <w:ind w:left="217"/>
      </w:pPr>
      <w:r>
        <w:t>3. Výsledek‐ TH02010345‐V6</w:t>
      </w:r>
    </w:p>
    <w:p w:rsidR="005A2C42" w:rsidRDefault="005A2C42">
      <w:pPr>
        <w:pStyle w:val="Zkladntext"/>
        <w:spacing w:before="8"/>
        <w:rPr>
          <w:sz w:val="19"/>
        </w:rPr>
      </w:pPr>
    </w:p>
    <w:p w:rsidR="005A2C42" w:rsidRDefault="00A57CA2">
      <w:pPr>
        <w:pStyle w:val="Odstavecseseznamem"/>
        <w:numPr>
          <w:ilvl w:val="0"/>
          <w:numId w:val="5"/>
        </w:numPr>
        <w:tabs>
          <w:tab w:val="left" w:pos="428"/>
        </w:tabs>
        <w:spacing w:line="276" w:lineRule="auto"/>
        <w:ind w:right="221" w:firstLine="0"/>
      </w:pPr>
      <w:r>
        <w:t xml:space="preserve">Výsledek může být komercionalizován Příjemcem i Dalším účastníkem 1 vlastním zajištěním výroby a prodeje zařízení </w:t>
      </w:r>
      <w:proofErr w:type="gramStart"/>
      <w:r>
        <w:t>na</w:t>
      </w:r>
      <w:proofErr w:type="gramEnd"/>
      <w:r>
        <w:t xml:space="preserve"> trhu, nebo s realizační podporou třetích stran. S výsledkem nakládají smluvní strany společně </w:t>
      </w:r>
      <w:proofErr w:type="gramStart"/>
      <w:r>
        <w:t>a  rovnoprávně</w:t>
      </w:r>
      <w:proofErr w:type="gramEnd"/>
      <w:r>
        <w:t xml:space="preserve">.  </w:t>
      </w:r>
      <w:proofErr w:type="gramStart"/>
      <w:r>
        <w:t>Primárně  se</w:t>
      </w:r>
      <w:proofErr w:type="gramEnd"/>
      <w:r>
        <w:t xml:space="preserve">  předpokládá  využití  výsledku  jako vstupních znalostí/know how v návazných komerčních projektech, kde budou smluvní strany působit a do kterých budou vstupovat. Smluvní strany se dohodli, že v případě </w:t>
      </w:r>
      <w:proofErr w:type="gramStart"/>
      <w:r>
        <w:t>prodeje  svého</w:t>
      </w:r>
      <w:proofErr w:type="gramEnd"/>
      <w:r>
        <w:t xml:space="preserve"> podílu na výsledku třetí straně bude podíl na výsledku primárně nabídnut k odkupu druhé smluvní straně. Tento postup prodeje bude ošetřen v samostatné</w:t>
      </w:r>
      <w:r>
        <w:rPr>
          <w:spacing w:val="-7"/>
        </w:rPr>
        <w:t xml:space="preserve"> </w:t>
      </w:r>
      <w:r>
        <w:t>smlouvě</w:t>
      </w:r>
    </w:p>
    <w:p w:rsidR="005A2C42" w:rsidRDefault="005A2C42">
      <w:pPr>
        <w:pStyle w:val="Zkladntext"/>
        <w:spacing w:before="4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5"/>
        </w:numPr>
        <w:tabs>
          <w:tab w:val="left" w:pos="537"/>
        </w:tabs>
        <w:ind w:left="536" w:hanging="320"/>
      </w:pPr>
      <w:r>
        <w:t>Doba využití výsledku: 8 let od nabytí účinnosti této</w:t>
      </w:r>
      <w:r>
        <w:rPr>
          <w:spacing w:val="-5"/>
        </w:rPr>
        <w:t xml:space="preserve"> </w:t>
      </w:r>
      <w:r>
        <w:t>Smlouvy</w:t>
      </w:r>
    </w:p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5"/>
        <w:rPr>
          <w:sz w:val="17"/>
        </w:rPr>
      </w:pPr>
    </w:p>
    <w:p w:rsidR="005A2C42" w:rsidRDefault="00A57CA2">
      <w:pPr>
        <w:pStyle w:val="Zkladntext"/>
        <w:ind w:left="570" w:right="450"/>
        <w:jc w:val="center"/>
      </w:pPr>
      <w:r>
        <w:t>Článek 5.</w:t>
      </w:r>
    </w:p>
    <w:p w:rsidR="005A2C42" w:rsidRDefault="00A57CA2">
      <w:pPr>
        <w:pStyle w:val="Zkladntext"/>
        <w:ind w:left="570" w:right="450"/>
        <w:jc w:val="center"/>
      </w:pPr>
      <w:r>
        <w:t>Rozsah stupně důvěrnosti údajů a způsob nakládání s nimi podle zvláštních právních předpisů</w:t>
      </w: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8"/>
        <w:rPr>
          <w:sz w:val="19"/>
        </w:rPr>
      </w:pPr>
    </w:p>
    <w:p w:rsidR="005A2C42" w:rsidRDefault="00A57CA2">
      <w:pPr>
        <w:pStyle w:val="Odstavecseseznamem"/>
        <w:numPr>
          <w:ilvl w:val="0"/>
          <w:numId w:val="4"/>
        </w:numPr>
        <w:tabs>
          <w:tab w:val="left" w:pos="495"/>
        </w:tabs>
        <w:spacing w:before="1" w:line="276" w:lineRule="auto"/>
        <w:ind w:right="124" w:hanging="1"/>
      </w:pPr>
      <w:r>
        <w:t xml:space="preserve">Údaje Projektu v Rejstříku informací o výsledcích podléhají </w:t>
      </w:r>
      <w:proofErr w:type="gramStart"/>
      <w:r>
        <w:t>stupni  důvěrnosti</w:t>
      </w:r>
      <w:proofErr w:type="gramEnd"/>
      <w:r>
        <w:t xml:space="preserve">  C, tj. předmět řešení projektu podléhá obchodnímu tajemství, ale název projektu, anotace projektu  a u ukončeného nebo zastaveného projektu zhodnocení výsledku řešení projektu dodané Centrální evidence výzkumu, experimentálního vývoje a inovací jsou upraveny tak, aby byly</w:t>
      </w:r>
      <w:r>
        <w:rPr>
          <w:spacing w:val="-31"/>
        </w:rPr>
        <w:t xml:space="preserve"> </w:t>
      </w:r>
      <w:r>
        <w:t>zveřejnitelné.</w:t>
      </w:r>
    </w:p>
    <w:p w:rsidR="005A2C42" w:rsidRDefault="005A2C42">
      <w:pPr>
        <w:pStyle w:val="Zkladntext"/>
        <w:spacing w:before="4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4"/>
        </w:numPr>
        <w:tabs>
          <w:tab w:val="left" w:pos="495"/>
        </w:tabs>
        <w:spacing w:line="276" w:lineRule="auto"/>
        <w:ind w:right="156" w:firstLine="0"/>
      </w:pPr>
      <w:r>
        <w:t xml:space="preserve">Nedohodnou‐li se Smluvní strany v konkrétním případě jinak, jsou veškeré informace, které získá jedna Smluvní strana od druhé Smluvní strany a které  nejsou  obecně známé, považovány za důvěrné (dále jen "důvěrné informace"). Smluvní strany, která je získala, je povinna důvěrné informace uchovat v tajnosti a zajistit dostatečnou ochranu před přístupem nepovolaných osob k nim a nesmí důvěrné informace sdělit žádné  další  osobě,  s výjimkou  svých  zaměstnanců,  kteří jsou pověřeni činnostmi na Projektu. Jiným osobám, které jsou pověřeny činnostmi </w:t>
      </w:r>
      <w:proofErr w:type="gramStart"/>
      <w:r>
        <w:t>na</w:t>
      </w:r>
      <w:proofErr w:type="gramEnd"/>
      <w:r>
        <w:t xml:space="preserve"> Projektu, může Smluvní strana sdělit důvěrné informace, jen pokud s nimi uzavřela dohodu o zachování mlčenlivosti v obdobném rozsahu.</w:t>
      </w:r>
    </w:p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A57CA2">
      <w:pPr>
        <w:pStyle w:val="Zkladntext"/>
        <w:spacing w:before="171"/>
        <w:ind w:left="570" w:right="450"/>
        <w:jc w:val="center"/>
      </w:pPr>
      <w:r>
        <w:t>Článek 6.</w:t>
      </w:r>
    </w:p>
    <w:p w:rsidR="005A2C42" w:rsidRDefault="00A57CA2">
      <w:pPr>
        <w:pStyle w:val="Zkladntext"/>
        <w:ind w:left="570" w:right="449"/>
        <w:jc w:val="center"/>
      </w:pPr>
      <w:r>
        <w:t>Sankce za porušení smlouvy</w:t>
      </w:r>
    </w:p>
    <w:p w:rsidR="005A2C42" w:rsidRDefault="005A2C42">
      <w:pPr>
        <w:pStyle w:val="Zkladntext"/>
        <w:spacing w:before="1"/>
      </w:pPr>
    </w:p>
    <w:p w:rsidR="005A2C42" w:rsidRDefault="00A57CA2">
      <w:pPr>
        <w:pStyle w:val="Odstavecseseznamem"/>
        <w:numPr>
          <w:ilvl w:val="0"/>
          <w:numId w:val="3"/>
        </w:numPr>
        <w:tabs>
          <w:tab w:val="left" w:pos="495"/>
        </w:tabs>
        <w:spacing w:line="276" w:lineRule="auto"/>
        <w:ind w:right="507" w:firstLine="0"/>
        <w:jc w:val="both"/>
      </w:pPr>
      <w:r>
        <w:t xml:space="preserve">Smluvní strana, které prokazatelně poruší povinnosti vyplývající z této Smlouvy, uhradí dotčené smluvní straně smluvní pokutu ve výši 100 tis. Kč (slovy: sto tisíc korun českých), za každé jednotlivé porušení, </w:t>
      </w:r>
      <w:proofErr w:type="gramStart"/>
      <w:r>
        <w:t>a to</w:t>
      </w:r>
      <w:proofErr w:type="gramEnd"/>
      <w:r>
        <w:t xml:space="preserve"> i opakovaně. Smluvní pokuta není předmětem</w:t>
      </w:r>
      <w:r>
        <w:rPr>
          <w:spacing w:val="-9"/>
        </w:rPr>
        <w:t xml:space="preserve"> </w:t>
      </w:r>
      <w:r>
        <w:t>DPH.</w:t>
      </w:r>
    </w:p>
    <w:p w:rsidR="005A2C42" w:rsidRDefault="005A2C42">
      <w:pPr>
        <w:spacing w:line="276" w:lineRule="auto"/>
        <w:jc w:val="both"/>
        <w:sectPr w:rsidR="005A2C42">
          <w:pgSz w:w="11910" w:h="16840"/>
          <w:pgMar w:top="1380" w:right="1320" w:bottom="1200" w:left="1200" w:header="0" w:footer="1003" w:gutter="0"/>
          <w:cols w:space="708"/>
        </w:sectPr>
      </w:pPr>
    </w:p>
    <w:p w:rsidR="005A2C42" w:rsidRDefault="00A57CA2">
      <w:pPr>
        <w:pStyle w:val="Odstavecseseznamem"/>
        <w:numPr>
          <w:ilvl w:val="0"/>
          <w:numId w:val="3"/>
        </w:numPr>
        <w:tabs>
          <w:tab w:val="left" w:pos="495"/>
        </w:tabs>
        <w:spacing w:before="36" w:line="276" w:lineRule="auto"/>
        <w:ind w:right="152" w:firstLine="0"/>
      </w:pPr>
      <w:r>
        <w:lastRenderedPageBreak/>
        <w:t xml:space="preserve">Smluvní strany se dohodly, že závazek zaplatit smluvní </w:t>
      </w:r>
      <w:proofErr w:type="gramStart"/>
      <w:r>
        <w:t>pokutu  nevylučuje</w:t>
      </w:r>
      <w:proofErr w:type="gramEnd"/>
      <w:r>
        <w:t xml:space="preserve"> právo na náhradu škody v plné výši. I v případě, kdy bude smluvní pokuta snížena soudem, zůstává </w:t>
      </w:r>
      <w:proofErr w:type="gramStart"/>
      <w:r>
        <w:t>zachováno  právo</w:t>
      </w:r>
      <w:proofErr w:type="gramEnd"/>
      <w:r>
        <w:t xml:space="preserve"> na náhradu škody v plné výši.  </w:t>
      </w:r>
      <w:proofErr w:type="gramStart"/>
      <w:r>
        <w:t>Pokud  jakýkoliv</w:t>
      </w:r>
      <w:proofErr w:type="gramEnd"/>
      <w:r>
        <w:t xml:space="preserve">  právní předpis  stanoví  pokutu (penále)  pro porušení smluvní povinnosti (kdykoliv během trvání této smlouvy), pak nebude takovým nárokem nijak dotčeno právo na náhradu škody v plné</w:t>
      </w:r>
      <w:r>
        <w:rPr>
          <w:spacing w:val="-8"/>
        </w:rPr>
        <w:t xml:space="preserve"> </w:t>
      </w:r>
      <w:r>
        <w:t>výši.</w:t>
      </w: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4"/>
        <w:rPr>
          <w:sz w:val="16"/>
        </w:rPr>
      </w:pPr>
    </w:p>
    <w:p w:rsidR="005A2C42" w:rsidRDefault="00A57CA2">
      <w:pPr>
        <w:pStyle w:val="Zkladntext"/>
        <w:spacing w:before="1"/>
        <w:ind w:left="570" w:right="450"/>
        <w:jc w:val="center"/>
      </w:pPr>
      <w:r>
        <w:t>Článek 7.</w:t>
      </w:r>
    </w:p>
    <w:p w:rsidR="005A2C42" w:rsidRDefault="00A57CA2">
      <w:pPr>
        <w:pStyle w:val="Zkladntext"/>
        <w:ind w:left="570" w:right="450"/>
        <w:jc w:val="center"/>
      </w:pPr>
      <w:r>
        <w:t xml:space="preserve">Datum nabytí </w:t>
      </w:r>
      <w:proofErr w:type="gramStart"/>
      <w:r>
        <w:t>a</w:t>
      </w:r>
      <w:proofErr w:type="gramEnd"/>
      <w:r>
        <w:t xml:space="preserve"> ukončení účinnosti smlouvy</w:t>
      </w:r>
    </w:p>
    <w:p w:rsidR="005A2C42" w:rsidRDefault="005A2C42">
      <w:pPr>
        <w:pStyle w:val="Zkladntext"/>
      </w:pPr>
    </w:p>
    <w:p w:rsidR="005A2C42" w:rsidRDefault="00A57CA2">
      <w:pPr>
        <w:pStyle w:val="Odstavecseseznamem"/>
        <w:numPr>
          <w:ilvl w:val="0"/>
          <w:numId w:val="2"/>
        </w:numPr>
        <w:tabs>
          <w:tab w:val="left" w:pos="544"/>
        </w:tabs>
        <w:spacing w:line="268" w:lineRule="exact"/>
      </w:pPr>
      <w:r>
        <w:t>Smluvní strany berou na vědomí, že Příjemce a Další účastník 1 jsou</w:t>
      </w:r>
      <w:r>
        <w:rPr>
          <w:spacing w:val="34"/>
        </w:rPr>
        <w:t xml:space="preserve"> </w:t>
      </w:r>
      <w:r>
        <w:t>povinným</w:t>
      </w:r>
    </w:p>
    <w:p w:rsidR="005A2C42" w:rsidRDefault="00A57CA2">
      <w:pPr>
        <w:pStyle w:val="Zkladntext"/>
        <w:spacing w:line="276" w:lineRule="auto"/>
        <w:ind w:left="217" w:right="181"/>
      </w:pPr>
      <w:proofErr w:type="gramStart"/>
      <w:r>
        <w:t>subjektem</w:t>
      </w:r>
      <w:proofErr w:type="gramEnd"/>
      <w:r>
        <w:t xml:space="preserve"> ohledně poskytování informací ve smyslu zákona č. 106/1999 Sb., o svobodném přístupu k informacím a pro tyto účely nepovažují nic z obsahu této smlouvy za vyloučené z</w:t>
      </w:r>
      <w:r>
        <w:rPr>
          <w:spacing w:val="-33"/>
        </w:rPr>
        <w:t xml:space="preserve"> </w:t>
      </w:r>
      <w:r>
        <w:t>poskytnutí.</w:t>
      </w:r>
    </w:p>
    <w:p w:rsidR="005A2C42" w:rsidRDefault="005A2C42">
      <w:pPr>
        <w:pStyle w:val="Zkladntext"/>
        <w:spacing w:before="5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2"/>
        </w:numPr>
        <w:tabs>
          <w:tab w:val="left" w:pos="495"/>
        </w:tabs>
        <w:spacing w:line="276" w:lineRule="auto"/>
        <w:ind w:left="217" w:right="562" w:firstLine="0"/>
      </w:pPr>
      <w:r>
        <w:t xml:space="preserve">Tato smlouva nabývá platnosti dnem podpisu oběma smluvními stranami </w:t>
      </w:r>
      <w:proofErr w:type="gramStart"/>
      <w:r>
        <w:t>a</w:t>
      </w:r>
      <w:proofErr w:type="gramEnd"/>
      <w:r>
        <w:t xml:space="preserve"> účinnosti dnem jejího uveřejnění v registru smluv v souladu s odst. 1tohoto článku</w:t>
      </w:r>
      <w:r>
        <w:rPr>
          <w:spacing w:val="-11"/>
        </w:rPr>
        <w:t xml:space="preserve"> </w:t>
      </w:r>
      <w:r>
        <w:t>smlouvy.</w:t>
      </w:r>
    </w:p>
    <w:p w:rsidR="005A2C42" w:rsidRDefault="005A2C42">
      <w:pPr>
        <w:pStyle w:val="Zkladntext"/>
        <w:spacing w:before="4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2"/>
        </w:numPr>
        <w:tabs>
          <w:tab w:val="left" w:pos="495"/>
        </w:tabs>
        <w:ind w:left="494" w:hanging="278"/>
      </w:pPr>
      <w:r>
        <w:t xml:space="preserve">Smlouva se uzavírá </w:t>
      </w:r>
      <w:proofErr w:type="gramStart"/>
      <w:r>
        <w:t>na</w:t>
      </w:r>
      <w:proofErr w:type="gramEnd"/>
      <w:r>
        <w:t xml:space="preserve"> dobu 8 let od nabytí její</w:t>
      </w:r>
      <w:r>
        <w:rPr>
          <w:spacing w:val="-3"/>
        </w:rPr>
        <w:t xml:space="preserve"> </w:t>
      </w:r>
      <w:r>
        <w:t>účinnosti.</w:t>
      </w:r>
    </w:p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5A2C42">
      <w:pPr>
        <w:pStyle w:val="Zkladntext"/>
        <w:spacing w:before="5"/>
        <w:rPr>
          <w:sz w:val="17"/>
        </w:rPr>
      </w:pPr>
    </w:p>
    <w:p w:rsidR="005A2C42" w:rsidRDefault="00A57CA2">
      <w:pPr>
        <w:pStyle w:val="Zkladntext"/>
        <w:ind w:left="570" w:right="450"/>
        <w:jc w:val="center"/>
      </w:pPr>
      <w:r>
        <w:t>Článek 8.</w:t>
      </w:r>
    </w:p>
    <w:p w:rsidR="005A2C42" w:rsidRDefault="00A57CA2">
      <w:pPr>
        <w:pStyle w:val="Zkladntext"/>
        <w:ind w:left="569" w:right="450"/>
        <w:jc w:val="center"/>
      </w:pPr>
      <w:r>
        <w:t>Závěrečná ustanovení</w:t>
      </w:r>
    </w:p>
    <w:p w:rsidR="005A2C42" w:rsidRDefault="005A2C42">
      <w:pPr>
        <w:pStyle w:val="Zkladntext"/>
      </w:pPr>
    </w:p>
    <w:p w:rsidR="005A2C42" w:rsidRDefault="00A57CA2">
      <w:pPr>
        <w:pStyle w:val="Odstavecseseznamem"/>
        <w:numPr>
          <w:ilvl w:val="0"/>
          <w:numId w:val="1"/>
        </w:numPr>
        <w:tabs>
          <w:tab w:val="left" w:pos="495"/>
        </w:tabs>
        <w:spacing w:before="1" w:line="276" w:lineRule="auto"/>
        <w:ind w:right="404" w:hanging="1"/>
      </w:pPr>
      <w:r>
        <w:t>Tuto Smlouvu je možné měnit pouze písemnou dohodou ve formě číslovaných dodatků, podepsaných oprávněnými zástupci všech Smluvních stran.</w:t>
      </w:r>
    </w:p>
    <w:p w:rsidR="005A2C42" w:rsidRDefault="005A2C42">
      <w:pPr>
        <w:pStyle w:val="Zkladntext"/>
        <w:spacing w:before="4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1"/>
        </w:numPr>
        <w:tabs>
          <w:tab w:val="left" w:pos="494"/>
        </w:tabs>
        <w:spacing w:line="276" w:lineRule="auto"/>
        <w:ind w:right="188" w:firstLine="0"/>
      </w:pPr>
      <w:r>
        <w:t xml:space="preserve">Příjemce je povinen písemně upozornit Poskytovatele na </w:t>
      </w:r>
      <w:proofErr w:type="gramStart"/>
      <w:r>
        <w:t>každou  změnu</w:t>
      </w:r>
      <w:proofErr w:type="gramEnd"/>
      <w:r>
        <w:t xml:space="preserve">  skutečností uvedených v této</w:t>
      </w:r>
      <w:r>
        <w:rPr>
          <w:spacing w:val="-1"/>
        </w:rPr>
        <w:t xml:space="preserve"> </w:t>
      </w:r>
      <w:r>
        <w:t>Smlouvě.</w:t>
      </w:r>
    </w:p>
    <w:p w:rsidR="005A2C42" w:rsidRDefault="005A2C42">
      <w:pPr>
        <w:pStyle w:val="Zkladntext"/>
        <w:spacing w:before="4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1"/>
        </w:numPr>
        <w:tabs>
          <w:tab w:val="left" w:pos="495"/>
        </w:tabs>
        <w:spacing w:line="276" w:lineRule="auto"/>
        <w:ind w:right="631" w:firstLine="0"/>
      </w:pPr>
      <w:r>
        <w:t>Tato Smlouva je vyhotovena v 3 stejnopisech ‐ Příjemce a Další účastník obdrží po jednom vyhotovení a jedno vyhotovení obdrží</w:t>
      </w:r>
      <w:r>
        <w:rPr>
          <w:spacing w:val="48"/>
        </w:rPr>
        <w:t xml:space="preserve"> </w:t>
      </w:r>
      <w:r>
        <w:t>Poskytovatel.</w:t>
      </w:r>
    </w:p>
    <w:p w:rsidR="005A2C42" w:rsidRDefault="005A2C42">
      <w:pPr>
        <w:pStyle w:val="Zkladntext"/>
        <w:spacing w:before="5"/>
        <w:rPr>
          <w:sz w:val="16"/>
        </w:rPr>
      </w:pPr>
    </w:p>
    <w:p w:rsidR="005A2C42" w:rsidRDefault="00A57CA2">
      <w:pPr>
        <w:pStyle w:val="Odstavecseseznamem"/>
        <w:numPr>
          <w:ilvl w:val="0"/>
          <w:numId w:val="1"/>
        </w:numPr>
        <w:tabs>
          <w:tab w:val="left" w:pos="544"/>
        </w:tabs>
        <w:spacing w:line="276" w:lineRule="auto"/>
        <w:ind w:right="125" w:hanging="1"/>
      </w:pPr>
      <w:r>
        <w:t xml:space="preserve">Smluvní strany potvrzují, že tato Smlouva byla uzavřena svobodně </w:t>
      </w:r>
      <w:proofErr w:type="gramStart"/>
      <w:r>
        <w:t>na</w:t>
      </w:r>
      <w:proofErr w:type="gramEnd"/>
      <w:r>
        <w:t xml:space="preserve"> základě jejich projevené vůle. Smluvní strany souhlasí </w:t>
      </w:r>
      <w:proofErr w:type="gramStart"/>
      <w:r>
        <w:t>s  obsahem</w:t>
      </w:r>
      <w:proofErr w:type="gramEnd"/>
      <w:r>
        <w:t xml:space="preserve">  této  Smlouvy  a svým podpisem potvrzují,  že  tato Smlouva nebyla ujednána v tísni ani za jinak nevýhodných</w:t>
      </w:r>
      <w:r>
        <w:rPr>
          <w:spacing w:val="-10"/>
        </w:rPr>
        <w:t xml:space="preserve"> </w:t>
      </w:r>
      <w:r>
        <w:t>podmínek.</w:t>
      </w:r>
    </w:p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A57CA2">
      <w:pPr>
        <w:pStyle w:val="Zkladntext"/>
        <w:tabs>
          <w:tab w:val="left" w:pos="5173"/>
        </w:tabs>
        <w:spacing w:before="172"/>
        <w:ind w:left="217"/>
      </w:pPr>
      <w:r>
        <w:t>Za</w:t>
      </w:r>
      <w:r>
        <w:rPr>
          <w:spacing w:val="-3"/>
        </w:rPr>
        <w:t xml:space="preserve"> </w:t>
      </w:r>
      <w:r>
        <w:t>Příjemce</w:t>
      </w:r>
      <w:r>
        <w:tab/>
        <w:t>Za Další</w:t>
      </w:r>
      <w:r>
        <w:rPr>
          <w:spacing w:val="-2"/>
        </w:rPr>
        <w:t xml:space="preserve"> </w:t>
      </w:r>
      <w:r>
        <w:t>účastníka</w:t>
      </w:r>
    </w:p>
    <w:p w:rsidR="005A2C42" w:rsidRDefault="005A2C42">
      <w:pPr>
        <w:pStyle w:val="Zkladntext"/>
        <w:spacing w:before="9"/>
        <w:rPr>
          <w:sz w:val="19"/>
        </w:rPr>
      </w:pPr>
    </w:p>
    <w:p w:rsidR="005A2C42" w:rsidRDefault="00A57CA2">
      <w:pPr>
        <w:pStyle w:val="Zkladntext"/>
        <w:tabs>
          <w:tab w:val="left" w:pos="5132"/>
        </w:tabs>
        <w:ind w:left="217"/>
      </w:pPr>
      <w:r>
        <w:t>V Hradci Králové</w:t>
      </w:r>
      <w:r>
        <w:rPr>
          <w:spacing w:val="-6"/>
        </w:rPr>
        <w:t xml:space="preserve"> </w:t>
      </w:r>
      <w:r>
        <w:t>dne:</w:t>
      </w:r>
      <w:r>
        <w:rPr>
          <w:spacing w:val="-2"/>
        </w:rPr>
        <w:t xml:space="preserve"> </w:t>
      </w:r>
      <w:r>
        <w:t>18.12.2020</w:t>
      </w:r>
      <w:r>
        <w:tab/>
        <w:t>V Praze dne:</w:t>
      </w:r>
      <w:r>
        <w:rPr>
          <w:spacing w:val="-6"/>
        </w:rPr>
        <w:t xml:space="preserve"> </w:t>
      </w:r>
      <w:r w:rsidR="00D7630D">
        <w:t>5. 1. 2021</w:t>
      </w:r>
    </w:p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5A2C42">
      <w:pPr>
        <w:pStyle w:val="Zkladntext"/>
      </w:pPr>
    </w:p>
    <w:p w:rsidR="005A2C42" w:rsidRDefault="003A7051">
      <w:pPr>
        <w:pStyle w:val="Zkladntext"/>
        <w:tabs>
          <w:tab w:val="left" w:pos="5173"/>
        </w:tabs>
        <w:spacing w:before="183"/>
        <w:ind w:left="217"/>
      </w:pPr>
      <w:r>
        <w:t>xxxxxxxxxx</w:t>
      </w:r>
      <w:r w:rsidR="00A57CA2">
        <w:tab/>
      </w:r>
      <w:r>
        <w:t>xxxxxxxxxxxxxxxxxxxx</w:t>
      </w:r>
      <w:bookmarkStart w:id="0" w:name="_GoBack"/>
      <w:bookmarkEnd w:id="0"/>
    </w:p>
    <w:sectPr w:rsidR="005A2C42">
      <w:pgSz w:w="11910" w:h="16840"/>
      <w:pgMar w:top="1380" w:right="1320" w:bottom="1200" w:left="12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9E" w:rsidRDefault="00BD179E">
      <w:r>
        <w:separator/>
      </w:r>
    </w:p>
  </w:endnote>
  <w:endnote w:type="continuationSeparator" w:id="0">
    <w:p w:rsidR="00BD179E" w:rsidRDefault="00BD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42" w:rsidRDefault="00D7630D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9916795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C42" w:rsidRDefault="00A57CA2">
                          <w:pPr>
                            <w:pStyle w:val="Zkladntext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7051">
                            <w:rPr>
                              <w:noProof/>
                              <w:w w:val="99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80.8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orqwIAAKg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" filled="f" stroked="f">
              <v:textbox inset="0,0,0,0">
                <w:txbxContent>
                  <w:p w:rsidR="005A2C42" w:rsidRDefault="00A57CA2">
                    <w:pPr>
                      <w:pStyle w:val="Zkladntext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7051">
                      <w:rPr>
                        <w:noProof/>
                        <w:w w:val="99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9E" w:rsidRDefault="00BD179E">
      <w:r>
        <w:separator/>
      </w:r>
    </w:p>
  </w:footnote>
  <w:footnote w:type="continuationSeparator" w:id="0">
    <w:p w:rsidR="00BD179E" w:rsidRDefault="00BD1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252"/>
    <w:multiLevelType w:val="hybridMultilevel"/>
    <w:tmpl w:val="17CC5D8A"/>
    <w:lvl w:ilvl="0" w:tplc="F9AE13A0">
      <w:start w:val="1"/>
      <w:numFmt w:val="decimal"/>
      <w:lvlText w:val="%1)"/>
      <w:lvlJc w:val="left"/>
      <w:pPr>
        <w:ind w:left="217" w:hanging="278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607292DC">
      <w:numFmt w:val="bullet"/>
      <w:lvlText w:val="•"/>
      <w:lvlJc w:val="left"/>
      <w:pPr>
        <w:ind w:left="1136" w:hanging="278"/>
      </w:pPr>
      <w:rPr>
        <w:rFonts w:hint="default"/>
      </w:rPr>
    </w:lvl>
    <w:lvl w:ilvl="2" w:tplc="8580F15A">
      <w:numFmt w:val="bullet"/>
      <w:lvlText w:val="•"/>
      <w:lvlJc w:val="left"/>
      <w:pPr>
        <w:ind w:left="2052" w:hanging="278"/>
      </w:pPr>
      <w:rPr>
        <w:rFonts w:hint="default"/>
      </w:rPr>
    </w:lvl>
    <w:lvl w:ilvl="3" w:tplc="921E3010">
      <w:numFmt w:val="bullet"/>
      <w:lvlText w:val="•"/>
      <w:lvlJc w:val="left"/>
      <w:pPr>
        <w:ind w:left="2969" w:hanging="278"/>
      </w:pPr>
      <w:rPr>
        <w:rFonts w:hint="default"/>
      </w:rPr>
    </w:lvl>
    <w:lvl w:ilvl="4" w:tplc="32D0CF70">
      <w:numFmt w:val="bullet"/>
      <w:lvlText w:val="•"/>
      <w:lvlJc w:val="left"/>
      <w:pPr>
        <w:ind w:left="3885" w:hanging="278"/>
      </w:pPr>
      <w:rPr>
        <w:rFonts w:hint="default"/>
      </w:rPr>
    </w:lvl>
    <w:lvl w:ilvl="5" w:tplc="B6B25632">
      <w:numFmt w:val="bullet"/>
      <w:lvlText w:val="•"/>
      <w:lvlJc w:val="left"/>
      <w:pPr>
        <w:ind w:left="4802" w:hanging="278"/>
      </w:pPr>
      <w:rPr>
        <w:rFonts w:hint="default"/>
      </w:rPr>
    </w:lvl>
    <w:lvl w:ilvl="6" w:tplc="4D123310">
      <w:numFmt w:val="bullet"/>
      <w:lvlText w:val="•"/>
      <w:lvlJc w:val="left"/>
      <w:pPr>
        <w:ind w:left="5718" w:hanging="278"/>
      </w:pPr>
      <w:rPr>
        <w:rFonts w:hint="default"/>
      </w:rPr>
    </w:lvl>
    <w:lvl w:ilvl="7" w:tplc="42923D72">
      <w:numFmt w:val="bullet"/>
      <w:lvlText w:val="•"/>
      <w:lvlJc w:val="left"/>
      <w:pPr>
        <w:ind w:left="6635" w:hanging="278"/>
      </w:pPr>
      <w:rPr>
        <w:rFonts w:hint="default"/>
      </w:rPr>
    </w:lvl>
    <w:lvl w:ilvl="8" w:tplc="9B7ECFB4">
      <w:numFmt w:val="bullet"/>
      <w:lvlText w:val="•"/>
      <w:lvlJc w:val="left"/>
      <w:pPr>
        <w:ind w:left="7551" w:hanging="278"/>
      </w:pPr>
      <w:rPr>
        <w:rFonts w:hint="default"/>
      </w:rPr>
    </w:lvl>
  </w:abstractNum>
  <w:abstractNum w:abstractNumId="1" w15:restartNumberingAfterBreak="0">
    <w:nsid w:val="0A423082"/>
    <w:multiLevelType w:val="hybridMultilevel"/>
    <w:tmpl w:val="5FACC29A"/>
    <w:lvl w:ilvl="0" w:tplc="19AA192C">
      <w:start w:val="1"/>
      <w:numFmt w:val="decimal"/>
      <w:lvlText w:val="%1."/>
      <w:lvlJc w:val="left"/>
      <w:pPr>
        <w:ind w:left="216" w:hanging="316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EF3EABAE">
      <w:numFmt w:val="bullet"/>
      <w:lvlText w:val="•"/>
      <w:lvlJc w:val="left"/>
      <w:pPr>
        <w:ind w:left="1136" w:hanging="316"/>
      </w:pPr>
      <w:rPr>
        <w:rFonts w:hint="default"/>
      </w:rPr>
    </w:lvl>
    <w:lvl w:ilvl="2" w:tplc="D08293DE">
      <w:numFmt w:val="bullet"/>
      <w:lvlText w:val="•"/>
      <w:lvlJc w:val="left"/>
      <w:pPr>
        <w:ind w:left="2052" w:hanging="316"/>
      </w:pPr>
      <w:rPr>
        <w:rFonts w:hint="default"/>
      </w:rPr>
    </w:lvl>
    <w:lvl w:ilvl="3" w:tplc="3A789832">
      <w:numFmt w:val="bullet"/>
      <w:lvlText w:val="•"/>
      <w:lvlJc w:val="left"/>
      <w:pPr>
        <w:ind w:left="2969" w:hanging="316"/>
      </w:pPr>
      <w:rPr>
        <w:rFonts w:hint="default"/>
      </w:rPr>
    </w:lvl>
    <w:lvl w:ilvl="4" w:tplc="3D846404">
      <w:numFmt w:val="bullet"/>
      <w:lvlText w:val="•"/>
      <w:lvlJc w:val="left"/>
      <w:pPr>
        <w:ind w:left="3885" w:hanging="316"/>
      </w:pPr>
      <w:rPr>
        <w:rFonts w:hint="default"/>
      </w:rPr>
    </w:lvl>
    <w:lvl w:ilvl="5" w:tplc="8E32B576">
      <w:numFmt w:val="bullet"/>
      <w:lvlText w:val="•"/>
      <w:lvlJc w:val="left"/>
      <w:pPr>
        <w:ind w:left="4802" w:hanging="316"/>
      </w:pPr>
      <w:rPr>
        <w:rFonts w:hint="default"/>
      </w:rPr>
    </w:lvl>
    <w:lvl w:ilvl="6" w:tplc="21E4765A">
      <w:numFmt w:val="bullet"/>
      <w:lvlText w:val="•"/>
      <w:lvlJc w:val="left"/>
      <w:pPr>
        <w:ind w:left="5718" w:hanging="316"/>
      </w:pPr>
      <w:rPr>
        <w:rFonts w:hint="default"/>
      </w:rPr>
    </w:lvl>
    <w:lvl w:ilvl="7" w:tplc="F67EE814">
      <w:numFmt w:val="bullet"/>
      <w:lvlText w:val="•"/>
      <w:lvlJc w:val="left"/>
      <w:pPr>
        <w:ind w:left="6635" w:hanging="316"/>
      </w:pPr>
      <w:rPr>
        <w:rFonts w:hint="default"/>
      </w:rPr>
    </w:lvl>
    <w:lvl w:ilvl="8" w:tplc="F168E144">
      <w:numFmt w:val="bullet"/>
      <w:lvlText w:val="•"/>
      <w:lvlJc w:val="left"/>
      <w:pPr>
        <w:ind w:left="7551" w:hanging="316"/>
      </w:pPr>
      <w:rPr>
        <w:rFonts w:hint="default"/>
      </w:rPr>
    </w:lvl>
  </w:abstractNum>
  <w:abstractNum w:abstractNumId="2" w15:restartNumberingAfterBreak="0">
    <w:nsid w:val="2B2F77BF"/>
    <w:multiLevelType w:val="hybridMultilevel"/>
    <w:tmpl w:val="402E82BE"/>
    <w:lvl w:ilvl="0" w:tplc="44FA8616">
      <w:start w:val="1"/>
      <w:numFmt w:val="decimal"/>
      <w:lvlText w:val="%1)"/>
      <w:lvlJc w:val="left"/>
      <w:pPr>
        <w:ind w:left="217" w:hanging="327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9990A6CC">
      <w:numFmt w:val="bullet"/>
      <w:lvlText w:val="•"/>
      <w:lvlJc w:val="left"/>
      <w:pPr>
        <w:ind w:left="1136" w:hanging="327"/>
      </w:pPr>
      <w:rPr>
        <w:rFonts w:hint="default"/>
      </w:rPr>
    </w:lvl>
    <w:lvl w:ilvl="2" w:tplc="5EBA66D0">
      <w:numFmt w:val="bullet"/>
      <w:lvlText w:val="•"/>
      <w:lvlJc w:val="left"/>
      <w:pPr>
        <w:ind w:left="2052" w:hanging="327"/>
      </w:pPr>
      <w:rPr>
        <w:rFonts w:hint="default"/>
      </w:rPr>
    </w:lvl>
    <w:lvl w:ilvl="3" w:tplc="9C10B4B0">
      <w:numFmt w:val="bullet"/>
      <w:lvlText w:val="•"/>
      <w:lvlJc w:val="left"/>
      <w:pPr>
        <w:ind w:left="2969" w:hanging="327"/>
      </w:pPr>
      <w:rPr>
        <w:rFonts w:hint="default"/>
      </w:rPr>
    </w:lvl>
    <w:lvl w:ilvl="4" w:tplc="3078E354">
      <w:numFmt w:val="bullet"/>
      <w:lvlText w:val="•"/>
      <w:lvlJc w:val="left"/>
      <w:pPr>
        <w:ind w:left="3885" w:hanging="327"/>
      </w:pPr>
      <w:rPr>
        <w:rFonts w:hint="default"/>
      </w:rPr>
    </w:lvl>
    <w:lvl w:ilvl="5" w:tplc="A3A81614">
      <w:numFmt w:val="bullet"/>
      <w:lvlText w:val="•"/>
      <w:lvlJc w:val="left"/>
      <w:pPr>
        <w:ind w:left="4802" w:hanging="327"/>
      </w:pPr>
      <w:rPr>
        <w:rFonts w:hint="default"/>
      </w:rPr>
    </w:lvl>
    <w:lvl w:ilvl="6" w:tplc="83165E6E">
      <w:numFmt w:val="bullet"/>
      <w:lvlText w:val="•"/>
      <w:lvlJc w:val="left"/>
      <w:pPr>
        <w:ind w:left="5718" w:hanging="327"/>
      </w:pPr>
      <w:rPr>
        <w:rFonts w:hint="default"/>
      </w:rPr>
    </w:lvl>
    <w:lvl w:ilvl="7" w:tplc="07C67340">
      <w:numFmt w:val="bullet"/>
      <w:lvlText w:val="•"/>
      <w:lvlJc w:val="left"/>
      <w:pPr>
        <w:ind w:left="6635" w:hanging="327"/>
      </w:pPr>
      <w:rPr>
        <w:rFonts w:hint="default"/>
      </w:rPr>
    </w:lvl>
    <w:lvl w:ilvl="8" w:tplc="EFFC2594">
      <w:numFmt w:val="bullet"/>
      <w:lvlText w:val="•"/>
      <w:lvlJc w:val="left"/>
      <w:pPr>
        <w:ind w:left="7551" w:hanging="327"/>
      </w:pPr>
      <w:rPr>
        <w:rFonts w:hint="default"/>
      </w:rPr>
    </w:lvl>
  </w:abstractNum>
  <w:abstractNum w:abstractNumId="3" w15:restartNumberingAfterBreak="0">
    <w:nsid w:val="2F68539A"/>
    <w:multiLevelType w:val="hybridMultilevel"/>
    <w:tmpl w:val="23306872"/>
    <w:lvl w:ilvl="0" w:tplc="35403990">
      <w:start w:val="1"/>
      <w:numFmt w:val="lowerLetter"/>
      <w:lvlText w:val="%1."/>
      <w:lvlJc w:val="left"/>
      <w:pPr>
        <w:ind w:left="217" w:hanging="310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A910796A">
      <w:numFmt w:val="bullet"/>
      <w:lvlText w:val="•"/>
      <w:lvlJc w:val="left"/>
      <w:pPr>
        <w:ind w:left="1136" w:hanging="310"/>
      </w:pPr>
      <w:rPr>
        <w:rFonts w:hint="default"/>
      </w:rPr>
    </w:lvl>
    <w:lvl w:ilvl="2" w:tplc="639CDE6E">
      <w:numFmt w:val="bullet"/>
      <w:lvlText w:val="•"/>
      <w:lvlJc w:val="left"/>
      <w:pPr>
        <w:ind w:left="2052" w:hanging="310"/>
      </w:pPr>
      <w:rPr>
        <w:rFonts w:hint="default"/>
      </w:rPr>
    </w:lvl>
    <w:lvl w:ilvl="3" w:tplc="BB2C1024">
      <w:numFmt w:val="bullet"/>
      <w:lvlText w:val="•"/>
      <w:lvlJc w:val="left"/>
      <w:pPr>
        <w:ind w:left="2969" w:hanging="310"/>
      </w:pPr>
      <w:rPr>
        <w:rFonts w:hint="default"/>
      </w:rPr>
    </w:lvl>
    <w:lvl w:ilvl="4" w:tplc="A61CEE58">
      <w:numFmt w:val="bullet"/>
      <w:lvlText w:val="•"/>
      <w:lvlJc w:val="left"/>
      <w:pPr>
        <w:ind w:left="3885" w:hanging="310"/>
      </w:pPr>
      <w:rPr>
        <w:rFonts w:hint="default"/>
      </w:rPr>
    </w:lvl>
    <w:lvl w:ilvl="5" w:tplc="3F52BC02">
      <w:numFmt w:val="bullet"/>
      <w:lvlText w:val="•"/>
      <w:lvlJc w:val="left"/>
      <w:pPr>
        <w:ind w:left="4802" w:hanging="310"/>
      </w:pPr>
      <w:rPr>
        <w:rFonts w:hint="default"/>
      </w:rPr>
    </w:lvl>
    <w:lvl w:ilvl="6" w:tplc="3D30C65C">
      <w:numFmt w:val="bullet"/>
      <w:lvlText w:val="•"/>
      <w:lvlJc w:val="left"/>
      <w:pPr>
        <w:ind w:left="5718" w:hanging="310"/>
      </w:pPr>
      <w:rPr>
        <w:rFonts w:hint="default"/>
      </w:rPr>
    </w:lvl>
    <w:lvl w:ilvl="7" w:tplc="699630E6">
      <w:numFmt w:val="bullet"/>
      <w:lvlText w:val="•"/>
      <w:lvlJc w:val="left"/>
      <w:pPr>
        <w:ind w:left="6635" w:hanging="310"/>
      </w:pPr>
      <w:rPr>
        <w:rFonts w:hint="default"/>
      </w:rPr>
    </w:lvl>
    <w:lvl w:ilvl="8" w:tplc="743694E4">
      <w:numFmt w:val="bullet"/>
      <w:lvlText w:val="•"/>
      <w:lvlJc w:val="left"/>
      <w:pPr>
        <w:ind w:left="7551" w:hanging="310"/>
      </w:pPr>
      <w:rPr>
        <w:rFonts w:hint="default"/>
      </w:rPr>
    </w:lvl>
  </w:abstractNum>
  <w:abstractNum w:abstractNumId="4" w15:restartNumberingAfterBreak="0">
    <w:nsid w:val="4F7E57D1"/>
    <w:multiLevelType w:val="hybridMultilevel"/>
    <w:tmpl w:val="7758F162"/>
    <w:lvl w:ilvl="0" w:tplc="C7C8FD7A">
      <w:start w:val="1"/>
      <w:numFmt w:val="lowerLetter"/>
      <w:lvlText w:val="%1."/>
      <w:lvlJc w:val="left"/>
      <w:pPr>
        <w:ind w:left="217" w:hanging="210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D5906CF0">
      <w:numFmt w:val="bullet"/>
      <w:lvlText w:val="•"/>
      <w:lvlJc w:val="left"/>
      <w:pPr>
        <w:ind w:left="1136" w:hanging="210"/>
      </w:pPr>
      <w:rPr>
        <w:rFonts w:hint="default"/>
      </w:rPr>
    </w:lvl>
    <w:lvl w:ilvl="2" w:tplc="9DA4205E">
      <w:numFmt w:val="bullet"/>
      <w:lvlText w:val="•"/>
      <w:lvlJc w:val="left"/>
      <w:pPr>
        <w:ind w:left="2052" w:hanging="210"/>
      </w:pPr>
      <w:rPr>
        <w:rFonts w:hint="default"/>
      </w:rPr>
    </w:lvl>
    <w:lvl w:ilvl="3" w:tplc="36B62E94">
      <w:numFmt w:val="bullet"/>
      <w:lvlText w:val="•"/>
      <w:lvlJc w:val="left"/>
      <w:pPr>
        <w:ind w:left="2969" w:hanging="210"/>
      </w:pPr>
      <w:rPr>
        <w:rFonts w:hint="default"/>
      </w:rPr>
    </w:lvl>
    <w:lvl w:ilvl="4" w:tplc="3BE4E54E">
      <w:numFmt w:val="bullet"/>
      <w:lvlText w:val="•"/>
      <w:lvlJc w:val="left"/>
      <w:pPr>
        <w:ind w:left="3885" w:hanging="210"/>
      </w:pPr>
      <w:rPr>
        <w:rFonts w:hint="default"/>
      </w:rPr>
    </w:lvl>
    <w:lvl w:ilvl="5" w:tplc="5E321966">
      <w:numFmt w:val="bullet"/>
      <w:lvlText w:val="•"/>
      <w:lvlJc w:val="left"/>
      <w:pPr>
        <w:ind w:left="4802" w:hanging="210"/>
      </w:pPr>
      <w:rPr>
        <w:rFonts w:hint="default"/>
      </w:rPr>
    </w:lvl>
    <w:lvl w:ilvl="6" w:tplc="9C144E08">
      <w:numFmt w:val="bullet"/>
      <w:lvlText w:val="•"/>
      <w:lvlJc w:val="left"/>
      <w:pPr>
        <w:ind w:left="5718" w:hanging="210"/>
      </w:pPr>
      <w:rPr>
        <w:rFonts w:hint="default"/>
      </w:rPr>
    </w:lvl>
    <w:lvl w:ilvl="7" w:tplc="DC7896FE">
      <w:numFmt w:val="bullet"/>
      <w:lvlText w:val="•"/>
      <w:lvlJc w:val="left"/>
      <w:pPr>
        <w:ind w:left="6635" w:hanging="210"/>
      </w:pPr>
      <w:rPr>
        <w:rFonts w:hint="default"/>
      </w:rPr>
    </w:lvl>
    <w:lvl w:ilvl="8" w:tplc="26A28C1E">
      <w:numFmt w:val="bullet"/>
      <w:lvlText w:val="•"/>
      <w:lvlJc w:val="left"/>
      <w:pPr>
        <w:ind w:left="7551" w:hanging="210"/>
      </w:pPr>
      <w:rPr>
        <w:rFonts w:hint="default"/>
      </w:rPr>
    </w:lvl>
  </w:abstractNum>
  <w:abstractNum w:abstractNumId="5" w15:restartNumberingAfterBreak="0">
    <w:nsid w:val="5F17390F"/>
    <w:multiLevelType w:val="hybridMultilevel"/>
    <w:tmpl w:val="898668A2"/>
    <w:lvl w:ilvl="0" w:tplc="9E8CE1F4">
      <w:start w:val="1"/>
      <w:numFmt w:val="decimal"/>
      <w:lvlText w:val="%1)"/>
      <w:lvlJc w:val="left"/>
      <w:pPr>
        <w:ind w:left="217" w:hanging="276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F3DCCC38">
      <w:numFmt w:val="bullet"/>
      <w:lvlText w:val="•"/>
      <w:lvlJc w:val="left"/>
      <w:pPr>
        <w:ind w:left="1136" w:hanging="276"/>
      </w:pPr>
      <w:rPr>
        <w:rFonts w:hint="default"/>
      </w:rPr>
    </w:lvl>
    <w:lvl w:ilvl="2" w:tplc="FAEE37F4">
      <w:numFmt w:val="bullet"/>
      <w:lvlText w:val="•"/>
      <w:lvlJc w:val="left"/>
      <w:pPr>
        <w:ind w:left="2052" w:hanging="276"/>
      </w:pPr>
      <w:rPr>
        <w:rFonts w:hint="default"/>
      </w:rPr>
    </w:lvl>
    <w:lvl w:ilvl="3" w:tplc="EAF2FBEE">
      <w:numFmt w:val="bullet"/>
      <w:lvlText w:val="•"/>
      <w:lvlJc w:val="left"/>
      <w:pPr>
        <w:ind w:left="2969" w:hanging="276"/>
      </w:pPr>
      <w:rPr>
        <w:rFonts w:hint="default"/>
      </w:rPr>
    </w:lvl>
    <w:lvl w:ilvl="4" w:tplc="760E63C4">
      <w:numFmt w:val="bullet"/>
      <w:lvlText w:val="•"/>
      <w:lvlJc w:val="left"/>
      <w:pPr>
        <w:ind w:left="3885" w:hanging="276"/>
      </w:pPr>
      <w:rPr>
        <w:rFonts w:hint="default"/>
      </w:rPr>
    </w:lvl>
    <w:lvl w:ilvl="5" w:tplc="DD105770">
      <w:numFmt w:val="bullet"/>
      <w:lvlText w:val="•"/>
      <w:lvlJc w:val="left"/>
      <w:pPr>
        <w:ind w:left="4802" w:hanging="276"/>
      </w:pPr>
      <w:rPr>
        <w:rFonts w:hint="default"/>
      </w:rPr>
    </w:lvl>
    <w:lvl w:ilvl="6" w:tplc="C3D2FC76">
      <w:numFmt w:val="bullet"/>
      <w:lvlText w:val="•"/>
      <w:lvlJc w:val="left"/>
      <w:pPr>
        <w:ind w:left="5718" w:hanging="276"/>
      </w:pPr>
      <w:rPr>
        <w:rFonts w:hint="default"/>
      </w:rPr>
    </w:lvl>
    <w:lvl w:ilvl="7" w:tplc="FD4E63FA">
      <w:numFmt w:val="bullet"/>
      <w:lvlText w:val="•"/>
      <w:lvlJc w:val="left"/>
      <w:pPr>
        <w:ind w:left="6635" w:hanging="276"/>
      </w:pPr>
      <w:rPr>
        <w:rFonts w:hint="default"/>
      </w:rPr>
    </w:lvl>
    <w:lvl w:ilvl="8" w:tplc="DAFC7A52">
      <w:numFmt w:val="bullet"/>
      <w:lvlText w:val="•"/>
      <w:lvlJc w:val="left"/>
      <w:pPr>
        <w:ind w:left="7551" w:hanging="276"/>
      </w:pPr>
      <w:rPr>
        <w:rFonts w:hint="default"/>
      </w:rPr>
    </w:lvl>
  </w:abstractNum>
  <w:abstractNum w:abstractNumId="6" w15:restartNumberingAfterBreak="0">
    <w:nsid w:val="701D454F"/>
    <w:multiLevelType w:val="hybridMultilevel"/>
    <w:tmpl w:val="563467A8"/>
    <w:lvl w:ilvl="0" w:tplc="147070DE">
      <w:start w:val="1"/>
      <w:numFmt w:val="decimal"/>
      <w:lvlText w:val="%1)"/>
      <w:lvlJc w:val="left"/>
      <w:pPr>
        <w:ind w:left="543" w:hanging="327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6B869222">
      <w:numFmt w:val="bullet"/>
      <w:lvlText w:val="•"/>
      <w:lvlJc w:val="left"/>
      <w:pPr>
        <w:ind w:left="1424" w:hanging="327"/>
      </w:pPr>
      <w:rPr>
        <w:rFonts w:hint="default"/>
      </w:rPr>
    </w:lvl>
    <w:lvl w:ilvl="2" w:tplc="BB46FA64">
      <w:numFmt w:val="bullet"/>
      <w:lvlText w:val="•"/>
      <w:lvlJc w:val="left"/>
      <w:pPr>
        <w:ind w:left="2308" w:hanging="327"/>
      </w:pPr>
      <w:rPr>
        <w:rFonts w:hint="default"/>
      </w:rPr>
    </w:lvl>
    <w:lvl w:ilvl="3" w:tplc="79287B9C">
      <w:numFmt w:val="bullet"/>
      <w:lvlText w:val="•"/>
      <w:lvlJc w:val="left"/>
      <w:pPr>
        <w:ind w:left="3193" w:hanging="327"/>
      </w:pPr>
      <w:rPr>
        <w:rFonts w:hint="default"/>
      </w:rPr>
    </w:lvl>
    <w:lvl w:ilvl="4" w:tplc="B2EE0096">
      <w:numFmt w:val="bullet"/>
      <w:lvlText w:val="•"/>
      <w:lvlJc w:val="left"/>
      <w:pPr>
        <w:ind w:left="4077" w:hanging="327"/>
      </w:pPr>
      <w:rPr>
        <w:rFonts w:hint="default"/>
      </w:rPr>
    </w:lvl>
    <w:lvl w:ilvl="5" w:tplc="C1F2129E">
      <w:numFmt w:val="bullet"/>
      <w:lvlText w:val="•"/>
      <w:lvlJc w:val="left"/>
      <w:pPr>
        <w:ind w:left="4962" w:hanging="327"/>
      </w:pPr>
      <w:rPr>
        <w:rFonts w:hint="default"/>
      </w:rPr>
    </w:lvl>
    <w:lvl w:ilvl="6" w:tplc="BBE037AA">
      <w:numFmt w:val="bullet"/>
      <w:lvlText w:val="•"/>
      <w:lvlJc w:val="left"/>
      <w:pPr>
        <w:ind w:left="5846" w:hanging="327"/>
      </w:pPr>
      <w:rPr>
        <w:rFonts w:hint="default"/>
      </w:rPr>
    </w:lvl>
    <w:lvl w:ilvl="7" w:tplc="EFA4104A">
      <w:numFmt w:val="bullet"/>
      <w:lvlText w:val="•"/>
      <w:lvlJc w:val="left"/>
      <w:pPr>
        <w:ind w:left="6731" w:hanging="327"/>
      </w:pPr>
      <w:rPr>
        <w:rFonts w:hint="default"/>
      </w:rPr>
    </w:lvl>
    <w:lvl w:ilvl="8" w:tplc="416070B8">
      <w:numFmt w:val="bullet"/>
      <w:lvlText w:val="•"/>
      <w:lvlJc w:val="left"/>
      <w:pPr>
        <w:ind w:left="7615" w:hanging="327"/>
      </w:pPr>
      <w:rPr>
        <w:rFonts w:hint="default"/>
      </w:rPr>
    </w:lvl>
  </w:abstractNum>
  <w:abstractNum w:abstractNumId="7" w15:restartNumberingAfterBreak="0">
    <w:nsid w:val="70744F58"/>
    <w:multiLevelType w:val="hybridMultilevel"/>
    <w:tmpl w:val="3614245C"/>
    <w:lvl w:ilvl="0" w:tplc="300A354C">
      <w:start w:val="1"/>
      <w:numFmt w:val="decimal"/>
      <w:lvlText w:val="%1)"/>
      <w:lvlJc w:val="left"/>
      <w:pPr>
        <w:ind w:left="217" w:hanging="278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3162F452">
      <w:numFmt w:val="bullet"/>
      <w:lvlText w:val="•"/>
      <w:lvlJc w:val="left"/>
      <w:pPr>
        <w:ind w:left="1136" w:hanging="278"/>
      </w:pPr>
      <w:rPr>
        <w:rFonts w:hint="default"/>
      </w:rPr>
    </w:lvl>
    <w:lvl w:ilvl="2" w:tplc="92B801BE">
      <w:numFmt w:val="bullet"/>
      <w:lvlText w:val="•"/>
      <w:lvlJc w:val="left"/>
      <w:pPr>
        <w:ind w:left="2052" w:hanging="278"/>
      </w:pPr>
      <w:rPr>
        <w:rFonts w:hint="default"/>
      </w:rPr>
    </w:lvl>
    <w:lvl w:ilvl="3" w:tplc="4CA02846">
      <w:numFmt w:val="bullet"/>
      <w:lvlText w:val="•"/>
      <w:lvlJc w:val="left"/>
      <w:pPr>
        <w:ind w:left="2969" w:hanging="278"/>
      </w:pPr>
      <w:rPr>
        <w:rFonts w:hint="default"/>
      </w:rPr>
    </w:lvl>
    <w:lvl w:ilvl="4" w:tplc="8FE81A1A">
      <w:numFmt w:val="bullet"/>
      <w:lvlText w:val="•"/>
      <w:lvlJc w:val="left"/>
      <w:pPr>
        <w:ind w:left="3885" w:hanging="278"/>
      </w:pPr>
      <w:rPr>
        <w:rFonts w:hint="default"/>
      </w:rPr>
    </w:lvl>
    <w:lvl w:ilvl="5" w:tplc="A42CA0F0">
      <w:numFmt w:val="bullet"/>
      <w:lvlText w:val="•"/>
      <w:lvlJc w:val="left"/>
      <w:pPr>
        <w:ind w:left="4802" w:hanging="278"/>
      </w:pPr>
      <w:rPr>
        <w:rFonts w:hint="default"/>
      </w:rPr>
    </w:lvl>
    <w:lvl w:ilvl="6" w:tplc="8DD80948">
      <w:numFmt w:val="bullet"/>
      <w:lvlText w:val="•"/>
      <w:lvlJc w:val="left"/>
      <w:pPr>
        <w:ind w:left="5718" w:hanging="278"/>
      </w:pPr>
      <w:rPr>
        <w:rFonts w:hint="default"/>
      </w:rPr>
    </w:lvl>
    <w:lvl w:ilvl="7" w:tplc="58144C9C">
      <w:numFmt w:val="bullet"/>
      <w:lvlText w:val="•"/>
      <w:lvlJc w:val="left"/>
      <w:pPr>
        <w:ind w:left="6635" w:hanging="278"/>
      </w:pPr>
      <w:rPr>
        <w:rFonts w:hint="default"/>
      </w:rPr>
    </w:lvl>
    <w:lvl w:ilvl="8" w:tplc="61BE3CC0">
      <w:numFmt w:val="bullet"/>
      <w:lvlText w:val="•"/>
      <w:lvlJc w:val="left"/>
      <w:pPr>
        <w:ind w:left="7551" w:hanging="278"/>
      </w:pPr>
      <w:rPr>
        <w:rFonts w:hint="default"/>
      </w:rPr>
    </w:lvl>
  </w:abstractNum>
  <w:abstractNum w:abstractNumId="8" w15:restartNumberingAfterBreak="0">
    <w:nsid w:val="70EB416B"/>
    <w:multiLevelType w:val="hybridMultilevel"/>
    <w:tmpl w:val="EDA0A450"/>
    <w:lvl w:ilvl="0" w:tplc="FF588372">
      <w:start w:val="1"/>
      <w:numFmt w:val="decimal"/>
      <w:lvlText w:val="%1."/>
      <w:lvlJc w:val="left"/>
      <w:pPr>
        <w:ind w:left="217" w:hanging="266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1A56B116">
      <w:start w:val="1"/>
      <w:numFmt w:val="lowerLetter"/>
      <w:lvlText w:val="%2."/>
      <w:lvlJc w:val="left"/>
      <w:pPr>
        <w:ind w:left="217" w:hanging="260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4442E688">
      <w:numFmt w:val="bullet"/>
      <w:lvlText w:val="•"/>
      <w:lvlJc w:val="left"/>
      <w:pPr>
        <w:ind w:left="2052" w:hanging="260"/>
      </w:pPr>
      <w:rPr>
        <w:rFonts w:hint="default"/>
      </w:rPr>
    </w:lvl>
    <w:lvl w:ilvl="3" w:tplc="76E6C860">
      <w:numFmt w:val="bullet"/>
      <w:lvlText w:val="•"/>
      <w:lvlJc w:val="left"/>
      <w:pPr>
        <w:ind w:left="2969" w:hanging="260"/>
      </w:pPr>
      <w:rPr>
        <w:rFonts w:hint="default"/>
      </w:rPr>
    </w:lvl>
    <w:lvl w:ilvl="4" w:tplc="A6DA733A">
      <w:numFmt w:val="bullet"/>
      <w:lvlText w:val="•"/>
      <w:lvlJc w:val="left"/>
      <w:pPr>
        <w:ind w:left="3885" w:hanging="260"/>
      </w:pPr>
      <w:rPr>
        <w:rFonts w:hint="default"/>
      </w:rPr>
    </w:lvl>
    <w:lvl w:ilvl="5" w:tplc="E63AEDCE">
      <w:numFmt w:val="bullet"/>
      <w:lvlText w:val="•"/>
      <w:lvlJc w:val="left"/>
      <w:pPr>
        <w:ind w:left="4802" w:hanging="260"/>
      </w:pPr>
      <w:rPr>
        <w:rFonts w:hint="default"/>
      </w:rPr>
    </w:lvl>
    <w:lvl w:ilvl="6" w:tplc="8E6C3C76">
      <w:numFmt w:val="bullet"/>
      <w:lvlText w:val="•"/>
      <w:lvlJc w:val="left"/>
      <w:pPr>
        <w:ind w:left="5718" w:hanging="260"/>
      </w:pPr>
      <w:rPr>
        <w:rFonts w:hint="default"/>
      </w:rPr>
    </w:lvl>
    <w:lvl w:ilvl="7" w:tplc="05D04A3C">
      <w:numFmt w:val="bullet"/>
      <w:lvlText w:val="•"/>
      <w:lvlJc w:val="left"/>
      <w:pPr>
        <w:ind w:left="6635" w:hanging="260"/>
      </w:pPr>
      <w:rPr>
        <w:rFonts w:hint="default"/>
      </w:rPr>
    </w:lvl>
    <w:lvl w:ilvl="8" w:tplc="5AD2ABEA">
      <w:numFmt w:val="bullet"/>
      <w:lvlText w:val="•"/>
      <w:lvlJc w:val="left"/>
      <w:pPr>
        <w:ind w:left="7551" w:hanging="260"/>
      </w:pPr>
      <w:rPr>
        <w:rFonts w:hint="default"/>
      </w:rPr>
    </w:lvl>
  </w:abstractNum>
  <w:abstractNum w:abstractNumId="9" w15:restartNumberingAfterBreak="0">
    <w:nsid w:val="76BB2527"/>
    <w:multiLevelType w:val="hybridMultilevel"/>
    <w:tmpl w:val="1B3ACD38"/>
    <w:lvl w:ilvl="0" w:tplc="845E7AA8">
      <w:start w:val="1"/>
      <w:numFmt w:val="decimal"/>
      <w:lvlText w:val="%1)"/>
      <w:lvlJc w:val="left"/>
      <w:pPr>
        <w:ind w:left="217" w:hanging="278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15FE3578">
      <w:numFmt w:val="bullet"/>
      <w:lvlText w:val="•"/>
      <w:lvlJc w:val="left"/>
      <w:pPr>
        <w:ind w:left="1136" w:hanging="278"/>
      </w:pPr>
      <w:rPr>
        <w:rFonts w:hint="default"/>
      </w:rPr>
    </w:lvl>
    <w:lvl w:ilvl="2" w:tplc="83469C48">
      <w:numFmt w:val="bullet"/>
      <w:lvlText w:val="•"/>
      <w:lvlJc w:val="left"/>
      <w:pPr>
        <w:ind w:left="2052" w:hanging="278"/>
      </w:pPr>
      <w:rPr>
        <w:rFonts w:hint="default"/>
      </w:rPr>
    </w:lvl>
    <w:lvl w:ilvl="3" w:tplc="0938F8E2">
      <w:numFmt w:val="bullet"/>
      <w:lvlText w:val="•"/>
      <w:lvlJc w:val="left"/>
      <w:pPr>
        <w:ind w:left="2969" w:hanging="278"/>
      </w:pPr>
      <w:rPr>
        <w:rFonts w:hint="default"/>
      </w:rPr>
    </w:lvl>
    <w:lvl w:ilvl="4" w:tplc="862252AE">
      <w:numFmt w:val="bullet"/>
      <w:lvlText w:val="•"/>
      <w:lvlJc w:val="left"/>
      <w:pPr>
        <w:ind w:left="3885" w:hanging="278"/>
      </w:pPr>
      <w:rPr>
        <w:rFonts w:hint="default"/>
      </w:rPr>
    </w:lvl>
    <w:lvl w:ilvl="5" w:tplc="728A80E4">
      <w:numFmt w:val="bullet"/>
      <w:lvlText w:val="•"/>
      <w:lvlJc w:val="left"/>
      <w:pPr>
        <w:ind w:left="4802" w:hanging="278"/>
      </w:pPr>
      <w:rPr>
        <w:rFonts w:hint="default"/>
      </w:rPr>
    </w:lvl>
    <w:lvl w:ilvl="6" w:tplc="2926EA68">
      <w:numFmt w:val="bullet"/>
      <w:lvlText w:val="•"/>
      <w:lvlJc w:val="left"/>
      <w:pPr>
        <w:ind w:left="5718" w:hanging="278"/>
      </w:pPr>
      <w:rPr>
        <w:rFonts w:hint="default"/>
      </w:rPr>
    </w:lvl>
    <w:lvl w:ilvl="7" w:tplc="2BBE7F76">
      <w:numFmt w:val="bullet"/>
      <w:lvlText w:val="•"/>
      <w:lvlJc w:val="left"/>
      <w:pPr>
        <w:ind w:left="6635" w:hanging="278"/>
      </w:pPr>
      <w:rPr>
        <w:rFonts w:hint="default"/>
      </w:rPr>
    </w:lvl>
    <w:lvl w:ilvl="8" w:tplc="2FECF7A8">
      <w:numFmt w:val="bullet"/>
      <w:lvlText w:val="•"/>
      <w:lvlJc w:val="left"/>
      <w:pPr>
        <w:ind w:left="7551" w:hanging="278"/>
      </w:pPr>
      <w:rPr>
        <w:rFonts w:hint="default"/>
      </w:rPr>
    </w:lvl>
  </w:abstractNum>
  <w:abstractNum w:abstractNumId="10" w15:restartNumberingAfterBreak="0">
    <w:nsid w:val="7D335104"/>
    <w:multiLevelType w:val="hybridMultilevel"/>
    <w:tmpl w:val="B6AC7180"/>
    <w:lvl w:ilvl="0" w:tplc="AEBC181A">
      <w:start w:val="1"/>
      <w:numFmt w:val="decimal"/>
      <w:lvlText w:val="%1)"/>
      <w:lvlJc w:val="left"/>
      <w:pPr>
        <w:ind w:left="217" w:hanging="276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2626DD0A">
      <w:numFmt w:val="bullet"/>
      <w:lvlText w:val="•"/>
      <w:lvlJc w:val="left"/>
      <w:pPr>
        <w:ind w:left="1136" w:hanging="276"/>
      </w:pPr>
      <w:rPr>
        <w:rFonts w:hint="default"/>
      </w:rPr>
    </w:lvl>
    <w:lvl w:ilvl="2" w:tplc="87983A14">
      <w:numFmt w:val="bullet"/>
      <w:lvlText w:val="•"/>
      <w:lvlJc w:val="left"/>
      <w:pPr>
        <w:ind w:left="2052" w:hanging="276"/>
      </w:pPr>
      <w:rPr>
        <w:rFonts w:hint="default"/>
      </w:rPr>
    </w:lvl>
    <w:lvl w:ilvl="3" w:tplc="5B262162">
      <w:numFmt w:val="bullet"/>
      <w:lvlText w:val="•"/>
      <w:lvlJc w:val="left"/>
      <w:pPr>
        <w:ind w:left="2969" w:hanging="276"/>
      </w:pPr>
      <w:rPr>
        <w:rFonts w:hint="default"/>
      </w:rPr>
    </w:lvl>
    <w:lvl w:ilvl="4" w:tplc="FAA428AA">
      <w:numFmt w:val="bullet"/>
      <w:lvlText w:val="•"/>
      <w:lvlJc w:val="left"/>
      <w:pPr>
        <w:ind w:left="3885" w:hanging="276"/>
      </w:pPr>
      <w:rPr>
        <w:rFonts w:hint="default"/>
      </w:rPr>
    </w:lvl>
    <w:lvl w:ilvl="5" w:tplc="672A381E">
      <w:numFmt w:val="bullet"/>
      <w:lvlText w:val="•"/>
      <w:lvlJc w:val="left"/>
      <w:pPr>
        <w:ind w:left="4802" w:hanging="276"/>
      </w:pPr>
      <w:rPr>
        <w:rFonts w:hint="default"/>
      </w:rPr>
    </w:lvl>
    <w:lvl w:ilvl="6" w:tplc="20B66E22">
      <w:numFmt w:val="bullet"/>
      <w:lvlText w:val="•"/>
      <w:lvlJc w:val="left"/>
      <w:pPr>
        <w:ind w:left="5718" w:hanging="276"/>
      </w:pPr>
      <w:rPr>
        <w:rFonts w:hint="default"/>
      </w:rPr>
    </w:lvl>
    <w:lvl w:ilvl="7" w:tplc="979A8944">
      <w:numFmt w:val="bullet"/>
      <w:lvlText w:val="•"/>
      <w:lvlJc w:val="left"/>
      <w:pPr>
        <w:ind w:left="6635" w:hanging="276"/>
      </w:pPr>
      <w:rPr>
        <w:rFonts w:hint="default"/>
      </w:rPr>
    </w:lvl>
    <w:lvl w:ilvl="8" w:tplc="929E1C12">
      <w:numFmt w:val="bullet"/>
      <w:lvlText w:val="•"/>
      <w:lvlJc w:val="left"/>
      <w:pPr>
        <w:ind w:left="7551" w:hanging="276"/>
      </w:pPr>
      <w:rPr>
        <w:rFonts w:hint="default"/>
      </w:rPr>
    </w:lvl>
  </w:abstractNum>
  <w:abstractNum w:abstractNumId="11" w15:restartNumberingAfterBreak="0">
    <w:nsid w:val="7F1360F9"/>
    <w:multiLevelType w:val="hybridMultilevel"/>
    <w:tmpl w:val="DA022F3A"/>
    <w:lvl w:ilvl="0" w:tplc="43046DFC">
      <w:numFmt w:val="bullet"/>
      <w:lvlText w:val="•"/>
      <w:lvlJc w:val="left"/>
      <w:pPr>
        <w:ind w:left="217" w:hanging="159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D1FC3644">
      <w:numFmt w:val="bullet"/>
      <w:lvlText w:val="•"/>
      <w:lvlJc w:val="left"/>
      <w:pPr>
        <w:ind w:left="1136" w:hanging="159"/>
      </w:pPr>
      <w:rPr>
        <w:rFonts w:hint="default"/>
      </w:rPr>
    </w:lvl>
    <w:lvl w:ilvl="2" w:tplc="4BFA26E0">
      <w:numFmt w:val="bullet"/>
      <w:lvlText w:val="•"/>
      <w:lvlJc w:val="left"/>
      <w:pPr>
        <w:ind w:left="2052" w:hanging="159"/>
      </w:pPr>
      <w:rPr>
        <w:rFonts w:hint="default"/>
      </w:rPr>
    </w:lvl>
    <w:lvl w:ilvl="3" w:tplc="DFD480E2">
      <w:numFmt w:val="bullet"/>
      <w:lvlText w:val="•"/>
      <w:lvlJc w:val="left"/>
      <w:pPr>
        <w:ind w:left="2969" w:hanging="159"/>
      </w:pPr>
      <w:rPr>
        <w:rFonts w:hint="default"/>
      </w:rPr>
    </w:lvl>
    <w:lvl w:ilvl="4" w:tplc="C40CB904">
      <w:numFmt w:val="bullet"/>
      <w:lvlText w:val="•"/>
      <w:lvlJc w:val="left"/>
      <w:pPr>
        <w:ind w:left="3885" w:hanging="159"/>
      </w:pPr>
      <w:rPr>
        <w:rFonts w:hint="default"/>
      </w:rPr>
    </w:lvl>
    <w:lvl w:ilvl="5" w:tplc="857A2DC6">
      <w:numFmt w:val="bullet"/>
      <w:lvlText w:val="•"/>
      <w:lvlJc w:val="left"/>
      <w:pPr>
        <w:ind w:left="4802" w:hanging="159"/>
      </w:pPr>
      <w:rPr>
        <w:rFonts w:hint="default"/>
      </w:rPr>
    </w:lvl>
    <w:lvl w:ilvl="6" w:tplc="7D70998A">
      <w:numFmt w:val="bullet"/>
      <w:lvlText w:val="•"/>
      <w:lvlJc w:val="left"/>
      <w:pPr>
        <w:ind w:left="5718" w:hanging="159"/>
      </w:pPr>
      <w:rPr>
        <w:rFonts w:hint="default"/>
      </w:rPr>
    </w:lvl>
    <w:lvl w:ilvl="7" w:tplc="C884E4AA">
      <w:numFmt w:val="bullet"/>
      <w:lvlText w:val="•"/>
      <w:lvlJc w:val="left"/>
      <w:pPr>
        <w:ind w:left="6635" w:hanging="159"/>
      </w:pPr>
      <w:rPr>
        <w:rFonts w:hint="default"/>
      </w:rPr>
    </w:lvl>
    <w:lvl w:ilvl="8" w:tplc="D4B4A9D6">
      <w:numFmt w:val="bullet"/>
      <w:lvlText w:val="•"/>
      <w:lvlJc w:val="left"/>
      <w:pPr>
        <w:ind w:left="7551" w:hanging="159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42"/>
    <w:rsid w:val="003A7051"/>
    <w:rsid w:val="005A2C42"/>
    <w:rsid w:val="0094163C"/>
    <w:rsid w:val="00A57CA2"/>
    <w:rsid w:val="00BD179E"/>
    <w:rsid w:val="00D7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D61C33-083B-43FA-B20C-7ECC8958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21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17"/>
    </w:pPr>
  </w:style>
  <w:style w:type="paragraph" w:customStyle="1" w:styleId="TableParagraph">
    <w:name w:val="Table Paragraph"/>
    <w:basedOn w:val="Normln"/>
    <w:uiPriority w:val="1"/>
    <w:qFormat/>
    <w:pPr>
      <w:spacing w:line="268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2342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Marian</dc:creator>
  <cp:lastModifiedBy>Jitka Rajdlová</cp:lastModifiedBy>
  <cp:revision>3</cp:revision>
  <dcterms:created xsi:type="dcterms:W3CDTF">2021-02-03T16:03:00Z</dcterms:created>
  <dcterms:modified xsi:type="dcterms:W3CDTF">2021-02-04T11:37:00Z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2021-02-03T00:00:00Z</vt:filetime>
  </property>
</Properties>
</file>