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recertifikačního auditu ČSN EN ISO 14001:2016</w:t>
      </w:r>
      <w:bookmarkEnd w:id="0"/>
      <w:bookmarkEnd w:id="1"/>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1819"/>
        <w:gridCol w:w="5323"/>
      </w:tblGrid>
      <w:tr>
        <w:trPr>
          <w:trHeight w:val="21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9"/>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left"/>
        <w:tblLayout w:type="fixed"/>
      </w:tblPr>
      <w:tblGrid>
        <w:gridCol w:w="1819"/>
        <w:gridCol w:w="5318"/>
      </w:tblGrid>
      <w:tr>
        <w:trPr>
          <w:trHeight w:val="25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left"/>
        <w:tblLayout w:type="fixed"/>
      </w:tblPr>
      <w:tblGrid>
        <w:gridCol w:w="1819"/>
        <w:gridCol w:w="5318"/>
      </w:tblGrid>
      <w:tr>
        <w:trPr>
          <w:trHeight w:val="571" w:hRule="exact"/>
        </w:trPr>
        <w:tc>
          <w:tcPr>
            <w:tcBorders/>
            <w:shd w:val="clear" w:color="auto" w:fill="FFFFFF"/>
            <w:vAlign w:val="bottom"/>
          </w:tcPr>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421/74, Praha 9, Prosek</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předsedou sdružení zapsána v obchodním rejstříku u Městského soudu v Praze, sp. zn. L 58728 Osoby pověřené jednat jménem auditní společnosti ve věcech</w:t>
      </w:r>
    </w:p>
    <w:p>
      <w:pPr>
        <w:widowControl w:val="0"/>
        <w:spacing w:line="1" w:lineRule="exact"/>
      </w:pPr>
    </w:p>
    <w:tbl>
      <w:tblPr>
        <w:tblOverlap w:val="never"/>
        <w:jc w:val="left"/>
        <w:tblLayout w:type="fixed"/>
      </w:tblPr>
      <w:tblGrid>
        <w:gridCol w:w="1819"/>
        <w:gridCol w:w="5318"/>
      </w:tblGrid>
      <w:tr>
        <w:trPr>
          <w:trHeight w:val="21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výkonná ředitelka</w:t>
            </w:r>
          </w:p>
        </w:tc>
      </w:tr>
      <w:tr>
        <w:trPr>
          <w:trHeight w:val="20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p>
      <w:pPr>
        <w:widowControl w:val="0"/>
        <w:spacing w:after="419" w:line="1" w:lineRule="exact"/>
      </w:pP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recertifikační audit ČSN EN ISO 14001:2016, jejímž předmětem je Správa a údržba silnic včetně provádění souvisejících staveb a odstraňování a poskytování technických služeb dle normy ČSN EN ISO 14001 (EMS).</w:t>
      </w:r>
    </w:p>
    <w:p>
      <w:pPr>
        <w:pStyle w:val="Style2"/>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do února roku 2021.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68 000,-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left"/>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Náklady spojené s vydáním certifikátu</w:t>
      </w:r>
    </w:p>
    <w:p>
      <w:pPr>
        <w:pStyle w:val="Style2"/>
        <w:keepNext w:val="0"/>
        <w:keepLines w:val="0"/>
        <w:widowControl w:val="0"/>
        <w:numPr>
          <w:ilvl w:val="0"/>
          <w:numId w:val="5"/>
        </w:numPr>
        <w:shd w:val="clear" w:color="auto" w:fill="auto"/>
        <w:tabs>
          <w:tab w:pos="1100" w:val="left"/>
        </w:tabs>
        <w:bidi w:val="0"/>
        <w:spacing w:before="0" w:after="420" w:line="240" w:lineRule="auto"/>
        <w:ind w:left="0" w:right="0" w:firstLine="740"/>
        <w:jc w:val="both"/>
      </w:pPr>
      <w:r>
        <w:rPr>
          <w:color w:val="000000"/>
          <w:spacing w:val="0"/>
          <w:w w:val="100"/>
          <w:position w:val="0"/>
          <w:shd w:val="clear" w:color="auto" w:fill="auto"/>
          <w:lang w:val="cs-CZ" w:eastAsia="cs-CZ" w:bidi="cs-CZ"/>
        </w:rPr>
        <w:t>Doprava a ubytování zaměstnanců auditora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shd w:val="clear" w:color="auto" w:fill="auto"/>
        <w:bidi w:val="0"/>
        <w:spacing w:before="0" w:line="240" w:lineRule="auto"/>
        <w:ind w:left="380" w:right="0" w:hanging="380"/>
        <w:jc w:val="left"/>
      </w:pPr>
      <w:r>
        <w:rPr>
          <w:color w:val="000000"/>
          <w:spacing w:val="0"/>
          <w:w w:val="100"/>
          <w:position w:val="0"/>
          <w:shd w:val="clear" w:color="auto" w:fill="auto"/>
          <w:lang w:val="cs-CZ" w:eastAsia="cs-CZ" w:bidi="cs-CZ"/>
        </w:rPr>
        <w:t>1) Objednatel se zavazuje ve sjednaném termínu umožnit auditorovi zahájení certifikačního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Smlouva je platná dnem připojení platného uznávaného elektronického podpisu dle zákona č. 297/2016 Sb., o službách vytvářejících důvěru pro elektronické transakce, ve znění pozdějších předpisů, do této smlouvy.</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left"/>
      </w:pPr>
      <w:r>
        <w:rPr>
          <w:color w:val="000000"/>
          <w:spacing w:val="0"/>
          <w:w w:val="100"/>
          <w:position w:val="0"/>
          <w:shd w:val="clear" w:color="auto" w:fill="auto"/>
          <w:lang w:val="cs-CZ" w:eastAsia="cs-CZ" w:bidi="cs-CZ"/>
        </w:rPr>
        <w:t>Tato smlouva nabývá účinnosti dnem uveřejnění v informačním systému veřejné správy - Registru smluv.</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Smluvní strany prohlašují, že skutečnosti uvedené v této smlouvě nepovažují za obchodní tajemství a udělují svolení k jejich zpřístupnění ve smyslu zák. č. 106/1999 Sb. a zveřejnění bez stanovení jakýchkoliv dalších podmínek.</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Smluvní vztahy neupravené v této smlouvě se řídí občanským zákoníkem.</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DPH,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44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w:t>
      </w:r>
    </w:p>
    <w:p>
      <w:pPr>
        <w:pStyle w:val="Style2"/>
        <w:keepNext w:val="0"/>
        <w:keepLines w:val="0"/>
        <w:widowControl w:val="0"/>
        <w:shd w:val="clear" w:color="auto" w:fill="auto"/>
        <w:bidi w:val="0"/>
        <w:spacing w:before="0" w:after="660" w:line="240" w:lineRule="auto"/>
        <w:ind w:left="0" w:right="0" w:firstLine="0"/>
        <w:jc w:val="both"/>
      </w:pPr>
      <w:r>
        <w:rPr>
          <w:color w:val="000000"/>
          <w:spacing w:val="0"/>
          <w:w w:val="100"/>
          <w:position w:val="0"/>
          <w:shd w:val="clear" w:color="auto" w:fill="auto"/>
          <w:lang w:val="cs-CZ" w:eastAsia="cs-CZ" w:bidi="cs-CZ"/>
        </w:rPr>
        <w:t>Cenová nabídka na recertifikační audit ČSN EN ISO 9001:2016, ČSN EN ISO 14001:2016 a ČSN EN ISO 45001:2018</w:t>
      </w:r>
    </w:p>
    <w:p>
      <w:pPr>
        <w:pStyle w:val="Style2"/>
        <w:keepNext w:val="0"/>
        <w:keepLines w:val="0"/>
        <w:widowControl w:val="0"/>
        <w:shd w:val="clear" w:color="auto" w:fill="auto"/>
        <w:bidi w:val="0"/>
        <w:spacing w:before="0" w:after="0" w:line="240" w:lineRule="auto"/>
        <w:ind w:left="4100" w:right="0" w:firstLine="0"/>
        <w:jc w:val="both"/>
        <w:sectPr>
          <w:footnotePr>
            <w:pos w:val="pageBottom"/>
            <w:numFmt w:val="decimal"/>
            <w:numRestart w:val="continuous"/>
          </w:footnotePr>
          <w:pgSz w:w="11900" w:h="16840"/>
          <w:pgMar w:top="1388" w:left="1449" w:right="1312" w:bottom="1226" w:header="960" w:footer="798"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920115</wp:posOffset>
                </wp:positionH>
                <wp:positionV relativeFrom="paragraph">
                  <wp:posOffset>12700</wp:posOffset>
                </wp:positionV>
                <wp:extent cx="435610" cy="155575"/>
                <wp:wrapSquare wrapText="bothSides"/>
                <wp:docPr id="1" name="Shape 1"/>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450000000000003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1900" w:h="16840"/>
          <w:pgMar w:top="1623" w:left="0" w:right="0" w:bottom="3535"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623" w:left="1383" w:right="2914" w:bottom="3535"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6" w:after="8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23" w:left="0" w:right="0" w:bottom="162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920115</wp:posOffset>
                </wp:positionH>
                <wp:positionV relativeFrom="paragraph">
                  <wp:posOffset>137160</wp:posOffset>
                </wp:positionV>
                <wp:extent cx="932815" cy="161290"/>
                <wp:wrapSquare wrapText="bothSides"/>
                <wp:docPr id="3" name="Shape 3"/>
                <a:graphic xmlns:a="http://schemas.openxmlformats.org/drawingml/2006/main">
                  <a:graphicData uri="http://schemas.microsoft.com/office/word/2010/wordprocessingShape">
                    <wps:wsp>
                      <wps:cNvSpPr txBox="1"/>
                      <wps:spPr>
                        <a:xfrm>
                          <a:ext cx="93281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výkonná ředitelka</w:t>
                            </w:r>
                          </w:p>
                        </w:txbxContent>
                      </wps:txbx>
                      <wps:bodyPr wrap="none" lIns="0" tIns="0" rIns="0" bIns="0">
                        <a:noAutoFit/>
                      </wps:bodyPr>
                    </wps:wsp>
                  </a:graphicData>
                </a:graphic>
              </wp:anchor>
            </w:drawing>
          </mc:Choice>
          <mc:Fallback>
            <w:pict>
              <v:shape id="_x0000_s1029" type="#_x0000_t202" style="position:absolute;margin-left:72.450000000000003pt;margin-top:10.800000000000001pt;width:73.450000000000003pt;height:12.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výkonná ředitelka</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3460" w:right="0" w:firstLine="0"/>
        <w:jc w:val="left"/>
        <w:sectPr>
          <w:footnotePr>
            <w:pos w:val="pageBottom"/>
            <w:numFmt w:val="decimal"/>
            <w:numRestart w:val="continuous"/>
          </w:footnotePr>
          <w:type w:val="continuous"/>
          <w:pgSz w:w="11900" w:h="16840"/>
          <w:pgMar w:top="1623" w:left="2852" w:right="1378" w:bottom="1623"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5" name="Shape 5"/>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52" fillcolor="#FEFFFF" stroked="f"/>
            </w:pict>
          </mc:Fallback>
        </mc:AlternateContent>
      </w:r>
    </w:p>
    <w:p>
      <w:pPr>
        <w:pStyle w:val="Style2"/>
        <w:keepNext w:val="0"/>
        <w:keepLines w:val="0"/>
        <w:framePr w:w="686" w:h="245" w:wrap="none" w:hAnchor="page" w:x="138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w:t>
      </w:r>
    </w:p>
    <w:p>
      <w:pPr>
        <w:pStyle w:val="Style11"/>
        <w:keepNext w:val="0"/>
        <w:keepLines w:val="0"/>
        <w:framePr w:w="3086" w:h="965" w:wrap="none" w:hAnchor="page" w:x="1728" w:y="268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CQS</w:t>
      </w:r>
    </w:p>
    <w:p>
      <w:pPr>
        <w:pStyle w:val="Style11"/>
        <w:keepNext w:val="0"/>
        <w:keepLines w:val="0"/>
        <w:framePr w:w="3086" w:h="965" w:wrap="none" w:hAnchor="page" w:x="1728" w:y="268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Prosecká 412/74, 190 00 Praha 9 </w:t>
      </w:r>
      <w:r>
        <w:rPr>
          <w:color w:val="000000"/>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Prosek tel.:</w:t>
      </w:r>
    </w:p>
    <w:p>
      <w:pPr>
        <w:pStyle w:val="Style11"/>
        <w:keepNext w:val="0"/>
        <w:keepLines w:val="0"/>
        <w:framePr w:w="3086" w:h="965" w:wrap="none" w:hAnchor="page" w:x="1728" w:y="268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e-mail:</w:t>
      </w:r>
    </w:p>
    <w:p>
      <w:pPr>
        <w:pStyle w:val="Style11"/>
        <w:keepNext w:val="0"/>
        <w:keepLines w:val="0"/>
        <w:framePr w:w="3086" w:h="965" w:wrap="none" w:hAnchor="page" w:x="1728" w:y="2684"/>
        <w:widowControl w:val="0"/>
        <w:shd w:val="clear" w:color="auto" w:fill="auto"/>
        <w:bidi w:val="0"/>
        <w:spacing w:before="0" w:after="0" w:line="240" w:lineRule="auto"/>
        <w:ind w:left="0" w:right="0" w:firstLine="0"/>
        <w:jc w:val="left"/>
      </w:pPr>
      <w:r>
        <w:fldChar w:fldCharType="begin"/>
      </w:r>
      <w:r>
        <w:rPr/>
        <w:instrText> HYPERLINK "http://www.cqs.cz" </w:instrText>
      </w:r>
      <w:r>
        <w:fldChar w:fldCharType="separate"/>
      </w:r>
      <w:r>
        <w:rPr>
          <w:spacing w:val="0"/>
          <w:w w:val="100"/>
          <w:position w:val="0"/>
          <w:shd w:val="clear" w:color="auto" w:fill="auto"/>
          <w:lang w:val="en-US" w:eastAsia="en-US" w:bidi="en-US"/>
        </w:rPr>
        <w:t>http://www.cqs.cz</w:t>
      </w:r>
      <w:r>
        <w:fldChar w:fldCharType="end"/>
      </w:r>
    </w:p>
    <w:p>
      <w:pPr>
        <w:pStyle w:val="Style14"/>
        <w:keepNext w:val="0"/>
        <w:keepLines w:val="0"/>
        <w:framePr w:w="3907" w:h="1186" w:wrap="none" w:hAnchor="page" w:x="7037" w:y="3059"/>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16"/>
        <w:keepNext/>
        <w:keepLines/>
        <w:framePr w:w="3907" w:h="1186" w:wrap="none" w:hAnchor="page" w:x="7037" w:y="3059"/>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Kosovská 1122/1G, 586 01 Jihlava</w:t>
      </w:r>
      <w:bookmarkEnd w:id="2"/>
      <w:bookmarkEnd w:id="3"/>
    </w:p>
    <w:p>
      <w:pPr>
        <w:pStyle w:val="Style14"/>
        <w:keepNext w:val="0"/>
        <w:keepLines w:val="0"/>
        <w:framePr w:w="4426" w:h="274" w:wrap="none" w:hAnchor="page" w:x="1719" w:y="5367"/>
        <w:widowControl w:val="0"/>
        <w:shd w:val="clear" w:color="auto" w:fill="auto"/>
        <w:tabs>
          <w:tab w:pos="3216" w:val="left"/>
        </w:tabs>
        <w:bidi w:val="0"/>
        <w:spacing w:before="0" w:after="0" w:line="240" w:lineRule="auto"/>
        <w:ind w:left="0" w:right="0" w:firstLine="0"/>
        <w:jc w:val="left"/>
      </w:pPr>
      <w:r>
        <w:rPr>
          <w:b w:val="0"/>
          <w:bCs w:val="0"/>
          <w:color w:val="1C1C20"/>
          <w:spacing w:val="0"/>
          <w:w w:val="100"/>
          <w:position w:val="0"/>
          <w:shd w:val="clear" w:color="auto" w:fill="auto"/>
          <w:lang w:val="cs-CZ" w:eastAsia="cs-CZ" w:bidi="cs-CZ"/>
        </w:rPr>
        <w:t>Váš dopis značky/ze dne</w:t>
        <w:tab/>
        <w:t>Naše značka</w:t>
      </w:r>
    </w:p>
    <w:p>
      <w:pPr>
        <w:pStyle w:val="Style14"/>
        <w:keepNext w:val="0"/>
        <w:keepLines w:val="0"/>
        <w:framePr w:w="2938" w:h="499" w:wrap="none" w:hAnchor="page" w:x="7051" w:y="5367"/>
        <w:widowControl w:val="0"/>
        <w:shd w:val="clear" w:color="auto" w:fill="auto"/>
        <w:tabs>
          <w:tab w:pos="2141" w:val="left"/>
        </w:tabs>
        <w:bidi w:val="0"/>
        <w:spacing w:before="0" w:after="0" w:line="240" w:lineRule="auto"/>
        <w:ind w:left="0" w:right="220" w:firstLine="0"/>
        <w:jc w:val="right"/>
      </w:pPr>
      <w:r>
        <w:rPr>
          <w:b w:val="0"/>
          <w:bCs w:val="0"/>
          <w:color w:val="000000"/>
          <w:spacing w:val="0"/>
          <w:w w:val="100"/>
          <w:position w:val="0"/>
          <w:shd w:val="clear" w:color="auto" w:fill="auto"/>
          <w:lang w:val="cs-CZ" w:eastAsia="cs-CZ" w:bidi="cs-CZ"/>
        </w:rPr>
        <w:t>Vyřizuje/linka</w:t>
        <w:tab/>
        <w:t>Praha</w:t>
      </w:r>
    </w:p>
    <w:p>
      <w:pPr>
        <w:pStyle w:val="Style14"/>
        <w:keepNext w:val="0"/>
        <w:keepLines w:val="0"/>
        <w:framePr w:w="2938" w:h="499" w:wrap="none" w:hAnchor="page" w:x="7051" w:y="5367"/>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cs-CZ" w:eastAsia="cs-CZ" w:bidi="cs-CZ"/>
        </w:rPr>
        <w:t>10.12.2020</w:t>
      </w:r>
    </w:p>
    <w:p>
      <w:pPr>
        <w:pStyle w:val="Style14"/>
        <w:keepNext w:val="0"/>
        <w:keepLines w:val="0"/>
        <w:framePr w:w="8981" w:h="509" w:wrap="none" w:hAnchor="page" w:x="2093" w:y="6164"/>
        <w:widowControl w:val="0"/>
        <w:shd w:val="clear" w:color="auto" w:fill="auto"/>
        <w:bidi w:val="0"/>
        <w:spacing w:before="0" w:after="0" w:line="240" w:lineRule="auto"/>
        <w:ind w:left="0" w:right="0" w:firstLine="0"/>
        <w:jc w:val="left"/>
      </w:pPr>
      <w:r>
        <w:rPr>
          <w:b w:val="0"/>
          <w:bCs w:val="0"/>
          <w:color w:val="000000"/>
          <w:spacing w:val="0"/>
          <w:w w:val="100"/>
          <w:position w:val="0"/>
          <w:u w:val="single"/>
          <w:shd w:val="clear" w:color="auto" w:fill="auto"/>
          <w:lang w:val="cs-CZ" w:eastAsia="cs-CZ" w:bidi="cs-CZ"/>
        </w:rPr>
        <w:t>Cenová nabídka na recertifikační audit ČSN EN ISO 9001:2016, ČSN EN ISO 14001:2016 a ČSN</w:t>
      </w:r>
    </w:p>
    <w:p>
      <w:pPr>
        <w:pStyle w:val="Style14"/>
        <w:keepNext w:val="0"/>
        <w:keepLines w:val="0"/>
        <w:framePr w:w="8981" w:h="509" w:wrap="none" w:hAnchor="page" w:x="2093" w:y="6164"/>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ISO 45001:2018</w:t>
      </w:r>
    </w:p>
    <w:p>
      <w:pPr>
        <w:pStyle w:val="Style14"/>
        <w:keepNext w:val="0"/>
        <w:keepLines w:val="0"/>
        <w:framePr w:w="1805" w:h="254" w:wrap="none" w:hAnchor="page" w:x="2103" w:y="7105"/>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Předmět certifikace:</w:t>
      </w:r>
    </w:p>
    <w:p>
      <w:pPr>
        <w:pStyle w:val="Style14"/>
        <w:keepNext w:val="0"/>
        <w:keepLines w:val="0"/>
        <w:framePr w:w="9005" w:h="274" w:wrap="none" w:hAnchor="page" w:x="2098" w:y="73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Správa a údržba silnic včetně prováděni souvisejících staveb a odstraňováni a poskytování</w:t>
      </w:r>
    </w:p>
    <w:p>
      <w:pPr>
        <w:pStyle w:val="Style16"/>
        <w:keepNext/>
        <w:keepLines/>
        <w:framePr w:w="1891" w:h="1426" w:wrap="none" w:hAnchor="page" w:x="2093" w:y="7566"/>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technických služeb</w:t>
      </w:r>
      <w:bookmarkEnd w:id="4"/>
      <w:bookmarkEnd w:id="5"/>
    </w:p>
    <w:p>
      <w:pPr>
        <w:pStyle w:val="Style14"/>
        <w:keepNext w:val="0"/>
        <w:keepLines w:val="0"/>
        <w:framePr w:w="1891" w:h="1426" w:wrap="none" w:hAnchor="page" w:x="2093" w:y="7566"/>
        <w:widowControl w:val="0"/>
        <w:shd w:val="clear" w:color="auto" w:fill="auto"/>
        <w:bidi w:val="0"/>
        <w:spacing w:before="0" w:after="460" w:line="240" w:lineRule="auto"/>
        <w:ind w:left="0" w:right="0" w:firstLine="0"/>
        <w:jc w:val="left"/>
      </w:pPr>
      <w:r>
        <w:rPr>
          <w:b w:val="0"/>
          <w:bCs w:val="0"/>
          <w:color w:val="000000"/>
          <w:spacing w:val="0"/>
          <w:w w:val="100"/>
          <w:position w:val="0"/>
          <w:shd w:val="clear" w:color="auto" w:fill="auto"/>
          <w:lang w:val="cs-CZ" w:eastAsia="cs-CZ" w:bidi="cs-CZ"/>
        </w:rPr>
        <w:t>Normy pro certifikaci</w:t>
      </w:r>
    </w:p>
    <w:p>
      <w:pPr>
        <w:pStyle w:val="Style14"/>
        <w:keepNext w:val="0"/>
        <w:keepLines w:val="0"/>
        <w:framePr w:w="1891" w:h="1426" w:wrap="none" w:hAnchor="page" w:x="2093" w:y="7566"/>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Počet zaměstnanců:</w:t>
      </w:r>
    </w:p>
    <w:p>
      <w:pPr>
        <w:pStyle w:val="Style14"/>
        <w:keepNext w:val="0"/>
        <w:keepLines w:val="0"/>
        <w:framePr w:w="1891" w:h="1426" w:wrap="none" w:hAnchor="page" w:x="2093" w:y="7566"/>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Počet poboček:</w:t>
      </w:r>
    </w:p>
    <w:p>
      <w:pPr>
        <w:pStyle w:val="Style14"/>
        <w:keepNext w:val="0"/>
        <w:keepLines w:val="0"/>
        <w:framePr w:w="3154" w:h="1186" w:wrap="none" w:hAnchor="page" w:x="4935" w:y="7782"/>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EN ISO 9001 (QMS)</w:t>
      </w:r>
    </w:p>
    <w:p>
      <w:pPr>
        <w:pStyle w:val="Style14"/>
        <w:keepNext w:val="0"/>
        <w:keepLines w:val="0"/>
        <w:framePr w:w="3154" w:h="1186" w:wrap="none" w:hAnchor="page" w:x="4935" w:y="7782"/>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EN ISO 14001 (EMS)</w:t>
      </w:r>
    </w:p>
    <w:p>
      <w:pPr>
        <w:pStyle w:val="Style16"/>
        <w:keepNext/>
        <w:keepLines/>
        <w:framePr w:w="3154" w:h="1186" w:wrap="none" w:hAnchor="page" w:x="4935" w:y="7782"/>
        <w:widowControl w:val="0"/>
        <w:shd w:val="clear" w:color="auto" w:fill="auto"/>
        <w:bidi w:val="0"/>
        <w:spacing w:before="0" w:after="0" w:line="240" w:lineRule="auto"/>
        <w:ind w:left="0" w:right="0" w:firstLine="720"/>
        <w:jc w:val="left"/>
      </w:pPr>
      <w:bookmarkStart w:id="6" w:name="bookmark6"/>
      <w:bookmarkStart w:id="7" w:name="bookmark7"/>
      <w:r>
        <w:rPr>
          <w:color w:val="000000"/>
          <w:spacing w:val="0"/>
          <w:w w:val="100"/>
          <w:position w:val="0"/>
          <w:shd w:val="clear" w:color="auto" w:fill="auto"/>
          <w:lang w:val="cs-CZ" w:eastAsia="cs-CZ" w:bidi="cs-CZ"/>
        </w:rPr>
        <w:t>ČSN ISO 45001 (OHSAS)</w:t>
      </w:r>
      <w:bookmarkEnd w:id="6"/>
      <w:bookmarkEnd w:id="7"/>
    </w:p>
    <w:p>
      <w:pPr>
        <w:pStyle w:val="Style14"/>
        <w:keepNext w:val="0"/>
        <w:keepLines w:val="0"/>
        <w:framePr w:w="3154" w:h="1186" w:wrap="none" w:hAnchor="page" w:x="4935" w:y="7782"/>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684</w:t>
      </w:r>
    </w:p>
    <w:p>
      <w:pPr>
        <w:pStyle w:val="Style14"/>
        <w:keepNext w:val="0"/>
        <w:keepLines w:val="0"/>
        <w:framePr w:w="3154" w:h="1186" w:wrap="none" w:hAnchor="page" w:x="4935" w:y="7782"/>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21</w:t>
      </w:r>
    </w:p>
    <w:p>
      <w:pPr>
        <w:pStyle w:val="Style14"/>
        <w:keepNext w:val="0"/>
        <w:keepLines w:val="0"/>
        <w:framePr w:w="4051" w:h="499" w:wrap="none" w:hAnchor="page" w:x="2103" w:y="8972"/>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Požadovaný termín certifikace: </w:t>
      </w:r>
      <w:r>
        <w:rPr>
          <w:color w:val="000000"/>
          <w:spacing w:val="0"/>
          <w:w w:val="100"/>
          <w:position w:val="0"/>
          <w:shd w:val="clear" w:color="auto" w:fill="auto"/>
          <w:lang w:val="cs-CZ" w:eastAsia="cs-CZ" w:bidi="cs-CZ"/>
        </w:rPr>
        <w:t xml:space="preserve">únor .2021 </w:t>
      </w:r>
      <w:r>
        <w:rPr>
          <w:b w:val="0"/>
          <w:bCs w:val="0"/>
          <w:color w:val="000000"/>
          <w:spacing w:val="0"/>
          <w:w w:val="100"/>
          <w:position w:val="0"/>
          <w:shd w:val="clear" w:color="auto" w:fill="auto"/>
          <w:lang w:val="cs-CZ" w:eastAsia="cs-CZ" w:bidi="cs-CZ"/>
        </w:rPr>
        <w:t xml:space="preserve">Platnost informace o cenách: </w:t>
      </w:r>
      <w:r>
        <w:rPr>
          <w:color w:val="000000"/>
          <w:spacing w:val="0"/>
          <w:w w:val="100"/>
          <w:position w:val="0"/>
          <w:shd w:val="clear" w:color="auto" w:fill="auto"/>
          <w:lang w:val="cs-CZ" w:eastAsia="cs-CZ" w:bidi="cs-CZ"/>
        </w:rPr>
        <w:t>do 31.1.2021</w:t>
      </w:r>
    </w:p>
    <w:p>
      <w:pPr>
        <w:pStyle w:val="Style16"/>
        <w:keepNext/>
        <w:keepLines/>
        <w:framePr w:w="5770" w:h="1493" w:wrap="none" w:hAnchor="page" w:x="2093" w:y="9635"/>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V ceně certifikace je zahrnuto:</w:t>
      </w:r>
      <w:bookmarkEnd w:id="8"/>
      <w:bookmarkEnd w:id="9"/>
    </w:p>
    <w:p>
      <w:pPr>
        <w:pStyle w:val="Style14"/>
        <w:keepNext w:val="0"/>
        <w:keepLines w:val="0"/>
        <w:framePr w:w="5770" w:h="1493" w:wrap="none" w:hAnchor="page" w:x="2093" w:y="9635"/>
        <w:widowControl w:val="0"/>
        <w:numPr>
          <w:ilvl w:val="0"/>
          <w:numId w:val="7"/>
        </w:numPr>
        <w:shd w:val="clear" w:color="auto" w:fill="auto"/>
        <w:tabs>
          <w:tab w:pos="1025" w:val="left"/>
        </w:tabs>
        <w:bidi w:val="0"/>
        <w:spacing w:before="0" w:after="0" w:line="240" w:lineRule="auto"/>
        <w:ind w:left="0" w:right="0" w:firstLine="660"/>
        <w:jc w:val="both"/>
      </w:pPr>
      <w:r>
        <w:rPr>
          <w:b w:val="0"/>
          <w:bCs w:val="0"/>
          <w:color w:val="000000"/>
          <w:spacing w:val="0"/>
          <w:w w:val="100"/>
          <w:position w:val="0"/>
          <w:shd w:val="clear" w:color="auto" w:fill="auto"/>
          <w:lang w:val="cs-CZ" w:eastAsia="cs-CZ" w:bidi="cs-CZ"/>
        </w:rPr>
        <w:t>Přezkoumání dokumentace + audity</w:t>
      </w:r>
    </w:p>
    <w:p>
      <w:pPr>
        <w:pStyle w:val="Style14"/>
        <w:keepNext w:val="0"/>
        <w:keepLines w:val="0"/>
        <w:framePr w:w="5770" w:h="1493" w:wrap="none" w:hAnchor="page" w:x="2093" w:y="9635"/>
        <w:widowControl w:val="0"/>
        <w:numPr>
          <w:ilvl w:val="0"/>
          <w:numId w:val="7"/>
        </w:numPr>
        <w:shd w:val="clear" w:color="auto" w:fill="auto"/>
        <w:tabs>
          <w:tab w:pos="1015" w:val="left"/>
        </w:tabs>
        <w:bidi w:val="0"/>
        <w:spacing w:before="0" w:after="0" w:line="240" w:lineRule="auto"/>
        <w:ind w:left="0" w:right="0" w:firstLine="660"/>
        <w:jc w:val="both"/>
      </w:pPr>
      <w:r>
        <w:rPr>
          <w:b w:val="0"/>
          <w:bCs w:val="0"/>
          <w:color w:val="000000"/>
          <w:spacing w:val="0"/>
          <w:w w:val="100"/>
          <w:position w:val="0"/>
          <w:shd w:val="clear" w:color="auto" w:fill="auto"/>
          <w:lang w:val="cs-CZ" w:eastAsia="cs-CZ" w:bidi="cs-CZ"/>
        </w:rPr>
        <w:t>Vypracování zpráv z auditu</w:t>
      </w:r>
    </w:p>
    <w:p>
      <w:pPr>
        <w:pStyle w:val="Style14"/>
        <w:keepNext w:val="0"/>
        <w:keepLines w:val="0"/>
        <w:framePr w:w="5770" w:h="1493" w:wrap="none" w:hAnchor="page" w:x="2093" w:y="9635"/>
        <w:widowControl w:val="0"/>
        <w:numPr>
          <w:ilvl w:val="0"/>
          <w:numId w:val="7"/>
        </w:numPr>
        <w:shd w:val="clear" w:color="auto" w:fill="auto"/>
        <w:tabs>
          <w:tab w:pos="1025" w:val="left"/>
        </w:tabs>
        <w:bidi w:val="0"/>
        <w:spacing w:before="0" w:after="0" w:line="240" w:lineRule="auto"/>
        <w:ind w:left="0" w:right="0" w:firstLine="660"/>
        <w:jc w:val="both"/>
      </w:pPr>
      <w:r>
        <w:rPr>
          <w:b w:val="0"/>
          <w:bCs w:val="0"/>
          <w:color w:val="000000"/>
          <w:spacing w:val="0"/>
          <w:w w:val="100"/>
          <w:position w:val="0"/>
          <w:shd w:val="clear" w:color="auto" w:fill="auto"/>
          <w:lang w:val="cs-CZ" w:eastAsia="cs-CZ" w:bidi="cs-CZ"/>
        </w:rPr>
        <w:t>Přezkoumání zpráv z auditu a rozhodnutí o certifikaci</w:t>
      </w:r>
    </w:p>
    <w:p>
      <w:pPr>
        <w:pStyle w:val="Style14"/>
        <w:keepNext w:val="0"/>
        <w:keepLines w:val="0"/>
        <w:framePr w:w="5770" w:h="1493" w:wrap="none" w:hAnchor="page" w:x="2093" w:y="9635"/>
        <w:widowControl w:val="0"/>
        <w:numPr>
          <w:ilvl w:val="0"/>
          <w:numId w:val="7"/>
        </w:numPr>
        <w:shd w:val="clear" w:color="auto" w:fill="auto"/>
        <w:tabs>
          <w:tab w:pos="1025" w:val="left"/>
        </w:tabs>
        <w:bidi w:val="0"/>
        <w:spacing w:before="0" w:after="0" w:line="240" w:lineRule="auto"/>
        <w:ind w:left="0" w:right="0" w:firstLine="660"/>
        <w:jc w:val="both"/>
      </w:pPr>
      <w:r>
        <w:rPr>
          <w:b w:val="0"/>
          <w:bCs w:val="0"/>
          <w:color w:val="000000"/>
          <w:spacing w:val="0"/>
          <w:w w:val="100"/>
          <w:position w:val="0"/>
          <w:shd w:val="clear" w:color="auto" w:fill="auto"/>
          <w:lang w:val="cs-CZ" w:eastAsia="cs-CZ" w:bidi="cs-CZ"/>
        </w:rPr>
        <w:t>Náklady, spojené s vydáním certifikátů</w:t>
      </w:r>
    </w:p>
    <w:p>
      <w:pPr>
        <w:pStyle w:val="Style14"/>
        <w:keepNext w:val="0"/>
        <w:keepLines w:val="0"/>
        <w:framePr w:w="5770" w:h="1493" w:wrap="none" w:hAnchor="page" w:x="2093" w:y="9635"/>
        <w:widowControl w:val="0"/>
        <w:numPr>
          <w:ilvl w:val="0"/>
          <w:numId w:val="7"/>
        </w:numPr>
        <w:shd w:val="clear" w:color="auto" w:fill="auto"/>
        <w:tabs>
          <w:tab w:pos="1025" w:val="left"/>
        </w:tabs>
        <w:bidi w:val="0"/>
        <w:spacing w:before="0" w:after="0" w:line="240" w:lineRule="auto"/>
        <w:ind w:left="0" w:right="0" w:firstLine="660"/>
        <w:jc w:val="both"/>
      </w:pPr>
      <w:r>
        <w:rPr>
          <w:color w:val="000000"/>
          <w:spacing w:val="0"/>
          <w:w w:val="100"/>
          <w:position w:val="0"/>
          <w:shd w:val="clear" w:color="auto" w:fill="auto"/>
          <w:lang w:val="cs-CZ" w:eastAsia="cs-CZ" w:bidi="cs-CZ"/>
        </w:rPr>
        <w:t>Doprava a ubytování auditorů je zahrnuto v ceně</w:t>
      </w:r>
    </w:p>
    <w:p>
      <w:pPr>
        <w:pStyle w:val="Style14"/>
        <w:keepNext w:val="0"/>
        <w:keepLines w:val="0"/>
        <w:framePr w:w="4214" w:h="1200" w:wrap="none" w:hAnchor="page" w:x="2103" w:y="1154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Recertifikační audit dle ISO 9001 - 82.000,- Recertifikační audit dle ISO 14001 - 68.000,- Recertifikačni audit dle ISO 45001 - 65.000,-</w:t>
      </w:r>
    </w:p>
    <w:p>
      <w:pPr>
        <w:pStyle w:val="Style16"/>
        <w:keepNext/>
        <w:keepLines/>
        <w:framePr w:w="4214" w:h="1200" w:wrap="none" w:hAnchor="page" w:x="2103" w:y="11540"/>
        <w:widowControl w:val="0"/>
        <w:shd w:val="clear" w:color="auto" w:fill="auto"/>
        <w:bidi w:val="0"/>
        <w:spacing w:before="0" w:after="0" w:line="240"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Uvedené ceny jsou bez DPH</w:t>
      </w:r>
      <w:bookmarkEnd w:id="10"/>
      <w:bookmarkEnd w:id="11"/>
    </w:p>
    <w:p>
      <w:pPr>
        <w:pStyle w:val="Style14"/>
        <w:keepNext w:val="0"/>
        <w:keepLines w:val="0"/>
        <w:framePr w:w="2813" w:h="269" w:wrap="none" w:hAnchor="page" w:x="2074" w:y="13537"/>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Těšíme se na další komunikaci</w:t>
      </w:r>
    </w:p>
    <w:p>
      <w:pPr>
        <w:widowControl w:val="0"/>
        <w:spacing w:line="360" w:lineRule="exact"/>
      </w:pPr>
      <w:r>
        <w:drawing>
          <wp:anchor distT="0" distB="0" distL="0" distR="0" simplePos="0" relativeHeight="62914691" behindDoc="1" locked="0" layoutInCell="1" allowOverlap="1">
            <wp:simplePos x="0" y="0"/>
            <wp:positionH relativeFrom="page">
              <wp:posOffset>1093470</wp:posOffset>
            </wp:positionH>
            <wp:positionV relativeFrom="margin">
              <wp:posOffset>311150</wp:posOffset>
            </wp:positionV>
            <wp:extent cx="1054735" cy="42545"/>
            <wp:wrapNone/>
            <wp:docPr id="6" name="Shape 6"/>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5"/>
                    <a:stretch/>
                  </pic:blipFill>
                  <pic:spPr>
                    <a:xfrm>
                      <a:ext cx="1054735" cy="42545"/>
                    </a:xfrm>
                    <a:prstGeom prst="rect"/>
                  </pic:spPr>
                </pic:pic>
              </a:graphicData>
            </a:graphic>
          </wp:anchor>
        </w:drawing>
      </w:r>
      <w:r>
        <w:drawing>
          <wp:anchor distT="0" distB="0" distL="0" distR="0" simplePos="0" relativeHeight="62914692" behindDoc="1" locked="0" layoutInCell="1" allowOverlap="1">
            <wp:simplePos x="0" y="0"/>
            <wp:positionH relativeFrom="page">
              <wp:posOffset>1093470</wp:posOffset>
            </wp:positionH>
            <wp:positionV relativeFrom="margin">
              <wp:posOffset>332105</wp:posOffset>
            </wp:positionV>
            <wp:extent cx="5949950" cy="1012190"/>
            <wp:wrapNone/>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7"/>
                    <a:stretch/>
                  </pic:blipFill>
                  <pic:spPr>
                    <a:xfrm>
                      <a:ext cx="5949950" cy="10121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1900" w:h="16840"/>
          <w:pgMar w:top="1398" w:left="1382" w:right="799" w:bottom="1398" w:header="970" w:footer="970" w:gutter="0"/>
          <w:cols w:space="720"/>
          <w:noEndnote/>
          <w:rtlGutter w:val="0"/>
          <w:docGrid w:linePitch="360"/>
        </w:sectPr>
      </w:pPr>
    </w:p>
    <w:p>
      <w:pPr>
        <w:pStyle w:val="Style14"/>
        <w:keepNext w:val="0"/>
        <w:keepLines w:val="0"/>
        <w:widowControl w:val="0"/>
        <w:shd w:val="clear" w:color="auto" w:fill="auto"/>
        <w:bidi w:val="0"/>
        <w:spacing w:before="0" w:after="800" w:line="240" w:lineRule="auto"/>
        <w:ind w:left="0" w:right="0" w:firstLine="0"/>
        <w:jc w:val="right"/>
      </w:pPr>
      <w:r>
        <w:rPr>
          <w:b w:val="0"/>
          <w:bCs w:val="0"/>
          <w:color w:val="000000"/>
          <w:spacing w:val="0"/>
          <w:w w:val="100"/>
          <w:position w:val="0"/>
          <w:shd w:val="clear" w:color="auto" w:fill="auto"/>
          <w:lang w:val="cs-CZ" w:eastAsia="cs-CZ" w:bidi="cs-CZ"/>
        </w:rPr>
        <w:t>manažer produktu</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CQS z.s. je vedeno u Městského soudu v Praze, spisová značka L 58728</w:t>
      </w:r>
    </w:p>
    <w:p>
      <w:pPr>
        <w:pStyle w:val="Style2"/>
        <w:keepNext w:val="0"/>
        <w:keepLines w:val="0"/>
        <w:widowControl w:val="0"/>
        <w:shd w:val="clear" w:color="auto" w:fill="auto"/>
        <w:bidi w:val="0"/>
        <w:spacing w:before="0" w:after="0" w:line="300" w:lineRule="auto"/>
        <w:ind w:left="1200" w:right="0" w:firstLine="0"/>
        <w:jc w:val="left"/>
      </w:pPr>
      <w:r>
        <w:rPr>
          <w:color w:val="000000"/>
          <w:spacing w:val="0"/>
          <w:w w:val="100"/>
          <w:position w:val="0"/>
          <w:shd w:val="clear" w:color="auto" w:fill="auto"/>
          <w:lang w:val="cs-CZ" w:eastAsia="cs-CZ" w:bidi="cs-CZ"/>
        </w:rPr>
        <w:t>IČO: 69346305 DIČ: CZ69346305</w:t>
      </w:r>
    </w:p>
    <w:sectPr>
      <w:footnotePr>
        <w:pos w:val="pageBottom"/>
        <w:numFmt w:val="decimal"/>
        <w:numRestart w:val="continuous"/>
      </w:footnotePr>
      <w:pgSz w:w="11900" w:h="16840"/>
      <w:pgMar w:top="2127" w:left="2343" w:right="3153" w:bottom="2127" w:header="1699" w:footer="1699"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1_"/>
    <w:basedOn w:val="DefaultParagraphFont"/>
    <w:link w:val="Style4"/>
    <w:rPr>
      <w:rFonts w:ascii="Arial" w:eastAsia="Arial" w:hAnsi="Arial" w:cs="Arial"/>
      <w:b/>
      <w:bCs/>
      <w:i w:val="0"/>
      <w:iCs w:val="0"/>
      <w:smallCaps w:val="0"/>
      <w:strike w:val="0"/>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Základní text (3)_"/>
    <w:basedOn w:val="DefaultParagraphFont"/>
    <w:link w:val="Style11"/>
    <w:rPr>
      <w:rFonts w:ascii="Arial" w:eastAsia="Arial" w:hAnsi="Arial" w:cs="Arial"/>
      <w:b w:val="0"/>
      <w:bCs w:val="0"/>
      <w:i w:val="0"/>
      <w:iCs w:val="0"/>
      <w:smallCaps w:val="0"/>
      <w:strike w:val="0"/>
      <w:color w:val="1C1C20"/>
      <w:sz w:val="16"/>
      <w:szCs w:val="16"/>
      <w:u w:val="none"/>
    </w:rPr>
  </w:style>
  <w:style w:type="character" w:customStyle="1" w:styleId="CharStyle15">
    <w:name w:val="Základní text (2)_"/>
    <w:basedOn w:val="DefaultParagraphFont"/>
    <w:link w:val="Style14"/>
    <w:rPr>
      <w:rFonts w:ascii="Arial" w:eastAsia="Arial" w:hAnsi="Arial" w:cs="Arial"/>
      <w:b/>
      <w:bCs/>
      <w:i w:val="0"/>
      <w:iCs w:val="0"/>
      <w:smallCaps w:val="0"/>
      <w:strike w:val="0"/>
      <w:sz w:val="20"/>
      <w:szCs w:val="20"/>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20"/>
      <w:szCs w:val="20"/>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1"/>
    <w:basedOn w:val="Normal"/>
    <w:link w:val="CharStyle5"/>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7">
    <w:name w:val="Titulek tabulky"/>
    <w:basedOn w:val="Normal"/>
    <w:link w:val="CharStyle8"/>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9">
    <w:name w:val="Jiné"/>
    <w:basedOn w:val="Normal"/>
    <w:link w:val="CharStyle10"/>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1">
    <w:name w:val="Základní text (3)"/>
    <w:basedOn w:val="Normal"/>
    <w:link w:val="CharStyle12"/>
    <w:pPr>
      <w:widowControl w:val="0"/>
      <w:shd w:val="clear" w:color="auto" w:fill="FFFFFF"/>
    </w:pPr>
    <w:rPr>
      <w:rFonts w:ascii="Arial" w:eastAsia="Arial" w:hAnsi="Arial" w:cs="Arial"/>
      <w:b w:val="0"/>
      <w:bCs w:val="0"/>
      <w:i w:val="0"/>
      <w:iCs w:val="0"/>
      <w:smallCaps w:val="0"/>
      <w:strike w:val="0"/>
      <w:color w:val="1C1C20"/>
      <w:sz w:val="16"/>
      <w:szCs w:val="16"/>
      <w:u w:val="none"/>
    </w:rPr>
  </w:style>
  <w:style w:type="paragraph" w:customStyle="1" w:styleId="Style14">
    <w:name w:val="Základní text (2)"/>
    <w:basedOn w:val="Normal"/>
    <w:link w:val="CharStyle15"/>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16">
    <w:name w:val="Nadpis #2"/>
    <w:basedOn w:val="Normal"/>
    <w:link w:val="CharStyle17"/>
    <w:pPr>
      <w:widowControl w:val="0"/>
      <w:shd w:val="clear" w:color="auto" w:fill="FFFFFF"/>
      <w:outlineLvl w:val="1"/>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
  <dc:subject/>
  <dc:creator>Ondráčková Dita</dc:creator>
  <cp:keywords/>
</cp:coreProperties>
</file>