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08D8E466"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C52559">
        <w:rPr>
          <w:rFonts w:ascii="Times New Roman" w:hAnsi="Times New Roman" w:cs="Times New Roman"/>
          <w:b/>
          <w:bCs/>
          <w:sz w:val="24"/>
        </w:rPr>
        <w:t>B-</w:t>
      </w:r>
      <w:r w:rsidR="009A2D8E">
        <w:rPr>
          <w:rFonts w:ascii="Times New Roman" w:hAnsi="Times New Roman" w:cs="Times New Roman"/>
          <w:b/>
          <w:bCs/>
          <w:sz w:val="24"/>
        </w:rPr>
        <w:t>1</w:t>
      </w:r>
      <w:r w:rsidR="003E5A01">
        <w:rPr>
          <w:rFonts w:ascii="Times New Roman" w:hAnsi="Times New Roman" w:cs="Times New Roman"/>
          <w:b/>
          <w:bCs/>
          <w:sz w:val="24"/>
        </w:rPr>
        <w:t>0</w:t>
      </w:r>
      <w:r w:rsidR="00194A0D">
        <w:rPr>
          <w:rFonts w:ascii="Times New Roman" w:hAnsi="Times New Roman" w:cs="Times New Roman"/>
          <w:b/>
          <w:bCs/>
          <w:sz w:val="24"/>
        </w:rPr>
        <w:t>/2021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3FF0AA5"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w:t>
      </w:r>
      <w:r w:rsidR="00102666">
        <w:rPr>
          <w:sz w:val="22"/>
          <w:szCs w:val="22"/>
        </w:rPr>
        <w:t>n</w:t>
      </w:r>
      <w:r>
        <w:rPr>
          <w:sz w:val="22"/>
          <w:szCs w:val="22"/>
        </w:rPr>
        <w:t>iel Smrček</w:t>
      </w:r>
      <w:r w:rsidR="009D3C4C">
        <w:rPr>
          <w:sz w:val="22"/>
          <w:szCs w:val="22"/>
        </w:rPr>
        <w:t>, jednatel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49D607EA" w:rsidR="00F21C55" w:rsidRPr="00DC129C" w:rsidRDefault="00F21C55" w:rsidP="00DC129C">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3E5A01">
        <w:rPr>
          <w:sz w:val="22"/>
          <w:szCs w:val="22"/>
        </w:rPr>
        <w:t>SIDO reality, s.r.o.</w:t>
      </w:r>
    </w:p>
    <w:p w14:paraId="0711CF65" w14:textId="34D7876E" w:rsidR="00F21C55" w:rsidRPr="000C1E44" w:rsidRDefault="00F21C55" w:rsidP="00F21C55">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3E5A01">
        <w:rPr>
          <w:sz w:val="22"/>
          <w:szCs w:val="22"/>
        </w:rPr>
        <w:t>Vinohradská 1255/85, 618 00 Brno</w:t>
      </w:r>
    </w:p>
    <w:p w14:paraId="6310C577" w14:textId="6689DE7F" w:rsidR="009A2D8E" w:rsidRDefault="009A2D8E" w:rsidP="00DC129C">
      <w:pPr>
        <w:spacing w:before="120" w:after="120"/>
        <w:rPr>
          <w:sz w:val="22"/>
          <w:szCs w:val="22"/>
        </w:rPr>
      </w:pPr>
      <w:r>
        <w:rPr>
          <w:sz w:val="22"/>
          <w:szCs w:val="22"/>
        </w:rPr>
        <w:t>Doručovac</w:t>
      </w:r>
      <w:r w:rsidR="00E92213" w:rsidRPr="000C1E44">
        <w:rPr>
          <w:sz w:val="22"/>
          <w:szCs w:val="22"/>
        </w:rPr>
        <w:t>í adresa:</w:t>
      </w:r>
      <w:r w:rsidR="00E92213" w:rsidRPr="000C1E44">
        <w:rPr>
          <w:sz w:val="22"/>
          <w:szCs w:val="22"/>
        </w:rPr>
        <w:tab/>
      </w:r>
      <w:r w:rsidR="003E5A01">
        <w:rPr>
          <w:sz w:val="22"/>
          <w:szCs w:val="22"/>
        </w:rPr>
        <w:t>Vinohradská 1255/85, 618 00 Brno</w:t>
      </w:r>
    </w:p>
    <w:p w14:paraId="59E8CC76" w14:textId="4744ED5A" w:rsidR="009D0397" w:rsidRPr="000C1E44" w:rsidRDefault="00F21C55" w:rsidP="00DC129C">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3E5A01">
        <w:rPr>
          <w:sz w:val="22"/>
          <w:szCs w:val="22"/>
        </w:rPr>
        <w:t>Ing. Miroslav Jursa</w:t>
      </w:r>
      <w:r w:rsidR="009A2D8E">
        <w:rPr>
          <w:sz w:val="22"/>
          <w:szCs w:val="22"/>
        </w:rPr>
        <w:t>, jednatel společnosti</w:t>
      </w:r>
    </w:p>
    <w:p w14:paraId="4610F8DD" w14:textId="39FE5964" w:rsidR="00F21C55" w:rsidRPr="000C1E44" w:rsidRDefault="00F21C55" w:rsidP="00F21C55">
      <w:pPr>
        <w:spacing w:before="120" w:after="120"/>
        <w:rPr>
          <w:sz w:val="22"/>
          <w:szCs w:val="22"/>
        </w:rPr>
      </w:pPr>
      <w:r w:rsidRPr="000C1E44">
        <w:rPr>
          <w:sz w:val="22"/>
          <w:szCs w:val="22"/>
        </w:rPr>
        <w:t xml:space="preserve">IČ:                     </w:t>
      </w:r>
      <w:r w:rsidR="00832530" w:rsidRPr="000C1E44">
        <w:rPr>
          <w:sz w:val="22"/>
          <w:szCs w:val="22"/>
        </w:rPr>
        <w:tab/>
      </w:r>
      <w:r w:rsidR="003E5A01">
        <w:rPr>
          <w:sz w:val="22"/>
          <w:szCs w:val="22"/>
        </w:rPr>
        <w:t>27697908</w:t>
      </w:r>
    </w:p>
    <w:p w14:paraId="14280BEE" w14:textId="30A20DBB" w:rsidR="00F21C55" w:rsidRPr="000C1E44" w:rsidRDefault="00F21C55" w:rsidP="00F21C55">
      <w:pPr>
        <w:spacing w:before="120" w:after="120"/>
        <w:rPr>
          <w:sz w:val="22"/>
          <w:szCs w:val="22"/>
        </w:rPr>
      </w:pPr>
      <w:r w:rsidRPr="000C1E44">
        <w:rPr>
          <w:sz w:val="22"/>
          <w:szCs w:val="22"/>
        </w:rPr>
        <w:t xml:space="preserve">DIČ:                 </w:t>
      </w:r>
      <w:r w:rsidRPr="000C1E44">
        <w:rPr>
          <w:sz w:val="22"/>
          <w:szCs w:val="22"/>
        </w:rPr>
        <w:tab/>
      </w:r>
      <w:r w:rsidRPr="000C1E44">
        <w:rPr>
          <w:sz w:val="22"/>
          <w:szCs w:val="22"/>
        </w:rPr>
        <w:tab/>
      </w:r>
      <w:r w:rsidR="008F7196">
        <w:rPr>
          <w:sz w:val="22"/>
          <w:szCs w:val="22"/>
        </w:rPr>
        <w:t>CZ</w:t>
      </w:r>
      <w:r w:rsidR="003E5A01">
        <w:rPr>
          <w:sz w:val="22"/>
          <w:szCs w:val="22"/>
        </w:rPr>
        <w:t>27697908</w:t>
      </w:r>
    </w:p>
    <w:p w14:paraId="5F5E748A" w14:textId="5DC2DA4E" w:rsidR="00F21C55" w:rsidRPr="000C1E44" w:rsidRDefault="00F21C55" w:rsidP="00F21C55">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8F7196">
        <w:rPr>
          <w:sz w:val="22"/>
          <w:szCs w:val="22"/>
        </w:rPr>
        <w:t>XXXXXXXXXX</w:t>
      </w:r>
    </w:p>
    <w:p w14:paraId="45A9AC1F" w14:textId="4600DB2A" w:rsidR="00F21C55" w:rsidRPr="000C1E44" w:rsidRDefault="00F21C55" w:rsidP="00F21C55">
      <w:pPr>
        <w:spacing w:before="120" w:after="120"/>
        <w:rPr>
          <w:sz w:val="22"/>
          <w:szCs w:val="22"/>
        </w:rPr>
      </w:pPr>
      <w:r w:rsidRPr="000C1E44">
        <w:rPr>
          <w:sz w:val="22"/>
          <w:szCs w:val="22"/>
        </w:rPr>
        <w:t xml:space="preserve">Číslo účtu:            </w:t>
      </w:r>
      <w:r w:rsidRPr="000C1E44">
        <w:rPr>
          <w:sz w:val="22"/>
          <w:szCs w:val="22"/>
        </w:rPr>
        <w:tab/>
      </w:r>
      <w:r w:rsidR="008F7196">
        <w:rPr>
          <w:sz w:val="22"/>
          <w:szCs w:val="22"/>
        </w:rPr>
        <w:t>XXXXXXXXXX</w:t>
      </w:r>
    </w:p>
    <w:p w14:paraId="193D00DF" w14:textId="24701E05" w:rsidR="00F21C55" w:rsidRPr="000C1E44" w:rsidRDefault="00F21C55" w:rsidP="00F21C55">
      <w:pPr>
        <w:spacing w:before="120" w:after="120"/>
        <w:rPr>
          <w:sz w:val="22"/>
          <w:szCs w:val="22"/>
        </w:rPr>
      </w:pPr>
      <w:r w:rsidRPr="000C1E44">
        <w:rPr>
          <w:sz w:val="22"/>
          <w:szCs w:val="22"/>
        </w:rPr>
        <w:t xml:space="preserve">Tel.:                             </w:t>
      </w:r>
      <w:r w:rsidRPr="000C1E44">
        <w:rPr>
          <w:sz w:val="22"/>
          <w:szCs w:val="22"/>
        </w:rPr>
        <w:tab/>
      </w:r>
      <w:r w:rsidR="008F7196">
        <w:rPr>
          <w:sz w:val="22"/>
          <w:szCs w:val="22"/>
        </w:rPr>
        <w:t>XXXXXXXXXX</w:t>
      </w:r>
    </w:p>
    <w:p w14:paraId="54573C28" w14:textId="022FF3EC" w:rsidR="00F21C55" w:rsidRPr="00F33C8F" w:rsidRDefault="00F21C55" w:rsidP="00F21C55">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008F7196" w:rsidRPr="00CF210F">
        <w:rPr>
          <w:sz w:val="22"/>
          <w:szCs w:val="22"/>
        </w:rPr>
        <w:t xml:space="preserve">KS </w:t>
      </w:r>
      <w:r w:rsidR="00DC129C">
        <w:rPr>
          <w:sz w:val="22"/>
          <w:szCs w:val="22"/>
        </w:rPr>
        <w:t xml:space="preserve">v </w:t>
      </w:r>
      <w:r w:rsidR="009A2D8E">
        <w:rPr>
          <w:sz w:val="22"/>
          <w:szCs w:val="22"/>
        </w:rPr>
        <w:t>Brně</w:t>
      </w:r>
      <w:r w:rsidR="008F7196" w:rsidRPr="00CF210F">
        <w:rPr>
          <w:sz w:val="22"/>
          <w:szCs w:val="22"/>
        </w:rPr>
        <w:t xml:space="preserve">, oddíl </w:t>
      </w:r>
      <w:r w:rsidR="009A2D8E">
        <w:rPr>
          <w:sz w:val="22"/>
          <w:szCs w:val="22"/>
        </w:rPr>
        <w:t>C</w:t>
      </w:r>
      <w:r w:rsidR="008F7196" w:rsidRPr="00CF210F">
        <w:rPr>
          <w:sz w:val="22"/>
          <w:szCs w:val="22"/>
        </w:rPr>
        <w:t xml:space="preserve">, vložka </w:t>
      </w:r>
      <w:r w:rsidR="003E5A01">
        <w:rPr>
          <w:sz w:val="22"/>
          <w:szCs w:val="22"/>
        </w:rPr>
        <w:t>52839</w:t>
      </w:r>
    </w:p>
    <w:p w14:paraId="31ABBFDF" w14:textId="40437FD6" w:rsidR="00F21C55" w:rsidRPr="00CF210F" w:rsidRDefault="00AA1233"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8F7196">
        <w:rPr>
          <w:sz w:val="22"/>
          <w:szCs w:val="22"/>
        </w:rPr>
        <w:t>XXXXXXXXXX</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4881BA2F" w14:textId="77777777" w:rsidR="00397E4B" w:rsidRDefault="00397E4B" w:rsidP="00397E4B">
      <w:pPr>
        <w:pStyle w:val="Standardnte"/>
        <w:spacing w:before="120"/>
        <w:jc w:val="center"/>
        <w:rPr>
          <w:b/>
          <w:color w:val="auto"/>
          <w:sz w:val="22"/>
        </w:rPr>
      </w:pPr>
      <w:r>
        <w:rPr>
          <w:b/>
          <w:color w:val="auto"/>
          <w:sz w:val="22"/>
        </w:rPr>
        <w:lastRenderedPageBreak/>
        <w:t>Článek 2</w:t>
      </w:r>
    </w:p>
    <w:p w14:paraId="33D06A07" w14:textId="77777777" w:rsidR="00397E4B" w:rsidRDefault="00397E4B" w:rsidP="00397E4B">
      <w:pPr>
        <w:pStyle w:val="Standardnte"/>
        <w:spacing w:after="120"/>
        <w:jc w:val="center"/>
        <w:rPr>
          <w:b/>
          <w:color w:val="auto"/>
          <w:sz w:val="22"/>
        </w:rPr>
      </w:pPr>
      <w:r>
        <w:rPr>
          <w:b/>
          <w:color w:val="auto"/>
          <w:sz w:val="22"/>
        </w:rPr>
        <w:t>Předmět smlouvy</w:t>
      </w:r>
    </w:p>
    <w:p w14:paraId="5D8056EC" w14:textId="77777777" w:rsidR="00397E4B" w:rsidRDefault="00397E4B" w:rsidP="00397E4B">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1F938769" w14:textId="77777777" w:rsidR="00397E4B" w:rsidRDefault="00397E4B" w:rsidP="00397E4B">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79BE7B4B" w14:textId="77777777" w:rsidR="00397E4B" w:rsidRDefault="00397E4B" w:rsidP="00397E4B">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1B8CD646" w14:textId="77777777" w:rsidR="00397E4B" w:rsidRDefault="00397E4B" w:rsidP="00397E4B">
      <w:pPr>
        <w:pStyle w:val="Odstavecseseznamem"/>
        <w:numPr>
          <w:ilvl w:val="1"/>
          <w:numId w:val="24"/>
        </w:numPr>
        <w:spacing w:before="120" w:after="120"/>
        <w:ind w:left="567" w:hanging="567"/>
        <w:jc w:val="both"/>
        <w:rPr>
          <w:sz w:val="22"/>
        </w:rPr>
      </w:pPr>
      <w:r>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0504EFCF" w14:textId="77777777" w:rsidR="00397E4B" w:rsidRDefault="00397E4B" w:rsidP="00397E4B">
      <w:pPr>
        <w:pStyle w:val="Standardnte"/>
        <w:spacing w:before="120"/>
        <w:jc w:val="center"/>
        <w:rPr>
          <w:b/>
          <w:color w:val="auto"/>
          <w:sz w:val="22"/>
        </w:rPr>
      </w:pPr>
      <w:r>
        <w:rPr>
          <w:b/>
          <w:color w:val="auto"/>
          <w:sz w:val="22"/>
        </w:rPr>
        <w:t>Článek 3</w:t>
      </w:r>
    </w:p>
    <w:p w14:paraId="29708A67" w14:textId="77777777" w:rsidR="00397E4B" w:rsidRDefault="00397E4B" w:rsidP="00397E4B">
      <w:pPr>
        <w:pStyle w:val="Standardnte"/>
        <w:spacing w:after="120"/>
        <w:jc w:val="center"/>
        <w:rPr>
          <w:b/>
          <w:color w:val="auto"/>
          <w:sz w:val="22"/>
        </w:rPr>
      </w:pPr>
      <w:r>
        <w:rPr>
          <w:b/>
          <w:color w:val="auto"/>
          <w:sz w:val="22"/>
        </w:rPr>
        <w:t>Oprávněné odpady</w:t>
      </w:r>
    </w:p>
    <w:p w14:paraId="5D7A5FB7" w14:textId="77777777" w:rsidR="00397E4B" w:rsidRDefault="00397E4B" w:rsidP="00397E4B">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3AB6E891"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1604CA89"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20 02 02, kat. O, Zemina a kameny;</w:t>
      </w:r>
    </w:p>
    <w:p w14:paraId="50DAA4AA"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6EEBDEC1"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69CD7983"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01 04 09, kat. O, Odpadní písek a jíl;</w:t>
      </w:r>
    </w:p>
    <w:p w14:paraId="0ABB89E8"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17 01 02, kat. O, Cihly;</w:t>
      </w:r>
    </w:p>
    <w:p w14:paraId="57A651A9"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17 01 02, kat. O, Cihly (Ytong, Siporex);</w:t>
      </w:r>
    </w:p>
    <w:p w14:paraId="2297AC12"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2FB0E2B1"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2FF563F6" w14:textId="77777777" w:rsidR="00397E4B" w:rsidRDefault="00397E4B" w:rsidP="00397E4B">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7408AF07" w14:textId="77777777" w:rsidR="00397E4B" w:rsidRDefault="00397E4B" w:rsidP="00397E4B">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zákona o odpadech č. 185/2001 Sb., ve znění pozdějších předpisů a vyhl. č. 294/2005 Sb., o </w:t>
      </w:r>
      <w:r>
        <w:rPr>
          <w:i w:val="0"/>
          <w:sz w:val="22"/>
        </w:rPr>
        <w:lastRenderedPageBreak/>
        <w:t>podmínkách ukládání odpadů na skládky a jejich využívání na povrchu terénu, zejména pak podmínky dle § 12 a násl. této vyhlášky, a to bez jiných příměsí nebo odpadů (dále též společně jen „</w:t>
      </w:r>
      <w:r>
        <w:rPr>
          <w:b/>
          <w:i w:val="0"/>
          <w:sz w:val="22"/>
        </w:rPr>
        <w:t>oprávněný odpad</w:t>
      </w:r>
      <w:r>
        <w:rPr>
          <w:i w:val="0"/>
          <w:sz w:val="22"/>
        </w:rPr>
        <w:t>“).</w:t>
      </w:r>
    </w:p>
    <w:p w14:paraId="0C2F9782" w14:textId="77777777" w:rsidR="00397E4B" w:rsidRDefault="00397E4B" w:rsidP="00397E4B">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18D4025D" w14:textId="77777777" w:rsidR="00397E4B" w:rsidRDefault="00397E4B" w:rsidP="00397E4B">
      <w:pPr>
        <w:pStyle w:val="Zkladntext2"/>
        <w:widowControl/>
        <w:numPr>
          <w:ilvl w:val="1"/>
          <w:numId w:val="25"/>
        </w:numPr>
        <w:spacing w:before="120" w:after="120"/>
        <w:ind w:left="567" w:right="0" w:hanging="567"/>
        <w:rPr>
          <w:i w:val="0"/>
          <w:sz w:val="22"/>
        </w:rPr>
      </w:pPr>
      <w:r>
        <w:rPr>
          <w:i w:val="0"/>
          <w:sz w:val="22"/>
        </w:rPr>
        <w:t xml:space="preserve">Dodavatel v souladu s ujednáními odst. 3.5. níže v tomto článku 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186B5CBD" w14:textId="77777777" w:rsidR="00397E4B" w:rsidRDefault="00397E4B" w:rsidP="00397E4B">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69D185EA" w14:textId="77777777" w:rsidR="00397E4B" w:rsidRDefault="00397E4B" w:rsidP="00397E4B">
      <w:pPr>
        <w:pStyle w:val="Zkladntext2"/>
        <w:widowControl/>
        <w:numPr>
          <w:ilvl w:val="1"/>
          <w:numId w:val="25"/>
        </w:numPr>
        <w:spacing w:before="120" w:after="120"/>
        <w:ind w:left="567" w:right="0" w:hanging="567"/>
        <w:rPr>
          <w:i w:val="0"/>
          <w:sz w:val="22"/>
        </w:rPr>
      </w:pPr>
      <w:r>
        <w:rPr>
          <w:i w:val="0"/>
          <w:sz w:val="22"/>
        </w:rPr>
        <w:t>Dodavatel bere na vědomí, že zákon č. 185/2001 Sb., stejně jako vyhl. 294/2005 Sb., stejně jako Katalog odpadů, stejně jako vyhl.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260B583F" w14:textId="77777777" w:rsidR="00397E4B" w:rsidRDefault="00397E4B" w:rsidP="00397E4B">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1C45347E" w14:textId="77777777" w:rsidR="00397E4B" w:rsidRDefault="00397E4B" w:rsidP="00397E4B">
      <w:pPr>
        <w:pStyle w:val="Zkladntext2"/>
        <w:widowControl/>
        <w:numPr>
          <w:ilvl w:val="0"/>
          <w:numId w:val="27"/>
        </w:numPr>
        <w:spacing w:before="120" w:after="120"/>
        <w:ind w:left="1134" w:right="0"/>
        <w:rPr>
          <w:i w:val="0"/>
          <w:sz w:val="22"/>
        </w:rPr>
      </w:pPr>
      <w:r>
        <w:rPr>
          <w:i w:val="0"/>
          <w:sz w:val="22"/>
        </w:rPr>
        <w:t xml:space="preserve">do doby, než nabude účinnosti ten který prováděcí předpisy, </w:t>
      </w:r>
    </w:p>
    <w:p w14:paraId="25FB83D1" w14:textId="77777777" w:rsidR="00397E4B" w:rsidRDefault="00397E4B" w:rsidP="00397E4B">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3CFCABB0" w14:textId="77777777" w:rsidR="00397E4B" w:rsidRDefault="00397E4B" w:rsidP="00397E4B">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445352B5" w14:textId="77777777" w:rsidR="00397E4B" w:rsidRDefault="00397E4B" w:rsidP="00397E4B">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4B98C671" w14:textId="77777777" w:rsidR="00397E4B" w:rsidRDefault="00397E4B" w:rsidP="00397E4B">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3F01AAFA" w14:textId="77777777" w:rsidR="00397E4B" w:rsidRDefault="00397E4B" w:rsidP="00397E4B">
      <w:pPr>
        <w:pStyle w:val="Zkladntext2"/>
        <w:widowControl/>
        <w:spacing w:before="120" w:after="120"/>
        <w:ind w:left="567" w:right="0"/>
        <w:rPr>
          <w:i w:val="0"/>
          <w:sz w:val="22"/>
        </w:rPr>
      </w:pPr>
    </w:p>
    <w:p w14:paraId="3E090F10" w14:textId="77777777" w:rsidR="00397E4B" w:rsidRDefault="00397E4B" w:rsidP="00397E4B">
      <w:pPr>
        <w:pStyle w:val="Standardnte"/>
        <w:spacing w:before="120"/>
        <w:jc w:val="center"/>
        <w:rPr>
          <w:b/>
          <w:color w:val="auto"/>
          <w:sz w:val="22"/>
        </w:rPr>
      </w:pPr>
      <w:r>
        <w:rPr>
          <w:b/>
          <w:color w:val="auto"/>
          <w:sz w:val="22"/>
        </w:rPr>
        <w:t>Článek 4</w:t>
      </w:r>
    </w:p>
    <w:p w14:paraId="7C93B545" w14:textId="77777777" w:rsidR="00397E4B" w:rsidRDefault="00397E4B" w:rsidP="00397E4B">
      <w:pPr>
        <w:pStyle w:val="Standardnte"/>
        <w:spacing w:after="120"/>
        <w:jc w:val="center"/>
        <w:rPr>
          <w:color w:val="auto"/>
          <w:sz w:val="22"/>
          <w:u w:val="single"/>
        </w:rPr>
      </w:pPr>
      <w:r>
        <w:rPr>
          <w:b/>
          <w:color w:val="auto"/>
          <w:sz w:val="22"/>
        </w:rPr>
        <w:t>Cena služby a platební podmínky</w:t>
      </w:r>
    </w:p>
    <w:p w14:paraId="499E1DD0"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51EA973E" w14:textId="77777777" w:rsidR="00397E4B" w:rsidRDefault="00397E4B" w:rsidP="00397E4B">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r>
        <w:rPr>
          <w:b/>
          <w:bCs/>
          <w:sz w:val="22"/>
        </w:rPr>
        <w:t>X,-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2FB907D5" w14:textId="77777777" w:rsidR="00397E4B" w:rsidRDefault="00397E4B" w:rsidP="00397E4B">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1/</w:t>
      </w:r>
      <w:r>
        <w:rPr>
          <w:bCs/>
          <w:sz w:val="22"/>
        </w:rPr>
        <w:t xml:space="preserve">“), přičemž fixní cena služby je neměnná </w:t>
      </w:r>
      <w:r>
        <w:rPr>
          <w:bCs/>
          <w:sz w:val="22"/>
        </w:rPr>
        <w:lastRenderedPageBreak/>
        <w:t>a dodavateli nevzniká za žádných podmínek nárok na poskytnutí jakékoliv slevy z fixní ceny služby;</w:t>
      </w:r>
    </w:p>
    <w:p w14:paraId="686E35D7" w14:textId="77777777" w:rsidR="00397E4B" w:rsidRDefault="00397E4B" w:rsidP="00397E4B">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f)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67147389" w14:textId="77777777" w:rsidR="00397E4B" w:rsidRDefault="00397E4B" w:rsidP="00397E4B">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16A14755" w14:textId="77777777" w:rsidR="00397E4B" w:rsidRDefault="00397E4B" w:rsidP="00397E4B">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443A4552" w14:textId="77777777" w:rsidR="00397E4B" w:rsidRDefault="00397E4B" w:rsidP="00397E4B">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0A823289" w14:textId="77777777" w:rsidR="00397E4B" w:rsidRDefault="00397E4B" w:rsidP="00397E4B">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3FD959C8"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Cs/>
          <w:sz w:val="22"/>
        </w:rPr>
        <w:t>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té které slevy:</w:t>
      </w:r>
    </w:p>
    <w:p w14:paraId="10562759" w14:textId="77777777" w:rsidR="00397E4B" w:rsidRDefault="00397E4B" w:rsidP="00397E4B">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54304511" w14:textId="77777777" w:rsidR="00397E4B" w:rsidRDefault="00397E4B" w:rsidP="00397E4B">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AD67ECE" w14:textId="77777777" w:rsidR="00397E4B" w:rsidRDefault="00397E4B" w:rsidP="00397E4B">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71CB98AC" w14:textId="77777777" w:rsidR="00397E4B" w:rsidRDefault="00397E4B" w:rsidP="00397E4B">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 xml:space="preserve">X % </w:t>
      </w:r>
      <w:r>
        <w:rPr>
          <w:b/>
          <w:bCs/>
          <w:sz w:val="22"/>
        </w:rPr>
        <w:lastRenderedPageBreak/>
        <w:t>(včetně),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2AACF7A5" w14:textId="77777777" w:rsidR="00397E4B" w:rsidRDefault="00397E4B" w:rsidP="00397E4B">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48A543D7" w14:textId="77777777" w:rsidR="00397E4B" w:rsidRDefault="00397E4B" w:rsidP="00397E4B">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07287337" w14:textId="77777777" w:rsidR="00397E4B" w:rsidRDefault="00397E4B" w:rsidP="00397E4B">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35D8ABDF" w14:textId="77777777" w:rsidR="00397E4B" w:rsidRDefault="00397E4B" w:rsidP="00397E4B">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544647E7" w14:textId="77777777" w:rsidR="00397E4B" w:rsidRDefault="00397E4B" w:rsidP="00397E4B">
      <w:pPr>
        <w:tabs>
          <w:tab w:val="left" w:pos="709"/>
        </w:tabs>
        <w:spacing w:before="120" w:after="120"/>
        <w:ind w:left="567"/>
        <w:jc w:val="both"/>
        <w:rPr>
          <w:bCs/>
          <w:sz w:val="22"/>
        </w:rPr>
      </w:pPr>
      <w:r>
        <w:rPr>
          <w:bCs/>
          <w:sz w:val="22"/>
        </w:rPr>
        <w:t xml:space="preserve">Grafický model poskytovaných slev, je uveden v příloze č. 2. této smlouvy.  </w:t>
      </w:r>
    </w:p>
    <w:p w14:paraId="2741441C"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0DDE9BD3"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té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w:t>
      </w:r>
      <w:r>
        <w:rPr>
          <w:bCs/>
          <w:sz w:val="22"/>
        </w:rPr>
        <w:lastRenderedPageBreak/>
        <w:t>odst. 4.1. písm. a) této smlouvy, tj. účtovat odlišně než je sjednáno výše v tomto odstavci a navíc je dodavatel oprávněn bez dalšího vystavit dodatečný daňový dokad a vyúčtovat dodavateli 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300CA33A"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6FDEBD09"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4F0701B9"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5AD9EEFF"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75B28FD7"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5E4517D3" w14:textId="77777777" w:rsidR="00397E4B" w:rsidRDefault="00397E4B" w:rsidP="00397E4B">
      <w:pPr>
        <w:tabs>
          <w:tab w:val="left" w:pos="709"/>
        </w:tabs>
        <w:spacing w:before="120" w:after="120"/>
        <w:ind w:left="567"/>
        <w:jc w:val="both"/>
        <w:rPr>
          <w:bCs/>
          <w:i/>
          <w:sz w:val="22"/>
        </w:rPr>
      </w:pPr>
      <w:r>
        <w:rPr>
          <w:bCs/>
          <w:i/>
          <w:sz w:val="22"/>
        </w:rPr>
        <w:t>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X,- Kč za 1 tunu navezeného oprávněného odpadu + DPH (základní cena služby – zvolená sleva = odhadovaná výše ceny). Po konci doby trvání smlouvy je dodavateli vyúčtován doplatek ceny služby ve výši X,-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1BAFE913" w14:textId="77777777" w:rsidR="00397E4B" w:rsidRDefault="00397E4B" w:rsidP="00397E4B">
      <w:pPr>
        <w:pStyle w:val="Odstavecseseznamem"/>
        <w:numPr>
          <w:ilvl w:val="1"/>
          <w:numId w:val="28"/>
        </w:numPr>
        <w:spacing w:before="120" w:after="120"/>
        <w:ind w:left="567" w:hanging="567"/>
        <w:jc w:val="both"/>
        <w:rPr>
          <w:b/>
          <w:bCs/>
          <w:sz w:val="22"/>
        </w:rPr>
      </w:pPr>
      <w:r>
        <w:rPr>
          <w:b/>
          <w:color w:val="000000"/>
          <w:sz w:val="22"/>
          <w:u w:val="single"/>
        </w:rPr>
        <w:lastRenderedPageBreak/>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468D3533" w14:textId="77777777" w:rsidR="00397E4B" w:rsidRDefault="00397E4B" w:rsidP="00397E4B">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323EC151" w14:textId="77777777" w:rsidR="00397E4B" w:rsidRDefault="00397E4B" w:rsidP="00397E4B">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2C8B0776" w14:textId="77777777" w:rsidR="00397E4B" w:rsidRDefault="00397E4B" w:rsidP="00397E4B">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6CA9F4D5" w14:textId="77777777" w:rsidR="00397E4B" w:rsidRDefault="00397E4B" w:rsidP="00397E4B">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4F228DB5" w14:textId="77777777" w:rsidR="00397E4B" w:rsidRDefault="00397E4B" w:rsidP="00397E4B">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7BA33C2E" w14:textId="77777777" w:rsidR="00397E4B" w:rsidRDefault="00397E4B" w:rsidP="00397E4B">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4048B256" w14:textId="77777777" w:rsidR="00397E4B" w:rsidRDefault="00397E4B" w:rsidP="00397E4B">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3FEE705F" w14:textId="77777777" w:rsidR="00397E4B" w:rsidRDefault="00397E4B" w:rsidP="00397E4B">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w:t>
      </w:r>
      <w:r>
        <w:rPr>
          <w:sz w:val="22"/>
          <w:szCs w:val="20"/>
        </w:rPr>
        <w:lastRenderedPageBreak/>
        <w:t>doplatku či přeplatku ceny služby. Tento daňový doklad bude dle dohody smluvních stran vystaven a doručen dodavateli společně s vyúčtováním dle čl. 4. odst. 4.5. této smlouvy anebo ve lhůtě 15ti dnů ode dne vzniku oprávnění poskytovatele k účtování mimořádného doplatku dle čl. 4, odst. 4.4. věta poslední této smlouvy.</w:t>
      </w:r>
    </w:p>
    <w:p w14:paraId="3959D244"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45E447CE"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61A38027" w14:textId="77777777" w:rsidR="00397E4B" w:rsidRDefault="00397E4B" w:rsidP="00397E4B">
      <w:pPr>
        <w:pStyle w:val="Odstavecseseznamem"/>
        <w:numPr>
          <w:ilvl w:val="1"/>
          <w:numId w:val="28"/>
        </w:numPr>
        <w:tabs>
          <w:tab w:val="left" w:pos="709"/>
        </w:tabs>
        <w:spacing w:before="120" w:after="120"/>
        <w:ind w:left="567" w:hanging="567"/>
        <w:jc w:val="both"/>
        <w:rPr>
          <w:bCs/>
          <w:sz w:val="22"/>
        </w:rPr>
      </w:pPr>
      <w:r>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58783B99" w14:textId="77777777" w:rsidR="00397E4B" w:rsidRDefault="00397E4B" w:rsidP="00397E4B">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179337D9" w14:textId="77777777" w:rsidR="00397E4B" w:rsidRDefault="00397E4B" w:rsidP="00397E4B">
      <w:pPr>
        <w:pStyle w:val="Odstavecseseznamem"/>
        <w:tabs>
          <w:tab w:val="left" w:pos="709"/>
        </w:tabs>
        <w:spacing w:before="120" w:after="120"/>
        <w:ind w:left="567"/>
        <w:jc w:val="both"/>
        <w:rPr>
          <w:b/>
          <w:bCs/>
          <w:sz w:val="22"/>
        </w:rPr>
      </w:pPr>
    </w:p>
    <w:p w14:paraId="05D23C74" w14:textId="77777777" w:rsidR="00397E4B" w:rsidRDefault="00397E4B" w:rsidP="00397E4B">
      <w:pPr>
        <w:pStyle w:val="Nadpis3"/>
        <w:rPr>
          <w:sz w:val="22"/>
        </w:rPr>
      </w:pPr>
    </w:p>
    <w:p w14:paraId="6D65DF97" w14:textId="77777777" w:rsidR="00397E4B" w:rsidRDefault="00397E4B" w:rsidP="00397E4B">
      <w:pPr>
        <w:pStyle w:val="Nadpis3"/>
        <w:rPr>
          <w:sz w:val="22"/>
        </w:rPr>
      </w:pPr>
      <w:r>
        <w:rPr>
          <w:sz w:val="22"/>
        </w:rPr>
        <w:t>Článek 5</w:t>
      </w:r>
    </w:p>
    <w:p w14:paraId="783F9F8F" w14:textId="77777777" w:rsidR="00397E4B" w:rsidRDefault="00397E4B" w:rsidP="00397E4B">
      <w:pPr>
        <w:pStyle w:val="Nadpis3"/>
        <w:rPr>
          <w:sz w:val="22"/>
        </w:rPr>
      </w:pPr>
      <w:r>
        <w:rPr>
          <w:sz w:val="22"/>
        </w:rPr>
        <w:t>Trvání smlouvy a ukončení smlouvy</w:t>
      </w:r>
    </w:p>
    <w:p w14:paraId="3BD92CF5" w14:textId="77777777" w:rsidR="00397E4B" w:rsidRDefault="00397E4B" w:rsidP="00397E4B">
      <w:pPr>
        <w:pStyle w:val="Odstavecseseznamem"/>
        <w:numPr>
          <w:ilvl w:val="1"/>
          <w:numId w:val="32"/>
        </w:numPr>
        <w:spacing w:before="120" w:after="120"/>
        <w:ind w:left="567" w:hanging="567"/>
        <w:jc w:val="both"/>
        <w:rPr>
          <w:sz w:val="22"/>
        </w:rPr>
      </w:pPr>
      <w:r>
        <w:rPr>
          <w:sz w:val="22"/>
        </w:rPr>
        <w:t>Smlouva se uzavírá na dobu XXXXXXXXXXXX XXXXXXXXXXXXXXXX XXXXXXXXXXXXXXXXXX XXXXXXXXX XXXXXXXXXXX XXXXXXXXXXX XXXX XXXXXX XXXXXXXX XXXXXXXXXXX XXXXXXXXXX XXX XXXXXXXXXXXXX XXXXXXXXXXXXXXXXX (v této smlouvě též jen „</w:t>
      </w:r>
      <w:r>
        <w:rPr>
          <w:b/>
          <w:sz w:val="22"/>
        </w:rPr>
        <w:t>doba trvání smlouvy</w:t>
      </w:r>
      <w:r>
        <w:rPr>
          <w:sz w:val="22"/>
        </w:rPr>
        <w:t xml:space="preserve">“). </w:t>
      </w:r>
    </w:p>
    <w:p w14:paraId="159E7E29" w14:textId="77777777" w:rsidR="00397E4B" w:rsidRDefault="00397E4B" w:rsidP="00397E4B">
      <w:pPr>
        <w:pStyle w:val="Odstavecseseznamem"/>
        <w:numPr>
          <w:ilvl w:val="1"/>
          <w:numId w:val="32"/>
        </w:numPr>
        <w:spacing w:before="120" w:after="120"/>
        <w:ind w:left="567" w:hanging="567"/>
        <w:jc w:val="both"/>
        <w:rPr>
          <w:b/>
          <w:bCs/>
          <w:sz w:val="22"/>
        </w:rPr>
      </w:pPr>
      <w:r>
        <w:rPr>
          <w:sz w:val="22"/>
        </w:rPr>
        <w:lastRenderedPageBreak/>
        <w:t xml:space="preserve">Každá ze smluvních stran je oprávněna smlouvu vypovědět bez uvedení důvodu s jednoměsíční výpovědní lhůtou. Není-li dále ujednáno jinak, výpovědní lhůta běží od doručení výpovědi druhé 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7C5AA57C" w14:textId="77777777" w:rsidR="00397E4B" w:rsidRDefault="00397E4B" w:rsidP="00397E4B">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3C8B87E6" w14:textId="77777777" w:rsidR="00397E4B" w:rsidRDefault="00397E4B" w:rsidP="00397E4B">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4FE95427" w14:textId="77777777" w:rsidR="00397E4B" w:rsidRDefault="00397E4B" w:rsidP="00397E4B">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454E2E97" w14:textId="77777777" w:rsidR="00397E4B" w:rsidRDefault="00397E4B" w:rsidP="00397E4B">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635E2933" w14:textId="77777777" w:rsidR="00397E4B" w:rsidRDefault="00397E4B" w:rsidP="00397E4B">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2E5F7B45" w14:textId="77777777" w:rsidR="00397E4B" w:rsidRDefault="00397E4B" w:rsidP="00397E4B">
      <w:pPr>
        <w:pStyle w:val="Odstavecseseznamem"/>
        <w:spacing w:before="120" w:after="120"/>
        <w:ind w:left="567"/>
        <w:jc w:val="both"/>
        <w:rPr>
          <w:sz w:val="22"/>
        </w:rPr>
      </w:pPr>
    </w:p>
    <w:p w14:paraId="2008D591" w14:textId="77777777" w:rsidR="00397E4B" w:rsidRDefault="00397E4B" w:rsidP="00397E4B">
      <w:pPr>
        <w:pStyle w:val="Nadpis3"/>
        <w:rPr>
          <w:sz w:val="22"/>
        </w:rPr>
      </w:pPr>
      <w:r>
        <w:rPr>
          <w:sz w:val="22"/>
        </w:rPr>
        <w:t>Článek 6</w:t>
      </w:r>
    </w:p>
    <w:p w14:paraId="0DF5EACE" w14:textId="77777777" w:rsidR="00397E4B" w:rsidRDefault="00397E4B" w:rsidP="00397E4B">
      <w:pPr>
        <w:pStyle w:val="Nadpis3"/>
        <w:rPr>
          <w:sz w:val="22"/>
        </w:rPr>
      </w:pPr>
      <w:r>
        <w:rPr>
          <w:sz w:val="22"/>
        </w:rPr>
        <w:t xml:space="preserve">Místo odběru oprávněných odpadů a jejich doprava, </w:t>
      </w:r>
    </w:p>
    <w:p w14:paraId="2E3D8D1F" w14:textId="77777777" w:rsidR="00397E4B" w:rsidRDefault="00397E4B" w:rsidP="00397E4B">
      <w:pPr>
        <w:pStyle w:val="Nadpis3"/>
        <w:rPr>
          <w:sz w:val="22"/>
        </w:rPr>
      </w:pPr>
      <w:r>
        <w:rPr>
          <w:sz w:val="22"/>
        </w:rPr>
        <w:t>kontaktní osoby, základní omezení a povinnosti dodavatele</w:t>
      </w:r>
    </w:p>
    <w:p w14:paraId="0A5B9F27"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cestou, než shora uvedenou, bude o tom poskytovatel informovat dodavatele a dodavatel je následně povinen využívat takto stanovený přístup při plnění této smlouvy. Způsob vjezdu do areálu poskytovatele stanovuje poskytovatel a je pro </w:t>
      </w:r>
      <w:r>
        <w:rPr>
          <w:i w:val="0"/>
          <w:sz w:val="22"/>
        </w:rPr>
        <w:lastRenderedPageBreak/>
        <w:t xml:space="preserve">dodavatele závazný.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personálu poskytovatele. </w:t>
      </w:r>
    </w:p>
    <w:p w14:paraId="77F55A2E"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1A918DB3"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5CF5D096"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5D4FEC0C" w14:textId="77777777" w:rsidR="00397E4B" w:rsidRDefault="00397E4B" w:rsidP="00397E4B">
      <w:pPr>
        <w:pStyle w:val="Zkladntext2"/>
        <w:widowControl/>
        <w:spacing w:before="120" w:after="120"/>
        <w:ind w:left="567" w:right="0"/>
        <w:rPr>
          <w:i w:val="0"/>
          <w:sz w:val="22"/>
        </w:rPr>
      </w:pPr>
      <w:r>
        <w:rPr>
          <w:b/>
          <w:i w:val="0"/>
          <w:sz w:val="22"/>
        </w:rPr>
        <w:t>Technické podklady dle článku 7 odst. 7.4. této smlouvy: XXXXXXXX XXXXX </w:t>
      </w:r>
    </w:p>
    <w:p w14:paraId="5E1F753B"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77E12F59"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14E25E26"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jakoby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4B42922C"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w:t>
      </w:r>
      <w:r>
        <w:rPr>
          <w:i w:val="0"/>
          <w:sz w:val="22"/>
        </w:rPr>
        <w:lastRenderedPageBreak/>
        <w:t xml:space="preserve">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53EE8EEE"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01EE1E5A"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270F06AA" w14:textId="77777777" w:rsidR="00397E4B" w:rsidRDefault="00397E4B" w:rsidP="00397E4B">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067F626F" w14:textId="77777777" w:rsidR="00397E4B" w:rsidRDefault="00397E4B" w:rsidP="00397E4B">
      <w:pPr>
        <w:pStyle w:val="Zkladntext"/>
        <w:spacing w:before="120" w:after="120"/>
        <w:rPr>
          <w:rFonts w:ascii="Times New Roman" w:hAnsi="Times New Roman"/>
          <w:sz w:val="22"/>
        </w:rPr>
      </w:pPr>
    </w:p>
    <w:p w14:paraId="5FEFE90E" w14:textId="77777777" w:rsidR="00397E4B" w:rsidRDefault="00397E4B" w:rsidP="00397E4B">
      <w:pPr>
        <w:pStyle w:val="Zkladntext"/>
        <w:spacing w:before="0"/>
        <w:rPr>
          <w:rFonts w:ascii="Times New Roman" w:hAnsi="Times New Roman"/>
          <w:sz w:val="22"/>
        </w:rPr>
      </w:pPr>
      <w:r>
        <w:rPr>
          <w:rFonts w:ascii="Times New Roman" w:hAnsi="Times New Roman"/>
          <w:sz w:val="22"/>
        </w:rPr>
        <w:t>Článek 7</w:t>
      </w:r>
    </w:p>
    <w:p w14:paraId="11CCA8C9" w14:textId="77777777" w:rsidR="00397E4B" w:rsidRDefault="00397E4B" w:rsidP="00397E4B">
      <w:pPr>
        <w:pStyle w:val="Zkladntext"/>
        <w:spacing w:before="0" w:after="120"/>
        <w:rPr>
          <w:rFonts w:ascii="Times New Roman" w:hAnsi="Times New Roman"/>
          <w:sz w:val="22"/>
        </w:rPr>
      </w:pPr>
      <w:r>
        <w:rPr>
          <w:rFonts w:ascii="Times New Roman" w:hAnsi="Times New Roman"/>
          <w:sz w:val="22"/>
        </w:rPr>
        <w:t>Práva a povinnosti dodavatele</w:t>
      </w:r>
    </w:p>
    <w:p w14:paraId="7373F3AB"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4257E05B"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4046D900"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78FFBBF3"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05DA4926"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2234F1A0"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64265127"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lastRenderedPageBreak/>
        <w:t>V případě zavedení systému elektronické identifikace původců odpadů v areálu poskytovatele je dodavatel povinen si od oprávněné osoby poskytovatele za úplatu vyžádat magnetickou identifikační kartu, na základě výzvy poskytovatele.</w:t>
      </w:r>
    </w:p>
    <w:p w14:paraId="2D0430B1"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14CCC2E1"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0E5CFDA5"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207B567F"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36B1F86A"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6493CFC6"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1596D3E5" w14:textId="77777777" w:rsidR="00397E4B" w:rsidRDefault="00397E4B" w:rsidP="00397E4B">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564BC06C" w14:textId="77777777" w:rsidR="00397E4B" w:rsidRDefault="00397E4B" w:rsidP="00397E4B">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identifikační číslo zařízení, pokud je dodavatel oprávněnou osobou dle ust. 4 odst. 1) písm. y) zákona č. 185/2001 sb., o odpadech (dále též jen jako „</w:t>
      </w:r>
      <w:r>
        <w:rPr>
          <w:rFonts w:ascii="Times New Roman" w:hAnsi="Times New Roman"/>
          <w:b/>
          <w:sz w:val="22"/>
        </w:rPr>
        <w:t>IČZ</w:t>
      </w:r>
      <w:r>
        <w:rPr>
          <w:rFonts w:ascii="Times New Roman" w:hAnsi="Times New Roman"/>
          <w:sz w:val="22"/>
        </w:rPr>
        <w:t>“);</w:t>
      </w:r>
    </w:p>
    <w:p w14:paraId="3321CCF9" w14:textId="77777777" w:rsidR="00397E4B" w:rsidRDefault="00397E4B" w:rsidP="00397E4B">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32C128DA" w14:textId="77777777" w:rsidR="00397E4B" w:rsidRDefault="00397E4B" w:rsidP="00397E4B">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3748F61B" w14:textId="77777777" w:rsidR="00397E4B" w:rsidRDefault="00397E4B" w:rsidP="00397E4B">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05164B85" w14:textId="77777777" w:rsidR="00397E4B" w:rsidRDefault="00397E4B" w:rsidP="00397E4B">
      <w:pPr>
        <w:pStyle w:val="Zkladntextodsazen"/>
        <w:spacing w:before="120" w:after="120"/>
        <w:ind w:left="567" w:firstLine="0"/>
        <w:rPr>
          <w:rFonts w:ascii="Times New Roman" w:hAnsi="Times New Roman"/>
          <w:sz w:val="22"/>
        </w:rPr>
      </w:pPr>
      <w:r>
        <w:rPr>
          <w:rFonts w:ascii="Times New Roman" w:hAnsi="Times New Roman"/>
          <w:sz w:val="22"/>
        </w:rPr>
        <w:lastRenderedPageBreak/>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435BDB66" w14:textId="77777777" w:rsidR="00397E4B" w:rsidRDefault="00397E4B" w:rsidP="00397E4B">
      <w:pPr>
        <w:pStyle w:val="Zkladntextodsazen"/>
        <w:spacing w:before="120" w:after="120"/>
        <w:ind w:left="567" w:firstLine="0"/>
        <w:rPr>
          <w:rFonts w:ascii="Times New Roman" w:hAnsi="Times New Roman"/>
          <w:sz w:val="22"/>
        </w:rPr>
      </w:pPr>
      <w:r>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35FCA6BB" w14:textId="77777777" w:rsidR="00397E4B" w:rsidRDefault="00397E4B" w:rsidP="00397E4B">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38952322" w14:textId="77777777" w:rsidR="00397E4B" w:rsidRDefault="00397E4B" w:rsidP="00397E4B">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4C71A8F7" w14:textId="77777777" w:rsidR="00397E4B" w:rsidRDefault="00397E4B" w:rsidP="00397E4B">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3F6BEEDC" w14:textId="77777777" w:rsidR="00397E4B" w:rsidRDefault="00397E4B" w:rsidP="00397E4B">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2AB753AD" w14:textId="77777777" w:rsidR="00397E4B" w:rsidRDefault="00397E4B" w:rsidP="00397E4B">
      <w:pPr>
        <w:pStyle w:val="Zkladntextodsazen"/>
        <w:tabs>
          <w:tab w:val="left" w:pos="142"/>
        </w:tabs>
        <w:spacing w:before="120"/>
        <w:ind w:left="567" w:firstLine="0"/>
        <w:rPr>
          <w:rFonts w:ascii="Times New Roman" w:hAnsi="Times New Roman"/>
          <w:sz w:val="22"/>
        </w:rPr>
      </w:pPr>
    </w:p>
    <w:p w14:paraId="5611E0F3" w14:textId="77777777" w:rsidR="00397E4B" w:rsidRDefault="00397E4B" w:rsidP="00397E4B">
      <w:pPr>
        <w:pStyle w:val="Zkladntext"/>
        <w:spacing w:before="0"/>
        <w:rPr>
          <w:rFonts w:ascii="Times New Roman" w:hAnsi="Times New Roman"/>
          <w:sz w:val="22"/>
        </w:rPr>
      </w:pPr>
      <w:r>
        <w:rPr>
          <w:rFonts w:ascii="Times New Roman" w:hAnsi="Times New Roman"/>
          <w:sz w:val="22"/>
        </w:rPr>
        <w:t>Článek 8</w:t>
      </w:r>
    </w:p>
    <w:p w14:paraId="06EFA099" w14:textId="77777777" w:rsidR="00397E4B" w:rsidRDefault="00397E4B" w:rsidP="00397E4B">
      <w:pPr>
        <w:pStyle w:val="Zkladntext2"/>
        <w:widowControl/>
        <w:spacing w:after="120"/>
        <w:ind w:right="0"/>
        <w:jc w:val="center"/>
        <w:rPr>
          <w:i w:val="0"/>
          <w:sz w:val="22"/>
          <w:szCs w:val="24"/>
        </w:rPr>
      </w:pPr>
      <w:r>
        <w:rPr>
          <w:b/>
          <w:bCs/>
          <w:i w:val="0"/>
          <w:sz w:val="22"/>
          <w:szCs w:val="24"/>
        </w:rPr>
        <w:t>Ostatní ujednání</w:t>
      </w:r>
    </w:p>
    <w:p w14:paraId="31F0CAA6" w14:textId="77777777" w:rsidR="00397E4B" w:rsidRDefault="00397E4B" w:rsidP="00397E4B">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7D9B1D90" w14:textId="77777777" w:rsidR="00397E4B" w:rsidRDefault="00397E4B" w:rsidP="00397E4B">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42CA26A8" w14:textId="77777777" w:rsidR="00397E4B" w:rsidRDefault="00397E4B" w:rsidP="00397E4B">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w:t>
      </w:r>
      <w:r>
        <w:rPr>
          <w:sz w:val="22"/>
        </w:rPr>
        <w:lastRenderedPageBreak/>
        <w:t>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6039D2EC" w14:textId="77777777" w:rsidR="00397E4B" w:rsidRDefault="00397E4B" w:rsidP="00397E4B">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255D840C" w14:textId="77777777" w:rsidR="00397E4B" w:rsidRDefault="00397E4B" w:rsidP="00397E4B">
      <w:pPr>
        <w:pStyle w:val="Odstavecseseznamem"/>
        <w:spacing w:before="120" w:after="120"/>
        <w:ind w:left="709"/>
        <w:jc w:val="both"/>
        <w:rPr>
          <w:bCs/>
          <w:snapToGrid w:val="0"/>
          <w:sz w:val="22"/>
        </w:rPr>
      </w:pPr>
    </w:p>
    <w:p w14:paraId="0F9F91CF" w14:textId="77777777" w:rsidR="00397E4B" w:rsidRDefault="00397E4B" w:rsidP="00397E4B">
      <w:pPr>
        <w:pStyle w:val="Nadpis3"/>
        <w:rPr>
          <w:sz w:val="22"/>
        </w:rPr>
      </w:pPr>
      <w:r>
        <w:rPr>
          <w:sz w:val="22"/>
        </w:rPr>
        <w:t>Článek 9</w:t>
      </w:r>
    </w:p>
    <w:p w14:paraId="77A976AE" w14:textId="77777777" w:rsidR="00397E4B" w:rsidRDefault="00397E4B" w:rsidP="00397E4B">
      <w:pPr>
        <w:pStyle w:val="Standardnte"/>
        <w:jc w:val="center"/>
        <w:rPr>
          <w:b/>
          <w:color w:val="auto"/>
          <w:sz w:val="22"/>
        </w:rPr>
      </w:pPr>
      <w:r>
        <w:rPr>
          <w:b/>
          <w:color w:val="auto"/>
          <w:sz w:val="22"/>
        </w:rPr>
        <w:t>Odpovědnost za škodu</w:t>
      </w:r>
    </w:p>
    <w:p w14:paraId="3B3AF22A" w14:textId="77777777" w:rsidR="00397E4B" w:rsidRDefault="00397E4B" w:rsidP="00397E4B">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5F68FFF6" w14:textId="77777777" w:rsidR="00397E4B" w:rsidRDefault="00397E4B" w:rsidP="00397E4B">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5A305DE0" w14:textId="77777777" w:rsidR="00397E4B" w:rsidRDefault="00397E4B" w:rsidP="00397E4B">
      <w:pPr>
        <w:pStyle w:val="Standardnte"/>
        <w:spacing w:before="120" w:after="120"/>
        <w:jc w:val="center"/>
        <w:rPr>
          <w:b/>
          <w:color w:val="auto"/>
          <w:sz w:val="22"/>
        </w:rPr>
      </w:pPr>
    </w:p>
    <w:p w14:paraId="0C8E4E98" w14:textId="77777777" w:rsidR="00397E4B" w:rsidRDefault="00397E4B" w:rsidP="00397E4B">
      <w:pPr>
        <w:pStyle w:val="Nadpis3"/>
        <w:rPr>
          <w:sz w:val="22"/>
        </w:rPr>
      </w:pPr>
      <w:r>
        <w:rPr>
          <w:sz w:val="22"/>
        </w:rPr>
        <w:t>Článek 10</w:t>
      </w:r>
    </w:p>
    <w:p w14:paraId="4A69C621" w14:textId="77777777" w:rsidR="00397E4B" w:rsidRDefault="00397E4B" w:rsidP="00397E4B">
      <w:pPr>
        <w:pStyle w:val="Nadpis3"/>
        <w:rPr>
          <w:sz w:val="22"/>
        </w:rPr>
      </w:pPr>
      <w:r>
        <w:rPr>
          <w:sz w:val="22"/>
        </w:rPr>
        <w:t>Sankční ujednání</w:t>
      </w:r>
    </w:p>
    <w:p w14:paraId="56E2C092" w14:textId="77777777" w:rsidR="00397E4B" w:rsidRDefault="00397E4B" w:rsidP="00397E4B">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5402800C" w14:textId="77777777" w:rsidR="00397E4B" w:rsidRDefault="00397E4B" w:rsidP="00397E4B">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7EF7327C" w14:textId="77777777" w:rsidR="00397E4B" w:rsidRDefault="00397E4B" w:rsidP="00397E4B">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6C58AEFD" w14:textId="77777777" w:rsidR="00397E4B" w:rsidRDefault="00397E4B" w:rsidP="00397E4B">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placením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213E0823" w14:textId="77777777" w:rsidR="00397E4B" w:rsidRDefault="00397E4B" w:rsidP="00397E4B">
      <w:pPr>
        <w:pStyle w:val="Odstavecseseznamem"/>
        <w:tabs>
          <w:tab w:val="left" w:pos="709"/>
        </w:tabs>
        <w:spacing w:before="120" w:after="120"/>
        <w:ind w:left="567"/>
        <w:jc w:val="both"/>
        <w:rPr>
          <w:b/>
          <w:bCs/>
          <w:sz w:val="22"/>
        </w:rPr>
      </w:pPr>
    </w:p>
    <w:p w14:paraId="63CAF3AA" w14:textId="77777777" w:rsidR="00397E4B" w:rsidRDefault="00397E4B" w:rsidP="00397E4B">
      <w:pPr>
        <w:pStyle w:val="Nadpis3"/>
        <w:rPr>
          <w:sz w:val="22"/>
        </w:rPr>
      </w:pPr>
      <w:r>
        <w:rPr>
          <w:sz w:val="22"/>
        </w:rPr>
        <w:t>Článek 11</w:t>
      </w:r>
    </w:p>
    <w:p w14:paraId="7BF2AF80" w14:textId="77777777" w:rsidR="00397E4B" w:rsidRDefault="00397E4B" w:rsidP="00397E4B">
      <w:pPr>
        <w:pStyle w:val="Nadpis3"/>
        <w:spacing w:after="120"/>
        <w:rPr>
          <w:sz w:val="22"/>
        </w:rPr>
      </w:pPr>
      <w:r>
        <w:rPr>
          <w:sz w:val="22"/>
        </w:rPr>
        <w:t>Neoprávněný návoz odpadu</w:t>
      </w:r>
    </w:p>
    <w:p w14:paraId="2843AD2C" w14:textId="77777777" w:rsidR="00397E4B" w:rsidRDefault="00397E4B" w:rsidP="00397E4B">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47574B93" w14:textId="77777777" w:rsidR="00397E4B" w:rsidRDefault="00397E4B" w:rsidP="00397E4B">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7AFB1107" w14:textId="77777777" w:rsidR="00397E4B" w:rsidRDefault="00397E4B" w:rsidP="00397E4B">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0CC93674" w14:textId="77777777" w:rsidR="00397E4B" w:rsidRDefault="00397E4B" w:rsidP="00397E4B">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X,- Kč za každé vozidlo, které provedlo neoprávněný návoz, který na něj byl naložen zpět. </w:t>
      </w:r>
    </w:p>
    <w:p w14:paraId="1E3AABD4" w14:textId="77777777" w:rsidR="00397E4B" w:rsidRDefault="00397E4B" w:rsidP="00397E4B">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4BDE9385" w14:textId="77777777" w:rsidR="00397E4B" w:rsidRDefault="00397E4B" w:rsidP="00397E4B">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34CE354D" w14:textId="77777777" w:rsidR="00397E4B" w:rsidRDefault="00397E4B" w:rsidP="00397E4B">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65DF9899" w14:textId="77777777" w:rsidR="00397E4B" w:rsidRDefault="00397E4B" w:rsidP="00397E4B">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4DEE0650" w14:textId="77777777" w:rsidR="00397E4B" w:rsidRDefault="00397E4B" w:rsidP="00397E4B">
      <w:pPr>
        <w:pStyle w:val="Nadpis3"/>
        <w:rPr>
          <w:sz w:val="22"/>
        </w:rPr>
      </w:pPr>
    </w:p>
    <w:p w14:paraId="3F751802" w14:textId="77777777" w:rsidR="00397E4B" w:rsidRDefault="00397E4B" w:rsidP="00397E4B">
      <w:pPr>
        <w:pStyle w:val="Nadpis3"/>
        <w:rPr>
          <w:sz w:val="22"/>
        </w:rPr>
      </w:pPr>
      <w:r>
        <w:rPr>
          <w:sz w:val="22"/>
        </w:rPr>
        <w:t>Článek 12</w:t>
      </w:r>
    </w:p>
    <w:p w14:paraId="0A26E29E" w14:textId="77777777" w:rsidR="00397E4B" w:rsidRDefault="00397E4B" w:rsidP="00397E4B">
      <w:pPr>
        <w:pStyle w:val="Nadpis3"/>
        <w:rPr>
          <w:sz w:val="22"/>
        </w:rPr>
      </w:pPr>
      <w:r>
        <w:rPr>
          <w:sz w:val="22"/>
        </w:rPr>
        <w:t>Závěrečná ustanovení</w:t>
      </w:r>
    </w:p>
    <w:p w14:paraId="10D06B5E"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26B3AFD2" w14:textId="77777777" w:rsidR="00397E4B" w:rsidRDefault="00397E4B" w:rsidP="00397E4B">
      <w:pPr>
        <w:pStyle w:val="Standardnte"/>
        <w:numPr>
          <w:ilvl w:val="1"/>
          <w:numId w:val="40"/>
        </w:numPr>
        <w:spacing w:before="120" w:after="120"/>
        <w:ind w:left="567" w:hanging="567"/>
        <w:jc w:val="both"/>
        <w:rPr>
          <w:color w:val="auto"/>
          <w:sz w:val="22"/>
        </w:rPr>
      </w:pPr>
      <w:r>
        <w:rPr>
          <w:sz w:val="22"/>
        </w:rPr>
        <w:lastRenderedPageBreak/>
        <w:t xml:space="preserve">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566CC761" w14:textId="77777777" w:rsidR="00397E4B" w:rsidRDefault="00397E4B" w:rsidP="00397E4B">
      <w:pPr>
        <w:pStyle w:val="Standardnte"/>
        <w:numPr>
          <w:ilvl w:val="0"/>
          <w:numId w:val="41"/>
        </w:numPr>
        <w:spacing w:before="120" w:after="120"/>
        <w:jc w:val="both"/>
        <w:rPr>
          <w:color w:val="auto"/>
          <w:sz w:val="22"/>
        </w:rPr>
      </w:pPr>
      <w:r>
        <w:rPr>
          <w:b/>
          <w:sz w:val="22"/>
        </w:rPr>
        <w:t>XXXXX XXXXX XXXX XXXXXXXXXX XX XXXXX XXXXX XXXXX XXXXX XXXX XX XXXXXX XXX XX XX XXX XXXXXXXX XXXXXX XX XXXXXXXXXXXX XXX XXXX;</w:t>
      </w:r>
      <w:r>
        <w:rPr>
          <w:sz w:val="22"/>
        </w:rPr>
        <w:t xml:space="preserve"> </w:t>
      </w:r>
    </w:p>
    <w:p w14:paraId="2629C801" w14:textId="77777777" w:rsidR="00397E4B" w:rsidRDefault="00397E4B" w:rsidP="00397E4B">
      <w:pPr>
        <w:pStyle w:val="Standardnte"/>
        <w:numPr>
          <w:ilvl w:val="0"/>
          <w:numId w:val="41"/>
        </w:numPr>
        <w:spacing w:before="120" w:after="120"/>
        <w:jc w:val="both"/>
        <w:rPr>
          <w:color w:val="auto"/>
          <w:sz w:val="22"/>
        </w:rPr>
      </w:pPr>
      <w:r>
        <w:rPr>
          <w:b/>
          <w:color w:val="auto"/>
          <w:sz w:val="22"/>
        </w:rPr>
        <w:t>XXX XX XXXXXX XXXXX XXXXX XXX XXXXX XX X XXXX XXXX XXX XXX XXXXXXX XXX XXXX XXX XXX;</w:t>
      </w:r>
    </w:p>
    <w:p w14:paraId="2BEA9A31" w14:textId="77777777" w:rsidR="00397E4B" w:rsidRDefault="00397E4B" w:rsidP="00397E4B">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622A1CBF"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049DA827"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2F488EB3"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0D973B27"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7DC4FDA3"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09435872"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77A4B533"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04C850AE" w14:textId="77777777" w:rsidR="00397E4B" w:rsidRDefault="00397E4B" w:rsidP="00397E4B">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5E5FA31" w14:textId="1F5E7E1F" w:rsidR="00E92213" w:rsidRPr="00A501E5" w:rsidRDefault="00E92213" w:rsidP="003B10A9">
      <w:pPr>
        <w:spacing w:before="120" w:after="120"/>
        <w:ind w:left="1066"/>
        <w:rPr>
          <w:sz w:val="20"/>
          <w:szCs w:val="20"/>
        </w:rPr>
      </w:pPr>
    </w:p>
    <w:p w14:paraId="7811028F" w14:textId="77777777" w:rsidR="001551EF" w:rsidRDefault="001551EF" w:rsidP="001551EF">
      <w:pPr>
        <w:spacing w:before="120" w:after="120"/>
        <w:rPr>
          <w:sz w:val="22"/>
          <w:szCs w:val="22"/>
        </w:rPr>
      </w:pPr>
      <w:r>
        <w:rPr>
          <w:sz w:val="22"/>
          <w:szCs w:val="22"/>
        </w:rPr>
        <w:t xml:space="preserve">Seznam příloh: </w:t>
      </w:r>
    </w:p>
    <w:p w14:paraId="3F9C0E27" w14:textId="77777777" w:rsidR="001551EF" w:rsidRDefault="001551EF" w:rsidP="001551EF">
      <w:pPr>
        <w:numPr>
          <w:ilvl w:val="0"/>
          <w:numId w:val="42"/>
        </w:numPr>
        <w:spacing w:before="120" w:after="120"/>
        <w:ind w:left="1066" w:hanging="357"/>
        <w:rPr>
          <w:sz w:val="20"/>
          <w:szCs w:val="20"/>
        </w:rPr>
      </w:pPr>
      <w:r>
        <w:rPr>
          <w:sz w:val="20"/>
          <w:szCs w:val="20"/>
        </w:rPr>
        <w:t>Formulář dle čl. II vyhlášky č. 83/2016 Sb.</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g. Daniel Smrček" w:date="2021-01-05T14:33:00Z" w:initials="IDS">
    <w:p w14:paraId="13CBCD19" w14:textId="77777777" w:rsidR="00397E4B" w:rsidRDefault="00397E4B" w:rsidP="00397E4B">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0C88002B" w14:textId="77777777" w:rsidR="00397E4B" w:rsidRDefault="00397E4B" w:rsidP="00397E4B">
      <w:pPr>
        <w:pStyle w:val="Textkomente"/>
      </w:pPr>
      <w:r>
        <w:rPr>
          <w:rStyle w:val="Odkaznakoment"/>
        </w:rPr>
        <w:annotationRef/>
      </w:r>
      <w:r>
        <w:t xml:space="preserve">Dle textu příkladu se po dobu návozů platí cena 252,- Kč (sleva A4). </w:t>
      </w:r>
    </w:p>
    <w:p w14:paraId="587B1B0E" w14:textId="77777777" w:rsidR="00397E4B" w:rsidRDefault="00397E4B" w:rsidP="00397E4B">
      <w:pPr>
        <w:pStyle w:val="Textkomente"/>
      </w:pPr>
      <w:r>
        <w:t>Na konci je zjištěno, že má nárok jen na slevu A3, kdy jednotková cena činí 281,- Kč.</w:t>
      </w:r>
    </w:p>
    <w:p w14:paraId="05C9D316" w14:textId="77777777" w:rsidR="00397E4B" w:rsidRDefault="00397E4B" w:rsidP="00397E4B">
      <w:pPr>
        <w:pStyle w:val="Textkomente"/>
      </w:pPr>
      <w:r>
        <w:t xml:space="preserve">Vyúčtován tak by měl být jen rozdíl mezi těmito cenami, tj. 29,- Kč x odpad navezený za celou dobu (2.000 v tomto případě), tj. celkem 58.000,- Kč. </w:t>
      </w:r>
    </w:p>
    <w:p w14:paraId="2AB3B528" w14:textId="77777777" w:rsidR="00397E4B" w:rsidRDefault="00397E4B" w:rsidP="00397E4B">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CBCD19" w15:done="0"/>
  <w15:commentEx w15:paraId="2AB3B528" w15:paraIdParent="13CBC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723" w16cex:dateUtc="2021-02-04T08:04:00Z"/>
  <w16cex:commentExtensible w16cex:durableId="23C63724" w16cex:dateUtc="2021-02-04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CBCD19" w16cid:durableId="23C63723"/>
  <w16cid:commentId w16cid:paraId="2AB3B528" w16cid:durableId="23C637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F48E2"/>
    <w:rsid w:val="001015A6"/>
    <w:rsid w:val="00102666"/>
    <w:rsid w:val="0010389D"/>
    <w:rsid w:val="001236F9"/>
    <w:rsid w:val="00133402"/>
    <w:rsid w:val="001551EF"/>
    <w:rsid w:val="001623B7"/>
    <w:rsid w:val="00163852"/>
    <w:rsid w:val="001855C1"/>
    <w:rsid w:val="00192253"/>
    <w:rsid w:val="00194A0D"/>
    <w:rsid w:val="001A2BFE"/>
    <w:rsid w:val="001B422C"/>
    <w:rsid w:val="001D412C"/>
    <w:rsid w:val="001D654C"/>
    <w:rsid w:val="001F7862"/>
    <w:rsid w:val="00202A52"/>
    <w:rsid w:val="00212759"/>
    <w:rsid w:val="00222B1B"/>
    <w:rsid w:val="00246900"/>
    <w:rsid w:val="00246E40"/>
    <w:rsid w:val="0028350F"/>
    <w:rsid w:val="00284549"/>
    <w:rsid w:val="00292102"/>
    <w:rsid w:val="00293504"/>
    <w:rsid w:val="002B45FE"/>
    <w:rsid w:val="002C08AD"/>
    <w:rsid w:val="002C3825"/>
    <w:rsid w:val="002D4984"/>
    <w:rsid w:val="00323648"/>
    <w:rsid w:val="00333545"/>
    <w:rsid w:val="00337DB6"/>
    <w:rsid w:val="003442D5"/>
    <w:rsid w:val="0036548C"/>
    <w:rsid w:val="00397E4B"/>
    <w:rsid w:val="003B10A9"/>
    <w:rsid w:val="003B18D9"/>
    <w:rsid w:val="003B40EC"/>
    <w:rsid w:val="003C13C8"/>
    <w:rsid w:val="003C5066"/>
    <w:rsid w:val="003D0711"/>
    <w:rsid w:val="003E5A01"/>
    <w:rsid w:val="003F30B9"/>
    <w:rsid w:val="003F53AC"/>
    <w:rsid w:val="003F685C"/>
    <w:rsid w:val="004127DB"/>
    <w:rsid w:val="004174F8"/>
    <w:rsid w:val="00433E6E"/>
    <w:rsid w:val="00452D82"/>
    <w:rsid w:val="0045367A"/>
    <w:rsid w:val="00464EF6"/>
    <w:rsid w:val="00471627"/>
    <w:rsid w:val="00472EDF"/>
    <w:rsid w:val="00480D07"/>
    <w:rsid w:val="004B7A1C"/>
    <w:rsid w:val="004C3033"/>
    <w:rsid w:val="004E588A"/>
    <w:rsid w:val="004F5DA6"/>
    <w:rsid w:val="004F748C"/>
    <w:rsid w:val="00501834"/>
    <w:rsid w:val="005018A3"/>
    <w:rsid w:val="00504B79"/>
    <w:rsid w:val="00517A0B"/>
    <w:rsid w:val="00523123"/>
    <w:rsid w:val="0052396C"/>
    <w:rsid w:val="005240D1"/>
    <w:rsid w:val="0053213D"/>
    <w:rsid w:val="00537AEA"/>
    <w:rsid w:val="005676AC"/>
    <w:rsid w:val="00592D31"/>
    <w:rsid w:val="00596704"/>
    <w:rsid w:val="005A13AF"/>
    <w:rsid w:val="005B51A9"/>
    <w:rsid w:val="005D3198"/>
    <w:rsid w:val="005D39AC"/>
    <w:rsid w:val="005D7FDE"/>
    <w:rsid w:val="005F3610"/>
    <w:rsid w:val="0060171D"/>
    <w:rsid w:val="00601C70"/>
    <w:rsid w:val="00620069"/>
    <w:rsid w:val="00632489"/>
    <w:rsid w:val="00653682"/>
    <w:rsid w:val="00697357"/>
    <w:rsid w:val="00697CBB"/>
    <w:rsid w:val="006A67A8"/>
    <w:rsid w:val="006C4FB5"/>
    <w:rsid w:val="006E3F69"/>
    <w:rsid w:val="006E3F99"/>
    <w:rsid w:val="00733F2D"/>
    <w:rsid w:val="0073635F"/>
    <w:rsid w:val="00741B53"/>
    <w:rsid w:val="00744F47"/>
    <w:rsid w:val="00745330"/>
    <w:rsid w:val="007610E3"/>
    <w:rsid w:val="00767EAC"/>
    <w:rsid w:val="00786483"/>
    <w:rsid w:val="0079335F"/>
    <w:rsid w:val="007C50DA"/>
    <w:rsid w:val="007F0170"/>
    <w:rsid w:val="007F3AC5"/>
    <w:rsid w:val="007F57EF"/>
    <w:rsid w:val="007F7797"/>
    <w:rsid w:val="00831C80"/>
    <w:rsid w:val="00832530"/>
    <w:rsid w:val="008774A3"/>
    <w:rsid w:val="00895989"/>
    <w:rsid w:val="008A416B"/>
    <w:rsid w:val="008B15CF"/>
    <w:rsid w:val="008D11EF"/>
    <w:rsid w:val="008E794C"/>
    <w:rsid w:val="008F7196"/>
    <w:rsid w:val="00915478"/>
    <w:rsid w:val="00920A16"/>
    <w:rsid w:val="009528CC"/>
    <w:rsid w:val="00965739"/>
    <w:rsid w:val="00971643"/>
    <w:rsid w:val="009833C2"/>
    <w:rsid w:val="00996C65"/>
    <w:rsid w:val="009A2B89"/>
    <w:rsid w:val="009A2D8E"/>
    <w:rsid w:val="009A6FD7"/>
    <w:rsid w:val="009B10D9"/>
    <w:rsid w:val="009C2FF5"/>
    <w:rsid w:val="009D0397"/>
    <w:rsid w:val="009D3C4C"/>
    <w:rsid w:val="009D7756"/>
    <w:rsid w:val="009F31B5"/>
    <w:rsid w:val="00A164CF"/>
    <w:rsid w:val="00A501E5"/>
    <w:rsid w:val="00A62113"/>
    <w:rsid w:val="00A83907"/>
    <w:rsid w:val="00A87400"/>
    <w:rsid w:val="00A9437D"/>
    <w:rsid w:val="00A96336"/>
    <w:rsid w:val="00AA1233"/>
    <w:rsid w:val="00AA72D9"/>
    <w:rsid w:val="00AB6C20"/>
    <w:rsid w:val="00AE3F30"/>
    <w:rsid w:val="00AF5672"/>
    <w:rsid w:val="00B24ACB"/>
    <w:rsid w:val="00B71908"/>
    <w:rsid w:val="00B81816"/>
    <w:rsid w:val="00BB7361"/>
    <w:rsid w:val="00BE5727"/>
    <w:rsid w:val="00C26769"/>
    <w:rsid w:val="00C3140B"/>
    <w:rsid w:val="00C52559"/>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0A2C"/>
    <w:rsid w:val="00D27519"/>
    <w:rsid w:val="00D4010E"/>
    <w:rsid w:val="00D41DDD"/>
    <w:rsid w:val="00D54FD2"/>
    <w:rsid w:val="00D636D1"/>
    <w:rsid w:val="00D8759E"/>
    <w:rsid w:val="00D913B5"/>
    <w:rsid w:val="00DA009E"/>
    <w:rsid w:val="00DC129C"/>
    <w:rsid w:val="00DC2B49"/>
    <w:rsid w:val="00DE5ADA"/>
    <w:rsid w:val="00E413B3"/>
    <w:rsid w:val="00E7494A"/>
    <w:rsid w:val="00E80B1E"/>
    <w:rsid w:val="00E87D3D"/>
    <w:rsid w:val="00E92213"/>
    <w:rsid w:val="00EB3213"/>
    <w:rsid w:val="00EC7736"/>
    <w:rsid w:val="00F05189"/>
    <w:rsid w:val="00F0604E"/>
    <w:rsid w:val="00F21C55"/>
    <w:rsid w:val="00F23830"/>
    <w:rsid w:val="00F24007"/>
    <w:rsid w:val="00F325D0"/>
    <w:rsid w:val="00F373C1"/>
    <w:rsid w:val="00F65B71"/>
    <w:rsid w:val="00F67E5A"/>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528173">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 w:id="19988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9464</Words>
  <Characters>55840</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4</cp:revision>
  <cp:lastPrinted>2020-07-03T08:07:00Z</cp:lastPrinted>
  <dcterms:created xsi:type="dcterms:W3CDTF">2021-02-02T10:22:00Z</dcterms:created>
  <dcterms:modified xsi:type="dcterms:W3CDTF">2021-02-04T10:18:00Z</dcterms:modified>
</cp:coreProperties>
</file>