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recertifikačního auditu ČSN EN ISO 9001:2016</w:t>
      </w:r>
      <w:bookmarkEnd w:id="0"/>
      <w:bookmarkEnd w:id="1"/>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w:t>
      </w:r>
    </w:p>
    <w:p>
      <w:pPr>
        <w:pStyle w:val="Style7"/>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Smluvní strany</w:t>
      </w:r>
      <w:bookmarkEnd w:id="2"/>
      <w:bookmarkEnd w:id="3"/>
    </w:p>
    <w:tbl>
      <w:tblPr>
        <w:tblOverlap w:val="never"/>
        <w:jc w:val="left"/>
        <w:tblLayout w:type="fixed"/>
      </w:tblPr>
      <w:tblGrid>
        <w:gridCol w:w="1819"/>
        <w:gridCol w:w="5323"/>
      </w:tblGrid>
      <w:tr>
        <w:trPr>
          <w:trHeight w:val="21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46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11"/>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Ing. Radovanem Necidem, ředitelem organizace Komerční banka, a.s.</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left"/>
        <w:tblLayout w:type="fixed"/>
      </w:tblPr>
      <w:tblGrid>
        <w:gridCol w:w="1819"/>
        <w:gridCol w:w="5318"/>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p>
      <w:pPr>
        <w:widowControl w:val="0"/>
        <w:spacing w:line="1" w:lineRule="exact"/>
      </w:pPr>
    </w:p>
    <w:tbl>
      <w:tblPr>
        <w:tblOverlap w:val="never"/>
        <w:jc w:val="left"/>
        <w:tblLayout w:type="fixed"/>
      </w:tblPr>
      <w:tblGrid>
        <w:gridCol w:w="1819"/>
        <w:gridCol w:w="5318"/>
      </w:tblGrid>
      <w:tr>
        <w:trPr>
          <w:trHeight w:val="571" w:hRule="exact"/>
        </w:trPr>
        <w:tc>
          <w:tcPr>
            <w:tcBorders/>
            <w:shd w:val="clear" w:color="auto" w:fill="FFFFFF"/>
            <w:vAlign w:val="bottom"/>
          </w:tcPr>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421/74, Praha 9, Prosek</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zastoupená: předsedou sdružení zapsána v obchodním rejstříku u Městského soudu v Praze, sp. zn. L 58728 Osoby pověřené jednat jménem auditní společnosti ve věcech</w:t>
      </w:r>
    </w:p>
    <w:p>
      <w:pPr>
        <w:widowControl w:val="0"/>
        <w:spacing w:line="1" w:lineRule="exact"/>
      </w:pPr>
    </w:p>
    <w:tbl>
      <w:tblPr>
        <w:tblOverlap w:val="never"/>
        <w:jc w:val="left"/>
        <w:tblLayout w:type="fixed"/>
      </w:tblPr>
      <w:tblGrid>
        <w:gridCol w:w="1819"/>
        <w:gridCol w:w="5318"/>
      </w:tblGrid>
      <w:tr>
        <w:trPr>
          <w:trHeight w:val="211"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smluvních:</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 výkonná ředitelka</w:t>
            </w:r>
          </w:p>
        </w:tc>
      </w:tr>
      <w:tr>
        <w:trPr>
          <w:trHeight w:val="20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p>
      <w:pPr>
        <w:widowControl w:val="0"/>
        <w:spacing w:after="419" w:line="1" w:lineRule="exact"/>
      </w:pP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w:t>
      </w:r>
    </w:p>
    <w:p>
      <w:pPr>
        <w:pStyle w:val="Style7"/>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Předmět smlouvy</w:t>
      </w:r>
      <w:bookmarkEnd w:id="4"/>
      <w:bookmarkEnd w:id="5"/>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recertifikační audit ČSN EN ISO 9001:2016, jejímž předmětem je Správa a údržba silnic včetně provádění souvisejících staveb a odstraňování a poskytování technických služeb dle normy ČSN EN ISO 9001 (QMS).</w:t>
      </w:r>
    </w:p>
    <w:p>
      <w:pPr>
        <w:pStyle w:val="Style2"/>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certifikace v termínu do února roku 2021.</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7"/>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w:t>
      </w:r>
      <w:bookmarkEnd w:id="6"/>
      <w:bookmarkEnd w:id="7"/>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82 000,- Kč bez DPH.</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left"/>
      </w:pPr>
      <w:r>
        <w:rPr>
          <w:color w:val="000000"/>
          <w:spacing w:val="0"/>
          <w:w w:val="100"/>
          <w:position w:val="0"/>
          <w:shd w:val="clear" w:color="auto" w:fill="auto"/>
          <w:lang w:val="cs-CZ" w:eastAsia="cs-CZ" w:bidi="cs-CZ"/>
        </w:rPr>
        <w:t>Auditor prohlašuje, že v ceně za předmět smlouvy je zahrnuto:</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dokumentace + audity</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Vypracování zpráv z auditu</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Přezkoumání zpráv z auditu a rozhodnutí o certifikaci</w:t>
      </w:r>
    </w:p>
    <w:p>
      <w:pPr>
        <w:pStyle w:val="Style2"/>
        <w:keepNext w:val="0"/>
        <w:keepLines w:val="0"/>
        <w:widowControl w:val="0"/>
        <w:numPr>
          <w:ilvl w:val="0"/>
          <w:numId w:val="5"/>
        </w:numPr>
        <w:shd w:val="clear" w:color="auto" w:fill="auto"/>
        <w:tabs>
          <w:tab w:pos="1100" w:val="left"/>
        </w:tabs>
        <w:bidi w:val="0"/>
        <w:spacing w:before="0" w:after="0" w:line="240" w:lineRule="auto"/>
        <w:ind w:left="0" w:right="0" w:firstLine="740"/>
        <w:jc w:val="both"/>
      </w:pPr>
      <w:r>
        <w:rPr>
          <w:color w:val="000000"/>
          <w:spacing w:val="0"/>
          <w:w w:val="100"/>
          <w:position w:val="0"/>
          <w:shd w:val="clear" w:color="auto" w:fill="auto"/>
          <w:lang w:val="cs-CZ" w:eastAsia="cs-CZ" w:bidi="cs-CZ"/>
        </w:rPr>
        <w:t>Náklady spojené s vydáním certifikátu</w:t>
      </w:r>
    </w:p>
    <w:p>
      <w:pPr>
        <w:pStyle w:val="Style2"/>
        <w:keepNext w:val="0"/>
        <w:keepLines w:val="0"/>
        <w:widowControl w:val="0"/>
        <w:numPr>
          <w:ilvl w:val="0"/>
          <w:numId w:val="5"/>
        </w:numPr>
        <w:shd w:val="clear" w:color="auto" w:fill="auto"/>
        <w:tabs>
          <w:tab w:pos="1100" w:val="left"/>
        </w:tabs>
        <w:bidi w:val="0"/>
        <w:spacing w:before="0" w:after="420" w:line="240" w:lineRule="auto"/>
        <w:ind w:left="0" w:right="0" w:firstLine="740"/>
        <w:jc w:val="both"/>
      </w:pPr>
      <w:r>
        <w:rPr>
          <w:color w:val="000000"/>
          <w:spacing w:val="0"/>
          <w:w w:val="100"/>
          <w:position w:val="0"/>
          <w:shd w:val="clear" w:color="auto" w:fill="auto"/>
          <w:lang w:val="cs-CZ" w:eastAsia="cs-CZ" w:bidi="cs-CZ"/>
        </w:rPr>
        <w:t>Doprava a ubytování zaměstnanců auditora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7"/>
        <w:keepNext/>
        <w:keepLines/>
        <w:widowControl w:val="0"/>
        <w:shd w:val="clear" w:color="auto" w:fill="auto"/>
        <w:bidi w:val="0"/>
        <w:spacing w:before="0" w:line="240" w:lineRule="auto"/>
        <w:ind w:left="0" w:right="0" w:firstLine="0"/>
        <w:jc w:val="center"/>
      </w:pPr>
      <w:bookmarkStart w:id="8" w:name="bookmark8"/>
      <w:bookmarkStart w:id="9" w:name="bookmark9"/>
      <w:r>
        <w:rPr>
          <w:color w:val="000000"/>
          <w:spacing w:val="0"/>
          <w:w w:val="100"/>
          <w:position w:val="0"/>
          <w:shd w:val="clear" w:color="auto" w:fill="auto"/>
          <w:lang w:val="cs-CZ" w:eastAsia="cs-CZ" w:bidi="cs-CZ"/>
        </w:rPr>
        <w:t>Povinnosti objednatele</w:t>
      </w:r>
      <w:bookmarkEnd w:id="8"/>
      <w:bookmarkEnd w:id="9"/>
    </w:p>
    <w:p>
      <w:pPr>
        <w:pStyle w:val="Style2"/>
        <w:keepNext w:val="0"/>
        <w:keepLines w:val="0"/>
        <w:widowControl w:val="0"/>
        <w:shd w:val="clear" w:color="auto" w:fill="auto"/>
        <w:bidi w:val="0"/>
        <w:spacing w:before="0" w:line="240" w:lineRule="auto"/>
        <w:ind w:left="380" w:right="0" w:hanging="380"/>
        <w:jc w:val="left"/>
      </w:pPr>
      <w:r>
        <w:rPr>
          <w:color w:val="000000"/>
          <w:spacing w:val="0"/>
          <w:w w:val="100"/>
          <w:position w:val="0"/>
          <w:shd w:val="clear" w:color="auto" w:fill="auto"/>
          <w:lang w:val="cs-CZ" w:eastAsia="cs-CZ" w:bidi="cs-CZ"/>
        </w:rPr>
        <w:t>1) Objednatel se zavazuje ve sjednaném termínu umožnit auditorovi zahájení certifikačního auditu a poskytnout mu potřebnou součinnost.</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2"/>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7"/>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Závěrečná ustanovení</w:t>
      </w:r>
      <w:bookmarkEnd w:id="10"/>
      <w:bookmarkEnd w:id="11"/>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Tato smlouva je vyhotovena v elektronické podobě, přičemž obě smluvní strany obdrží její elektronický originál.</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Smlouva je platná dnem připojení platného uznávaného elektronického podpisu dle zákona č. 297/2016 Sb., o službách vytvářejících důvěru pro elektronické transakce, ve znění pozdějších předpisů, do této smlouvy.</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left"/>
      </w:pPr>
      <w:r>
        <w:rPr>
          <w:color w:val="000000"/>
          <w:spacing w:val="0"/>
          <w:w w:val="100"/>
          <w:position w:val="0"/>
          <w:shd w:val="clear" w:color="auto" w:fill="auto"/>
          <w:lang w:val="cs-CZ" w:eastAsia="cs-CZ" w:bidi="cs-CZ"/>
        </w:rPr>
        <w:t>Tato smlouva nabývá účinnosti dnem uveřejnění v informačním systému veřejné správy - Registru smluv.</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Smluvní strany prohlašují, že skutečnosti uvedené v této smlouvě nepovažují za obchodní tajemství a udělují svolení k jejich zpřístupnění ve smyslu zák. č. 106/1999 Sb. a zveřejnění bez stanovení jakýchkoliv dalších podmínek.</w:t>
      </w:r>
    </w:p>
    <w:p>
      <w:pPr>
        <w:pStyle w:val="Style2"/>
        <w:keepNext w:val="0"/>
        <w:keepLines w:val="0"/>
        <w:widowControl w:val="0"/>
        <w:numPr>
          <w:ilvl w:val="0"/>
          <w:numId w:val="1"/>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Smluvní vztahy neupravené v této smlouvě se řídí občanským zákoníkem.</w:t>
      </w:r>
      <w:r>
        <w:br w:type="page"/>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DPH, v platném znění.</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2"/>
        <w:keepNext w:val="0"/>
        <w:keepLines w:val="0"/>
        <w:widowControl w:val="0"/>
        <w:numPr>
          <w:ilvl w:val="0"/>
          <w:numId w:val="1"/>
        </w:numPr>
        <w:shd w:val="clear" w:color="auto" w:fill="auto"/>
        <w:tabs>
          <w:tab w:pos="619" w:val="left"/>
        </w:tabs>
        <w:bidi w:val="0"/>
        <w:spacing w:before="0" w:after="440" w:line="240" w:lineRule="auto"/>
        <w:ind w:left="58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Příloha:</w:t>
      </w:r>
    </w:p>
    <w:p>
      <w:pPr>
        <w:pStyle w:val="Style2"/>
        <w:keepNext w:val="0"/>
        <w:keepLines w:val="0"/>
        <w:widowControl w:val="0"/>
        <w:shd w:val="clear" w:color="auto" w:fill="auto"/>
        <w:bidi w:val="0"/>
        <w:spacing w:before="0" w:after="660" w:line="240" w:lineRule="auto"/>
        <w:ind w:left="0" w:right="0" w:firstLine="0"/>
        <w:jc w:val="both"/>
      </w:pPr>
      <w:r>
        <w:rPr>
          <w:color w:val="000000"/>
          <w:spacing w:val="0"/>
          <w:w w:val="100"/>
          <w:position w:val="0"/>
          <w:shd w:val="clear" w:color="auto" w:fill="auto"/>
          <w:lang w:val="cs-CZ" w:eastAsia="cs-CZ" w:bidi="cs-CZ"/>
        </w:rPr>
        <w:t>Cenová nabídka na recertifikační audit ČSN EN ISO 9001:2016, ČSN EN ISO 14001:2016 a ČSN EN ISO 45001:2018</w:t>
      </w:r>
    </w:p>
    <w:p>
      <w:pPr>
        <w:pStyle w:val="Style2"/>
        <w:keepNext w:val="0"/>
        <w:keepLines w:val="0"/>
        <w:widowControl w:val="0"/>
        <w:shd w:val="clear" w:color="auto" w:fill="auto"/>
        <w:bidi w:val="0"/>
        <w:spacing w:before="0" w:after="0" w:line="240" w:lineRule="auto"/>
        <w:ind w:left="4100" w:right="0" w:firstLine="0"/>
        <w:jc w:val="both"/>
        <w:sectPr>
          <w:footnotePr>
            <w:pos w:val="pageBottom"/>
            <w:numFmt w:val="decimal"/>
            <w:numRestart w:val="continuous"/>
          </w:footnotePr>
          <w:pgSz w:w="11900" w:h="16840"/>
          <w:pgMar w:top="1388" w:left="1449" w:right="1312" w:bottom="1226" w:header="960" w:footer="798"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920115</wp:posOffset>
                </wp:positionH>
                <wp:positionV relativeFrom="paragraph">
                  <wp:posOffset>12700</wp:posOffset>
                </wp:positionV>
                <wp:extent cx="435610" cy="155575"/>
                <wp:wrapSquare wrapText="bothSides"/>
                <wp:docPr id="1" name="Shape 1"/>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450000000000003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105" w:lineRule="exact"/>
        <w:rPr>
          <w:sz w:val="8"/>
          <w:szCs w:val="8"/>
        </w:rPr>
      </w:pPr>
    </w:p>
    <w:p>
      <w:pPr>
        <w:widowControl w:val="0"/>
        <w:spacing w:line="1" w:lineRule="exact"/>
        <w:sectPr>
          <w:footnotePr>
            <w:pos w:val="pageBottom"/>
            <w:numFmt w:val="decimal"/>
            <w:numRestart w:val="continuous"/>
          </w:footnotePr>
          <w:type w:val="continuous"/>
          <w:pgSz w:w="11900" w:h="16840"/>
          <w:pgMar w:top="1623" w:left="0" w:right="0" w:bottom="3535" w:header="0" w:footer="3" w:gutter="0"/>
          <w:cols w:space="720"/>
          <w:noEndnote/>
          <w:rtlGutter w:val="0"/>
          <w:docGrid w:linePitch="360"/>
        </w:sectPr>
      </w:pPr>
    </w:p>
    <w:p>
      <w:pPr>
        <w:pStyle w:val="Style2"/>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2"/>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623" w:left="1383" w:right="2914" w:bottom="3535"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6" w:after="8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23" w:left="0" w:right="0" w:bottom="162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920115</wp:posOffset>
                </wp:positionH>
                <wp:positionV relativeFrom="paragraph">
                  <wp:posOffset>137160</wp:posOffset>
                </wp:positionV>
                <wp:extent cx="932815" cy="161290"/>
                <wp:wrapSquare wrapText="bothSides"/>
                <wp:docPr id="3" name="Shape 3"/>
                <a:graphic xmlns:a="http://schemas.openxmlformats.org/drawingml/2006/main">
                  <a:graphicData uri="http://schemas.microsoft.com/office/word/2010/wordprocessingShape">
                    <wps:wsp>
                      <wps:cNvSpPr txBox="1"/>
                      <wps:spPr>
                        <a:xfrm>
                          <a:ext cx="932815" cy="1612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výkonná ředitelka</w:t>
                            </w:r>
                          </w:p>
                        </w:txbxContent>
                      </wps:txbx>
                      <wps:bodyPr wrap="none" lIns="0" tIns="0" rIns="0" bIns="0">
                        <a:noAutoFit/>
                      </wps:bodyPr>
                    </wps:wsp>
                  </a:graphicData>
                </a:graphic>
              </wp:anchor>
            </w:drawing>
          </mc:Choice>
          <mc:Fallback>
            <w:pict>
              <v:shape id="_x0000_s1029" type="#_x0000_t202" style="position:absolute;margin-left:72.450000000000003pt;margin-top:10.800000000000001pt;width:73.450000000000003pt;height:12.699999999999999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výkonná ředitelka</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3460" w:right="0" w:firstLine="0"/>
        <w:jc w:val="left"/>
        <w:sectPr>
          <w:footnotePr>
            <w:pos w:val="pageBottom"/>
            <w:numFmt w:val="decimal"/>
            <w:numRestart w:val="continuous"/>
          </w:footnotePr>
          <w:type w:val="continuous"/>
          <w:pgSz w:w="11900" w:h="16840"/>
          <w:pgMar w:top="1623" w:left="2852" w:right="1378" w:bottom="1623"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w:t>
      </w:r>
    </w:p>
    <w:p>
      <w:pPr>
        <w:pStyle w:val="Style2"/>
        <w:keepNext w:val="0"/>
        <w:keepLines w:val="0"/>
        <w:framePr w:w="686" w:h="245" w:wrap="none" w:hAnchor="page" w:x="1383" w:y="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Příloha:</w:t>
      </w:r>
    </w:p>
    <w:p>
      <w:pPr>
        <w:pStyle w:val="Style13"/>
        <w:keepNext w:val="0"/>
        <w:keepLines w:val="0"/>
        <w:framePr w:w="2813" w:h="269" w:wrap="none" w:hAnchor="page" w:x="2074" w:y="13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Těšíme se na další komunikaci</w:t>
      </w:r>
    </w:p>
    <w:p>
      <w:pPr>
        <w:widowControl w:val="0"/>
        <w:spacing w:line="360" w:lineRule="exact"/>
      </w:pPr>
      <w:r>
        <w:drawing>
          <wp:anchor distT="0" distB="0" distL="0" distR="0" simplePos="0" relativeHeight="62914690" behindDoc="1" locked="0" layoutInCell="1" allowOverlap="1">
            <wp:simplePos x="0" y="0"/>
            <wp:positionH relativeFrom="page">
              <wp:posOffset>1093470</wp:posOffset>
            </wp:positionH>
            <wp:positionV relativeFrom="margin">
              <wp:posOffset>311150</wp:posOffset>
            </wp:positionV>
            <wp:extent cx="1054735" cy="42545"/>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1054735" cy="42545"/>
                    </a:xfrm>
                    <a:prstGeom prst="rect"/>
                  </pic:spPr>
                </pic:pic>
              </a:graphicData>
            </a:graphic>
          </wp:anchor>
        </w:drawing>
      </w:r>
      <w:r>
        <w:drawing>
          <wp:anchor distT="0" distB="0" distL="0" distR="0" simplePos="0" relativeHeight="62914691" behindDoc="1" locked="0" layoutInCell="1" allowOverlap="1">
            <wp:simplePos x="0" y="0"/>
            <wp:positionH relativeFrom="page">
              <wp:posOffset>1093470</wp:posOffset>
            </wp:positionH>
            <wp:positionV relativeFrom="margin">
              <wp:posOffset>332105</wp:posOffset>
            </wp:positionV>
            <wp:extent cx="5949950" cy="101219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5949950" cy="1012190"/>
                    </a:xfrm>
                    <a:prstGeom prst="rect"/>
                  </pic:spPr>
                </pic:pic>
              </a:graphicData>
            </a:graphic>
          </wp:anchor>
        </w:drawing>
      </w:r>
      <w:r>
        <w:drawing>
          <wp:anchor distT="0" distB="381000" distL="0" distR="0" simplePos="0" relativeHeight="62914692" behindDoc="1" locked="0" layoutInCell="1" allowOverlap="1">
            <wp:simplePos x="0" y="0"/>
            <wp:positionH relativeFrom="page">
              <wp:posOffset>889635</wp:posOffset>
            </wp:positionH>
            <wp:positionV relativeFrom="margin">
              <wp:posOffset>1728470</wp:posOffset>
            </wp:positionV>
            <wp:extent cx="6187440" cy="6656705"/>
            <wp:wrapNone/>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9"/>
                    <a:stretch/>
                  </pic:blipFill>
                  <pic:spPr>
                    <a:xfrm>
                      <a:ext cx="6187440" cy="665670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4" w:line="1" w:lineRule="exact"/>
      </w:pPr>
    </w:p>
    <w:p>
      <w:pPr>
        <w:widowControl w:val="0"/>
        <w:spacing w:line="1" w:lineRule="exact"/>
        <w:sectPr>
          <w:footnotePr>
            <w:pos w:val="pageBottom"/>
            <w:numFmt w:val="decimal"/>
            <w:numRestart w:val="continuous"/>
          </w:footnotePr>
          <w:pgSz w:w="11900" w:h="16840"/>
          <w:pgMar w:top="1402" w:left="1382" w:right="756" w:bottom="1402" w:header="974" w:footer="974" w:gutter="0"/>
          <w:cols w:space="720"/>
          <w:noEndnote/>
          <w:rtlGutter w:val="0"/>
          <w:docGrid w:linePitch="360"/>
        </w:sectPr>
      </w:pPr>
    </w:p>
    <w:p>
      <w:pPr>
        <w:pStyle w:val="Style15"/>
        <w:keepNext/>
        <w:keepLines/>
        <w:widowControl w:val="0"/>
        <w:shd w:val="clear" w:color="auto" w:fill="auto"/>
        <w:bidi w:val="0"/>
        <w:spacing w:before="0" w:line="240" w:lineRule="auto"/>
        <w:ind w:left="0" w:right="0" w:firstLine="0"/>
        <w:jc w:val="right"/>
      </w:pPr>
      <w:bookmarkStart w:id="12" w:name="bookmark12"/>
      <w:bookmarkStart w:id="13" w:name="bookmark13"/>
      <w:r>
        <w:rPr>
          <w:color w:val="000000"/>
          <w:spacing w:val="0"/>
          <w:w w:val="100"/>
          <w:position w:val="0"/>
          <w:shd w:val="clear" w:color="auto" w:fill="auto"/>
          <w:lang w:val="cs-CZ" w:eastAsia="cs-CZ" w:bidi="cs-CZ"/>
        </w:rPr>
        <w:t>manažer produktu</w:t>
      </w:r>
      <w:bookmarkEnd w:id="12"/>
      <w:bookmarkEnd w:id="13"/>
    </w:p>
    <w:p>
      <w:pPr>
        <w:pStyle w:val="Style17"/>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CQS z.s. je vedeno u Městského soudu v Praze, spisová značka L 58728</w:t>
      </w:r>
    </w:p>
    <w:p>
      <w:pPr>
        <w:pStyle w:val="Style2"/>
        <w:keepNext w:val="0"/>
        <w:keepLines w:val="0"/>
        <w:widowControl w:val="0"/>
        <w:shd w:val="clear" w:color="auto" w:fill="auto"/>
        <w:bidi w:val="0"/>
        <w:spacing w:before="0" w:after="0" w:line="300" w:lineRule="auto"/>
        <w:ind w:left="1200" w:right="0" w:firstLine="0"/>
        <w:jc w:val="left"/>
      </w:pPr>
      <w:r>
        <w:rPr>
          <w:color w:val="000000"/>
          <w:spacing w:val="0"/>
          <w:w w:val="100"/>
          <w:position w:val="0"/>
          <w:shd w:val="clear" w:color="auto" w:fill="auto"/>
          <w:lang w:val="cs-CZ" w:eastAsia="cs-CZ" w:bidi="cs-CZ"/>
        </w:rPr>
        <w:t>IČO: 69346305 DIČ: CZ69346305</w:t>
      </w:r>
    </w:p>
    <w:sectPr>
      <w:footnotePr>
        <w:pos w:val="pageBottom"/>
        <w:numFmt w:val="decimal"/>
        <w:numRestart w:val="continuous"/>
      </w:footnotePr>
      <w:pgSz w:w="11900" w:h="16840"/>
      <w:pgMar w:top="2127" w:left="2343" w:right="3153" w:bottom="2127" w:header="1699" w:footer="1699"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1_"/>
    <w:basedOn w:val="DefaultParagraphFont"/>
    <w:link w:val="Style4"/>
    <w:rPr>
      <w:rFonts w:ascii="Arial" w:eastAsia="Arial" w:hAnsi="Arial" w:cs="Arial"/>
      <w:b/>
      <w:bCs/>
      <w:i w:val="0"/>
      <w:iCs w:val="0"/>
      <w:smallCaps w:val="0"/>
      <w:strike w:val="0"/>
      <w:u w:val="none"/>
    </w:rPr>
  </w:style>
  <w:style w:type="character" w:customStyle="1" w:styleId="CharStyle8">
    <w:name w:val="Nadpis #3_"/>
    <w:basedOn w:val="DefaultParagraphFont"/>
    <w:link w:val="Style7"/>
    <w:rPr>
      <w:rFonts w:ascii="Arial" w:eastAsia="Arial" w:hAnsi="Arial" w:cs="Arial"/>
      <w:b/>
      <w:bCs/>
      <w:i w:val="0"/>
      <w:iCs w:val="0"/>
      <w:smallCaps w:val="0"/>
      <w:strike w:val="0"/>
      <w:sz w:val="18"/>
      <w:szCs w:val="18"/>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4">
    <w:name w:val="Titulek obrázku_"/>
    <w:basedOn w:val="DefaultParagraphFont"/>
    <w:link w:val="Style13"/>
    <w:rPr>
      <w:rFonts w:ascii="Arial" w:eastAsia="Arial" w:hAnsi="Arial" w:cs="Arial"/>
      <w:b w:val="0"/>
      <w:bCs w:val="0"/>
      <w:i w:val="0"/>
      <w:iCs w:val="0"/>
      <w:smallCaps w:val="0"/>
      <w:strike w:val="0"/>
      <w:sz w:val="20"/>
      <w:szCs w:val="20"/>
      <w:u w:val="none"/>
    </w:rPr>
  </w:style>
  <w:style w:type="character" w:customStyle="1" w:styleId="CharStyle16">
    <w:name w:val="Nadpis #2_"/>
    <w:basedOn w:val="DefaultParagraphFont"/>
    <w:link w:val="Style15"/>
    <w:rPr>
      <w:rFonts w:ascii="Arial" w:eastAsia="Arial" w:hAnsi="Arial" w:cs="Arial"/>
      <w:b w:val="0"/>
      <w:bCs w:val="0"/>
      <w:i w:val="0"/>
      <w:iCs w:val="0"/>
      <w:smallCaps w:val="0"/>
      <w:strike w:val="0"/>
      <w:sz w:val="20"/>
      <w:szCs w:val="20"/>
      <w:u w:val="none"/>
    </w:rPr>
  </w:style>
  <w:style w:type="character" w:customStyle="1" w:styleId="CharStyle18">
    <w:name w:val="Základní text (2)_"/>
    <w:basedOn w:val="DefaultParagraphFont"/>
    <w:link w:val="Style17"/>
    <w:rPr>
      <w:rFonts w:ascii="Arial" w:eastAsia="Arial" w:hAnsi="Arial" w:cs="Arial"/>
      <w:b w:val="0"/>
      <w:bCs w:val="0"/>
      <w:i w:val="0"/>
      <w:iCs w:val="0"/>
      <w:smallCaps w:val="0"/>
      <w:strike w:val="0"/>
      <w:sz w:val="16"/>
      <w:szCs w:val="16"/>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Nadpis #1"/>
    <w:basedOn w:val="Normal"/>
    <w:link w:val="CharStyle5"/>
    <w:pPr>
      <w:widowControl w:val="0"/>
      <w:shd w:val="clear" w:color="auto" w:fill="FFFFFF"/>
      <w:spacing w:after="220"/>
      <w:jc w:val="center"/>
      <w:outlineLvl w:val="0"/>
    </w:pPr>
    <w:rPr>
      <w:rFonts w:ascii="Arial" w:eastAsia="Arial" w:hAnsi="Arial" w:cs="Arial"/>
      <w:b/>
      <w:bCs/>
      <w:i w:val="0"/>
      <w:iCs w:val="0"/>
      <w:smallCaps w:val="0"/>
      <w:strike w:val="0"/>
      <w:u w:val="none"/>
    </w:rPr>
  </w:style>
  <w:style w:type="paragraph" w:customStyle="1" w:styleId="Style7">
    <w:name w:val="Nadpis #3"/>
    <w:basedOn w:val="Normal"/>
    <w:link w:val="CharStyle8"/>
    <w:pPr>
      <w:widowControl w:val="0"/>
      <w:shd w:val="clear" w:color="auto" w:fill="FFFFFF"/>
      <w:spacing w:after="220"/>
      <w:jc w:val="center"/>
      <w:outlineLvl w:val="2"/>
    </w:pPr>
    <w:rPr>
      <w:rFonts w:ascii="Arial" w:eastAsia="Arial" w:hAnsi="Arial" w:cs="Arial"/>
      <w:b/>
      <w:bCs/>
      <w:i w:val="0"/>
      <w:iCs w:val="0"/>
      <w:smallCaps w:val="0"/>
      <w:strike w:val="0"/>
      <w:sz w:val="18"/>
      <w:szCs w:val="18"/>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1">
    <w:name w:val="Jiné"/>
    <w:basedOn w:val="Normal"/>
    <w:link w:val="CharStyle12"/>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3">
    <w:name w:val="Titulek obrázku"/>
    <w:basedOn w:val="Normal"/>
    <w:link w:val="CharStyle14"/>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15">
    <w:name w:val="Nadpis #2"/>
    <w:basedOn w:val="Normal"/>
    <w:link w:val="CharStyle16"/>
    <w:pPr>
      <w:widowControl w:val="0"/>
      <w:shd w:val="clear" w:color="auto" w:fill="FFFFFF"/>
      <w:spacing w:after="800"/>
      <w:jc w:val="right"/>
      <w:outlineLvl w:val="1"/>
    </w:pPr>
    <w:rPr>
      <w:rFonts w:ascii="Arial" w:eastAsia="Arial" w:hAnsi="Arial" w:cs="Arial"/>
      <w:b w:val="0"/>
      <w:bCs w:val="0"/>
      <w:i w:val="0"/>
      <w:iCs w:val="0"/>
      <w:smallCaps w:val="0"/>
      <w:strike w:val="0"/>
      <w:sz w:val="20"/>
      <w:szCs w:val="20"/>
      <w:u w:val="none"/>
    </w:rPr>
  </w:style>
  <w:style w:type="paragraph" w:customStyle="1" w:styleId="Style17">
    <w:name w:val="Základní text (2)"/>
    <w:basedOn w:val="Normal"/>
    <w:link w:val="CharStyle18"/>
    <w:pPr>
      <w:widowControl w:val="0"/>
      <w:shd w:val="clear" w:color="auto" w:fill="FFFFFF"/>
      <w:spacing w:line="300" w:lineRule="auto"/>
    </w:pPr>
    <w:rPr>
      <w:rFonts w:ascii="Arial" w:eastAsia="Arial" w:hAnsi="Arial" w:cs="Arial"/>
      <w:b w:val="0"/>
      <w:bCs w:val="0"/>
      <w:i w:val="0"/>
      <w:iCs w:val="0"/>
      <w:smallCaps w:val="0"/>
      <w:strike w:val="0"/>
      <w:sz w:val="16"/>
      <w:szCs w:val="1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
  <dc:subject/>
  <dc:creator>Ondráčková Dita</dc:creator>
  <cp:keywords/>
</cp:coreProperties>
</file>