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53"/>
        <w:gridCol w:w="7406"/>
      </w:tblGrid>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080" w:right="0" w:firstLine="0"/>
              <w:jc w:val="left"/>
              <w:rPr>
                <w:sz w:val="32"/>
                <w:szCs w:val="32"/>
              </w:rPr>
            </w:pPr>
            <w:r>
              <w:rPr>
                <w:b/>
                <w:bCs/>
                <w:color w:val="000000"/>
                <w:spacing w:val="0"/>
                <w:w w:val="100"/>
                <w:position w:val="0"/>
                <w:sz w:val="32"/>
                <w:szCs w:val="32"/>
                <w:shd w:val="clear" w:color="auto" w:fill="auto"/>
                <w:lang w:val="cs-CZ" w:eastAsia="cs-CZ" w:bidi="cs-CZ"/>
              </w:rPr>
              <w:t>S M L O U V A O D Í L O</w:t>
            </w:r>
          </w:p>
        </w:tc>
      </w:tr>
    </w:tbl>
    <w:p>
      <w:pPr>
        <w:widowControl w:val="0"/>
        <w:spacing w:after="279" w:line="1" w:lineRule="exact"/>
      </w:pP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smlouvy objednatele: ZMR-SL-100-2020</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Číslo smlouvy zhotovitele: P081/2020</w:t>
      </w:r>
    </w:p>
    <w:tbl>
      <w:tblPr>
        <w:tblOverlap w:val="never"/>
        <w:jc w:val="center"/>
        <w:tblLayout w:type="fixed"/>
      </w:tblPr>
      <w:tblGrid>
        <w:gridCol w:w="1853"/>
        <w:gridCol w:w="7406"/>
      </w:tblGrid>
      <w:tr>
        <w:trPr>
          <w:trHeight w:val="11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line="240" w:lineRule="auto"/>
              <w:ind w:left="2300" w:right="0" w:firstLine="0"/>
              <w:jc w:val="left"/>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line="240" w:lineRule="auto"/>
              <w:ind w:left="204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line="240" w:lineRule="auto"/>
              <w:ind w:left="0" w:right="0" w:firstLine="2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after="99" w:line="1" w:lineRule="exact"/>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center"/>
        <w:tblLayout w:type="fixed"/>
      </w:tblPr>
      <w:tblGrid>
        <w:gridCol w:w="1853"/>
        <w:gridCol w:w="7406"/>
      </w:tblGrid>
      <w:tr>
        <w:trPr>
          <w:trHeight w:val="3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Ing. Radovan Necid, ředitel organizace</w:t>
            </w:r>
          </w:p>
        </w:tc>
      </w:tr>
      <w:tr>
        <w:trPr>
          <w:trHeight w:val="41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00090450</w:t>
            </w:r>
          </w:p>
        </w:tc>
      </w:tr>
      <w:tr>
        <w:trPr>
          <w:trHeight w:val="40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10"/>
        <w:keepNext w:val="0"/>
        <w:keepLines w:val="0"/>
        <w:widowControl w:val="0"/>
        <w:shd w:val="clear" w:color="auto" w:fill="auto"/>
        <w:bidi w:val="0"/>
        <w:spacing w:before="0" w:after="0" w:line="338" w:lineRule="auto"/>
        <w:ind w:left="0" w:right="0" w:firstLine="0"/>
        <w:jc w:val="both"/>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853"/>
        <w:gridCol w:w="7406"/>
      </w:tblGrid>
      <w:tr>
        <w:trPr>
          <w:trHeight w:val="3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Projekční kancelář PRIS spol. s r.o.</w:t>
            </w:r>
          </w:p>
        </w:tc>
      </w:tr>
      <w:tr>
        <w:trPr>
          <w:trHeight w:val="40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Osová 20, 625 00 Brno</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Ing. Martinem Řehulkou, jednatelem spol.</w:t>
            </w:r>
          </w:p>
        </w:tc>
      </w:tr>
    </w:tbl>
    <w:p>
      <w:pPr>
        <w:widowControl w:val="0"/>
        <w:spacing w:after="99" w:line="1" w:lineRule="exact"/>
      </w:pP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u KS v Brně, oddíl C, vložka 7545</w:t>
      </w:r>
    </w:p>
    <w:p>
      <w:pPr>
        <w:pStyle w:val="Style10"/>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Osoba pověřená jednat jménem zhotovitele ve věcech</w:t>
      </w:r>
    </w:p>
    <w:tbl>
      <w:tblPr>
        <w:tblOverlap w:val="never"/>
        <w:jc w:val="center"/>
        <w:tblLayout w:type="fixed"/>
      </w:tblPr>
      <w:tblGrid>
        <w:gridCol w:w="1853"/>
        <w:gridCol w:w="7406"/>
      </w:tblGrid>
      <w:tr>
        <w:trPr>
          <w:trHeight w:val="3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300" w:right="0" w:firstLine="0"/>
              <w:jc w:val="left"/>
            </w:pPr>
            <w:r>
              <w:rPr>
                <w:color w:val="000000"/>
                <w:spacing w:val="0"/>
                <w:w w:val="100"/>
                <w:position w:val="0"/>
                <w:shd w:val="clear" w:color="auto" w:fill="auto"/>
                <w:lang w:val="cs-CZ" w:eastAsia="cs-CZ" w:bidi="cs-CZ"/>
              </w:rPr>
              <w:t>jednatel</w:t>
            </w:r>
          </w:p>
        </w:tc>
      </w:tr>
      <w:tr>
        <w:trPr>
          <w:trHeight w:val="40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46974806</w:t>
            </w:r>
          </w:p>
        </w:tc>
      </w:tr>
      <w:tr>
        <w:trPr>
          <w:trHeight w:val="31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CZ46974806</w:t>
            </w:r>
          </w:p>
        </w:tc>
      </w:tr>
    </w:tbl>
    <w:p>
      <w:pPr>
        <w:widowControl w:val="0"/>
        <w:spacing w:after="139" w:line="1" w:lineRule="exact"/>
      </w:pP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III/36035 Domanín - most ev. č. 36035-2“, </w:t>
      </w:r>
      <w:r>
        <w:rPr>
          <w:color w:val="000000"/>
          <w:spacing w:val="0"/>
          <w:w w:val="100"/>
          <w:position w:val="0"/>
          <w:shd w:val="clear" w:color="auto" w:fill="auto"/>
          <w:lang w:val="cs-CZ" w:eastAsia="cs-CZ" w:bidi="cs-CZ"/>
        </w:rPr>
        <w:t>uzavírají níže uvedeného dne, měsíce a roku tuto Smlouvu o dílo (dále jen „smlouva“).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0"/>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III/36035 Domanín - most ev. č. 36035-2,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10"/>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0"/>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10"/>
        <w:keepNext w:val="0"/>
        <w:keepLines w:val="0"/>
        <w:widowControl w:val="0"/>
        <w:numPr>
          <w:ilvl w:val="0"/>
          <w:numId w:val="1"/>
        </w:numPr>
        <w:shd w:val="clear" w:color="auto" w:fill="auto"/>
        <w:tabs>
          <w:tab w:pos="593"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10"/>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10"/>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10"/>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10"/>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10"/>
        <w:keepNext w:val="0"/>
        <w:keepLines w:val="0"/>
        <w:widowControl w:val="0"/>
        <w:numPr>
          <w:ilvl w:val="0"/>
          <w:numId w:val="3"/>
        </w:numPr>
        <w:shd w:val="clear" w:color="auto" w:fill="auto"/>
        <w:tabs>
          <w:tab w:pos="593"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10"/>
        <w:keepNext w:val="0"/>
        <w:keepLines w:val="0"/>
        <w:widowControl w:val="0"/>
        <w:numPr>
          <w:ilvl w:val="0"/>
          <w:numId w:val="3"/>
        </w:numPr>
        <w:shd w:val="clear" w:color="auto" w:fill="auto"/>
        <w:tabs>
          <w:tab w:pos="58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10"/>
        <w:keepNext w:val="0"/>
        <w:keepLines w:val="0"/>
        <w:widowControl w:val="0"/>
        <w:numPr>
          <w:ilvl w:val="0"/>
          <w:numId w:val="3"/>
        </w:numPr>
        <w:shd w:val="clear" w:color="auto" w:fill="auto"/>
        <w:tabs>
          <w:tab w:pos="585"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10"/>
        <w:keepNext w:val="0"/>
        <w:keepLines w:val="0"/>
        <w:widowControl w:val="0"/>
        <w:numPr>
          <w:ilvl w:val="0"/>
          <w:numId w:val="5"/>
        </w:numPr>
        <w:shd w:val="clear" w:color="auto" w:fill="auto"/>
        <w:tabs>
          <w:tab w:pos="585"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10"/>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9"/>
      </w:tblGrid>
      <w:tr>
        <w:trPr>
          <w:trHeight w:val="54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306 000,-Kč bez DPH</w:t>
            </w:r>
          </w:p>
        </w:tc>
      </w:tr>
      <w:tr>
        <w:trPr>
          <w:trHeight w:val="61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64 260,- Kč</w:t>
            </w:r>
          </w:p>
        </w:tc>
      </w:tr>
      <w:tr>
        <w:trPr>
          <w:trHeight w:val="533"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370 260,- Kč včetně DPH</w:t>
            </w:r>
          </w:p>
        </w:tc>
      </w:tr>
    </w:tbl>
    <w:p>
      <w:pPr>
        <w:widowControl w:val="0"/>
        <w:spacing w:after="399" w:line="1" w:lineRule="exact"/>
      </w:pPr>
    </w:p>
    <w:p>
      <w:pPr>
        <w:pStyle w:val="Style10"/>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402"/>
        <w:gridCol w:w="3835"/>
      </w:tblGrid>
      <w:tr>
        <w:trPr>
          <w:trHeight w:val="7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350,- Kč bez DPH</w:t>
            </w:r>
          </w:p>
        </w:tc>
      </w:tr>
      <w:tr>
        <w:trPr>
          <w:trHeight w:val="725"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2 500,- Kč bez DPH</w:t>
            </w:r>
          </w:p>
        </w:tc>
      </w:tr>
    </w:tbl>
    <w:p>
      <w:pPr>
        <w:widowControl w:val="0"/>
        <w:spacing w:after="399" w:line="1" w:lineRule="exact"/>
      </w:pPr>
    </w:p>
    <w:p>
      <w:pPr>
        <w:pStyle w:val="Style10"/>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0"/>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10"/>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10"/>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Smluvní strany se dohodly, že dojde-li v průběhu plnění předmětu této smlouvy ke změně zákonné sazby DPH stanovené pro příslušné plnění vyplývající z této smlouvy, je </w:t>
      </w:r>
      <w:r>
        <w:rPr>
          <w:color w:val="000000"/>
          <w:spacing w:val="0"/>
          <w:w w:val="100"/>
          <w:position w:val="0"/>
          <w:shd w:val="clear" w:color="auto" w:fill="auto"/>
          <w:lang w:val="cs-CZ" w:eastAsia="cs-CZ" w:bidi="cs-CZ"/>
        </w:rPr>
        <w:t>zhotovitel (plátce daně) od okamžiku nabytí účinnosti změny zákonné sazby DPH povinen účtovat objednateli platnou sazbu DPH. O této skutečnosti není nutné uzavírat dodatek k této smlouvě.</w:t>
      </w:r>
    </w:p>
    <w:p>
      <w:pPr>
        <w:pStyle w:val="Style10"/>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0"/>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10"/>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10"/>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0"/>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10"/>
        <w:keepNext w:val="0"/>
        <w:keepLines w:val="0"/>
        <w:widowControl w:val="0"/>
        <w:numPr>
          <w:ilvl w:val="0"/>
          <w:numId w:val="5"/>
        </w:numPr>
        <w:shd w:val="clear" w:color="auto" w:fill="auto"/>
        <w:tabs>
          <w:tab w:pos="634"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0"/>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objednatele bez zbytečného odkladu na </w:t>
      </w:r>
      <w:r>
        <w:rPr>
          <w:color w:val="000000"/>
          <w:spacing w:val="0"/>
          <w:w w:val="100"/>
          <w:position w:val="0"/>
          <w:shd w:val="clear" w:color="auto" w:fill="auto"/>
          <w:lang w:val="cs-CZ" w:eastAsia="cs-CZ" w:bidi="cs-CZ"/>
        </w:rPr>
        <w:t>nevhodnou povahu věcí, kterou mu objednatel k provedení díla předal nebo příkazů daných mu objednatelem k provedení díla, jestliže zhotovitel mohl tuto nevhodnost zjistit při vynaložení odborné péče.</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0"/>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0"/>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10"/>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10"/>
        <w:keepNext w:val="0"/>
        <w:keepLines w:val="0"/>
        <w:widowControl w:val="0"/>
        <w:numPr>
          <w:ilvl w:val="0"/>
          <w:numId w:val="9"/>
        </w:numPr>
        <w:shd w:val="clear" w:color="auto" w:fill="auto"/>
        <w:tabs>
          <w:tab w:pos="1380" w:val="left"/>
        </w:tabs>
        <w:bidi w:val="0"/>
        <w:spacing w:before="0" w:line="240" w:lineRule="auto"/>
        <w:ind w:left="0" w:right="0" w:firstLine="960"/>
        <w:jc w:val="left"/>
      </w:pPr>
      <w:r>
        <w:rPr>
          <w:color w:val="000000"/>
          <w:spacing w:val="0"/>
          <w:w w:val="100"/>
          <w:position w:val="0"/>
          <w:shd w:val="clear" w:color="auto" w:fill="auto"/>
          <w:lang w:val="cs-CZ" w:eastAsia="cs-CZ" w:bidi="cs-CZ"/>
        </w:rPr>
        <w:t>pro předání dokumentace</w:t>
      </w:r>
    </w:p>
    <w:p>
      <w:pPr>
        <w:pStyle w:val="Style10"/>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10"/>
        <w:keepNext w:val="0"/>
        <w:keepLines w:val="0"/>
        <w:widowControl w:val="0"/>
        <w:numPr>
          <w:ilvl w:val="0"/>
          <w:numId w:val="9"/>
        </w:numPr>
        <w:shd w:val="clear" w:color="auto" w:fill="auto"/>
        <w:tabs>
          <w:tab w:pos="1380" w:val="left"/>
        </w:tabs>
        <w:bidi w:val="0"/>
        <w:spacing w:before="0" w:line="240"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10"/>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místo stavby uvedené v příloze A1</w:t>
      </w:r>
    </w:p>
    <w:p>
      <w:pPr>
        <w:pStyle w:val="Style10"/>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10"/>
        <w:keepNext w:val="0"/>
        <w:keepLines w:val="0"/>
        <w:widowControl w:val="0"/>
        <w:numPr>
          <w:ilvl w:val="0"/>
          <w:numId w:val="11"/>
        </w:numPr>
        <w:shd w:val="clear" w:color="auto" w:fill="auto"/>
        <w:tabs>
          <w:tab w:pos="1411" w:val="left"/>
        </w:tabs>
        <w:bidi w:val="0"/>
        <w:spacing w:before="0" w:line="240" w:lineRule="auto"/>
        <w:ind w:left="1440" w:right="0" w:hanging="86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0"/>
        <w:keepNext w:val="0"/>
        <w:keepLines w:val="0"/>
        <w:widowControl w:val="0"/>
        <w:numPr>
          <w:ilvl w:val="0"/>
          <w:numId w:val="11"/>
        </w:numPr>
        <w:shd w:val="clear" w:color="auto" w:fill="auto"/>
        <w:tabs>
          <w:tab w:pos="1411" w:val="left"/>
        </w:tabs>
        <w:bidi w:val="0"/>
        <w:spacing w:before="0" w:line="240" w:lineRule="auto"/>
        <w:ind w:left="1440" w:right="0" w:hanging="86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10"/>
        <w:keepNext w:val="0"/>
        <w:keepLines w:val="0"/>
        <w:widowControl w:val="0"/>
        <w:numPr>
          <w:ilvl w:val="0"/>
          <w:numId w:val="11"/>
        </w:numPr>
        <w:shd w:val="clear" w:color="auto" w:fill="auto"/>
        <w:tabs>
          <w:tab w:pos="1433" w:val="left"/>
        </w:tabs>
        <w:bidi w:val="0"/>
        <w:spacing w:before="0" w:line="240" w:lineRule="auto"/>
        <w:ind w:left="1440" w:right="0" w:hanging="86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10"/>
        <w:keepNext w:val="0"/>
        <w:keepLines w:val="0"/>
        <w:widowControl w:val="0"/>
        <w:numPr>
          <w:ilvl w:val="0"/>
          <w:numId w:val="11"/>
        </w:numPr>
        <w:shd w:val="clear" w:color="auto" w:fill="auto"/>
        <w:tabs>
          <w:tab w:pos="1433" w:val="left"/>
        </w:tabs>
        <w:bidi w:val="0"/>
        <w:spacing w:before="0" w:after="5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Placení a fakturace</w:t>
      </w:r>
    </w:p>
    <w:p>
      <w:pPr>
        <w:pStyle w:val="Style10"/>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10"/>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10"/>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0"/>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0"/>
        <w:keepNext w:val="0"/>
        <w:keepLines w:val="0"/>
        <w:widowControl w:val="0"/>
        <w:numPr>
          <w:ilvl w:val="0"/>
          <w:numId w:val="13"/>
        </w:numPr>
        <w:shd w:val="clear" w:color="auto" w:fill="auto"/>
        <w:tabs>
          <w:tab w:pos="566" w:val="left"/>
        </w:tabs>
        <w:bidi w:val="0"/>
        <w:spacing w:before="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přijímá i elektronické faktury, a to ve formátech XML nebo PDF. V takovém případě</w:t>
      </w:r>
    </w:p>
    <w:p>
      <w:pPr>
        <w:pStyle w:val="Style10"/>
        <w:keepNext w:val="0"/>
        <w:keepLines w:val="0"/>
        <w:widowControl w:val="0"/>
        <w:shd w:val="clear" w:color="auto" w:fill="auto"/>
        <w:bidi w:val="0"/>
        <w:spacing w:before="0" w:line="257" w:lineRule="auto"/>
        <w:ind w:left="0" w:right="0" w:firstLine="560"/>
        <w:jc w:val="left"/>
        <w:rPr>
          <w:sz w:val="22"/>
          <w:szCs w:val="22"/>
        </w:rPr>
      </w:pPr>
      <w:r>
        <w:rPr>
          <w:color w:val="000000"/>
          <w:spacing w:val="0"/>
          <w:w w:val="100"/>
          <w:position w:val="0"/>
          <w:sz w:val="22"/>
          <w:szCs w:val="22"/>
          <w:shd w:val="clear" w:color="auto" w:fill="auto"/>
          <w:lang w:val="cs-CZ" w:eastAsia="cs-CZ" w:bidi="cs-CZ"/>
        </w:rPr>
        <w:t>je zhotovitel povinen elektronickou fakturu zaslat objednateli na email</w:t>
      </w:r>
      <w:r>
        <w:fldChar w:fldCharType="begin"/>
      </w:r>
      <w:r>
        <w:rPr/>
        <w:instrText> HYPERLINK "mailto:ksusv@ksusv.cz" </w:instrText>
      </w:r>
      <w:r>
        <w:fldChar w:fldCharType="separate"/>
      </w:r>
      <w:r>
        <w:rPr>
          <w:color w:val="000000"/>
          <w:spacing w:val="0"/>
          <w:w w:val="100"/>
          <w:position w:val="0"/>
          <w:sz w:val="22"/>
          <w:szCs w:val="22"/>
          <w:shd w:val="clear" w:color="auto" w:fill="auto"/>
          <w:lang w:val="cs-CZ" w:eastAsia="cs-CZ" w:bidi="cs-CZ"/>
        </w:rPr>
        <w:t xml:space="preserve"> ksusv@ksusv.cz</w:t>
      </w:r>
      <w:r>
        <w:fldChar w:fldCharType="end"/>
      </w:r>
    </w:p>
    <w:p>
      <w:pPr>
        <w:pStyle w:val="Style10"/>
        <w:keepNext w:val="0"/>
        <w:keepLines w:val="0"/>
        <w:widowControl w:val="0"/>
        <w:numPr>
          <w:ilvl w:val="0"/>
          <w:numId w:val="13"/>
        </w:numPr>
        <w:shd w:val="clear" w:color="auto" w:fill="auto"/>
        <w:tabs>
          <w:tab w:pos="564"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10"/>
        <w:keepNext w:val="0"/>
        <w:keepLines w:val="0"/>
        <w:widowControl w:val="0"/>
        <w:numPr>
          <w:ilvl w:val="0"/>
          <w:numId w:val="1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0"/>
        <w:keepNext w:val="0"/>
        <w:keepLines w:val="0"/>
        <w:widowControl w:val="0"/>
        <w:numPr>
          <w:ilvl w:val="0"/>
          <w:numId w:val="1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13"/>
        </w:numPr>
        <w:shd w:val="clear" w:color="auto" w:fill="auto"/>
        <w:tabs>
          <w:tab w:pos="564"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10"/>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10"/>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 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10"/>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10"/>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10"/>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10"/>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10"/>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10"/>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10"/>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0"/>
        <w:keepNext w:val="0"/>
        <w:keepLines w:val="0"/>
        <w:widowControl w:val="0"/>
        <w:numPr>
          <w:ilvl w:val="0"/>
          <w:numId w:val="17"/>
        </w:numPr>
        <w:shd w:val="clear" w:color="auto" w:fill="auto"/>
        <w:tabs>
          <w:tab w:pos="567"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0"/>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w:t>
      </w:r>
      <w:r>
        <w:rPr>
          <w:color w:val="000000"/>
          <w:spacing w:val="0"/>
          <w:w w:val="100"/>
          <w:position w:val="0"/>
          <w:shd w:val="clear" w:color="auto" w:fill="auto"/>
          <w:lang w:val="cs-CZ" w:eastAsia="cs-CZ" w:bidi="cs-CZ"/>
        </w:rPr>
        <w:t xml:space="preserve">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0"/>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10"/>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0"/>
        <w:keepNext w:val="0"/>
        <w:keepLines w:val="0"/>
        <w:widowControl w:val="0"/>
        <w:numPr>
          <w:ilvl w:val="0"/>
          <w:numId w:val="19"/>
        </w:numPr>
        <w:shd w:val="clear" w:color="auto" w:fill="auto"/>
        <w:tabs>
          <w:tab w:pos="572" w:val="left"/>
        </w:tabs>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Zvláštní ujednání</w:t>
      </w:r>
    </w:p>
    <w:p>
      <w:pPr>
        <w:pStyle w:val="Style10"/>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0"/>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0"/>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0"/>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0"/>
        <w:keepNext w:val="0"/>
        <w:keepLines w:val="0"/>
        <w:widowControl w:val="0"/>
        <w:numPr>
          <w:ilvl w:val="0"/>
          <w:numId w:val="23"/>
        </w:numPr>
        <w:shd w:val="clear" w:color="auto" w:fill="auto"/>
        <w:tabs>
          <w:tab w:pos="898" w:val="left"/>
        </w:tabs>
        <w:bidi w:val="0"/>
        <w:spacing w:before="0" w:line="240" w:lineRule="auto"/>
        <w:ind w:left="860" w:right="0" w:hanging="2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0"/>
        <w:keepNext w:val="0"/>
        <w:keepLines w:val="0"/>
        <w:widowControl w:val="0"/>
        <w:numPr>
          <w:ilvl w:val="0"/>
          <w:numId w:val="23"/>
        </w:numPr>
        <w:shd w:val="clear" w:color="auto" w:fill="auto"/>
        <w:tabs>
          <w:tab w:pos="903" w:val="left"/>
        </w:tabs>
        <w:bidi w:val="0"/>
        <w:spacing w:before="0" w:line="240" w:lineRule="auto"/>
        <w:ind w:left="860" w:right="0" w:hanging="26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10"/>
        <w:keepNext w:val="0"/>
        <w:keepLines w:val="0"/>
        <w:widowControl w:val="0"/>
        <w:numPr>
          <w:ilvl w:val="0"/>
          <w:numId w:val="23"/>
        </w:numPr>
        <w:shd w:val="clear" w:color="auto" w:fill="auto"/>
        <w:tabs>
          <w:tab w:pos="903" w:val="left"/>
        </w:tabs>
        <w:bidi w:val="0"/>
        <w:spacing w:before="0" w:line="240" w:lineRule="auto"/>
        <w:ind w:left="860" w:right="0" w:hanging="26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0"/>
        <w:keepNext w:val="0"/>
        <w:keepLines w:val="0"/>
        <w:widowControl w:val="0"/>
        <w:numPr>
          <w:ilvl w:val="0"/>
          <w:numId w:val="23"/>
        </w:numPr>
        <w:shd w:val="clear" w:color="auto" w:fill="auto"/>
        <w:tabs>
          <w:tab w:pos="918" w:val="left"/>
        </w:tabs>
        <w:bidi w:val="0"/>
        <w:spacing w:before="0" w:line="240" w:lineRule="auto"/>
        <w:ind w:left="860" w:right="0" w:hanging="26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10"/>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10"/>
        <w:keepNext w:val="0"/>
        <w:keepLines w:val="0"/>
        <w:widowControl w:val="0"/>
        <w:shd w:val="clear" w:color="auto" w:fill="auto"/>
        <w:bidi w:val="0"/>
        <w:spacing w:before="0" w:after="1340" w:line="240" w:lineRule="auto"/>
        <w:ind w:left="580" w:right="0" w:firstLine="2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10"/>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xml:space="preserve">. Smlouvu bude dle vůle smluvních stran na profilu zadavatele a v registru smluv v souladu s příslušnými právními předpisy, zejména ve lhůtách </w:t>
      </w:r>
      <w:r>
        <w:rPr>
          <w:color w:val="000000"/>
          <w:spacing w:val="0"/>
          <w:w w:val="100"/>
          <w:position w:val="0"/>
          <w:shd w:val="clear" w:color="auto" w:fill="auto"/>
          <w:lang w:val="cs-CZ" w:eastAsia="cs-CZ" w:bidi="cs-CZ"/>
        </w:rPr>
        <w:t>stanovených příslušnými právními předpisy, zveřejňovat objednatel.</w:t>
      </w:r>
    </w:p>
    <w:p>
      <w:pPr>
        <w:pStyle w:val="Style10"/>
        <w:keepNext w:val="0"/>
        <w:keepLines w:val="0"/>
        <w:widowControl w:val="0"/>
        <w:numPr>
          <w:ilvl w:val="0"/>
          <w:numId w:val="25"/>
        </w:numPr>
        <w:shd w:val="clear" w:color="auto" w:fill="auto"/>
        <w:tabs>
          <w:tab w:pos="629"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10"/>
        <w:keepNext w:val="0"/>
        <w:keepLines w:val="0"/>
        <w:widowControl w:val="0"/>
        <w:numPr>
          <w:ilvl w:val="0"/>
          <w:numId w:val="25"/>
        </w:numPr>
        <w:shd w:val="clear" w:color="auto" w:fill="auto"/>
        <w:tabs>
          <w:tab w:pos="629"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0"/>
        <w:keepNext w:val="0"/>
        <w:keepLines w:val="0"/>
        <w:widowControl w:val="0"/>
        <w:numPr>
          <w:ilvl w:val="0"/>
          <w:numId w:val="25"/>
        </w:numPr>
        <w:shd w:val="clear" w:color="auto" w:fill="auto"/>
        <w:tabs>
          <w:tab w:pos="629"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10"/>
        <w:keepNext w:val="0"/>
        <w:keepLines w:val="0"/>
        <w:widowControl w:val="0"/>
        <w:numPr>
          <w:ilvl w:val="0"/>
          <w:numId w:val="25"/>
        </w:numPr>
        <w:shd w:val="clear" w:color="auto" w:fill="auto"/>
        <w:tabs>
          <w:tab w:pos="629"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0"/>
        <w:keepNext w:val="0"/>
        <w:keepLines w:val="0"/>
        <w:widowControl w:val="0"/>
        <w:numPr>
          <w:ilvl w:val="0"/>
          <w:numId w:val="25"/>
        </w:numPr>
        <w:shd w:val="clear" w:color="auto" w:fill="auto"/>
        <w:tabs>
          <w:tab w:pos="629"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0"/>
        <w:keepNext w:val="0"/>
        <w:keepLines w:val="0"/>
        <w:widowControl w:val="0"/>
        <w:numPr>
          <w:ilvl w:val="0"/>
          <w:numId w:val="25"/>
        </w:numPr>
        <w:shd w:val="clear" w:color="auto" w:fill="auto"/>
        <w:tabs>
          <w:tab w:pos="629"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10"/>
        <w:keepNext w:val="0"/>
        <w:keepLines w:val="0"/>
        <w:widowControl w:val="0"/>
        <w:numPr>
          <w:ilvl w:val="0"/>
          <w:numId w:val="25"/>
        </w:numPr>
        <w:shd w:val="clear" w:color="auto" w:fill="auto"/>
        <w:tabs>
          <w:tab w:pos="6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10"/>
        <w:keepNext w:val="0"/>
        <w:keepLines w:val="0"/>
        <w:widowControl w:val="0"/>
        <w:numPr>
          <w:ilvl w:val="0"/>
          <w:numId w:val="25"/>
        </w:numPr>
        <w:shd w:val="clear" w:color="auto" w:fill="auto"/>
        <w:tabs>
          <w:tab w:pos="629"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A1 - Technické podmínky</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10"/>
        <w:keepNext w:val="0"/>
        <w:keepLines w:val="0"/>
        <w:widowControl w:val="0"/>
        <w:shd w:val="clear" w:color="auto" w:fill="auto"/>
        <w:bidi w:val="0"/>
        <w:spacing w:before="0" w:after="760" w:line="240" w:lineRule="auto"/>
        <w:ind w:left="0" w:right="0" w:firstLine="0"/>
        <w:jc w:val="both"/>
      </w:pPr>
      <w:r>
        <w:rPr>
          <w:color w:val="000000"/>
          <w:spacing w:val="0"/>
          <w:w w:val="100"/>
          <w:position w:val="0"/>
          <w:shd w:val="clear" w:color="auto" w:fill="auto"/>
          <w:lang w:val="cs-CZ" w:eastAsia="cs-CZ" w:bidi="cs-CZ"/>
        </w:rPr>
        <w:t>Příloha C1 - Kalkulace projekčních prací</w:t>
      </w:r>
    </w:p>
    <w:p>
      <w:pPr>
        <w:pStyle w:val="Style10"/>
        <w:keepNext w:val="0"/>
        <w:keepLines w:val="0"/>
        <w:widowControl w:val="0"/>
        <w:shd w:val="clear" w:color="auto" w:fill="auto"/>
        <w:bidi w:val="0"/>
        <w:spacing w:before="0" w:line="271" w:lineRule="auto"/>
        <w:ind w:left="0" w:right="0" w:firstLine="0"/>
        <w:jc w:val="both"/>
        <w:rPr>
          <w:sz w:val="22"/>
          <w:szCs w:val="22"/>
        </w:rP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2185" w:left="1360" w:right="1132" w:bottom="1283"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0"/>
        <w:keepNext w:val="0"/>
        <w:keepLines w:val="0"/>
        <w:widowControl w:val="0"/>
        <w:shd w:val="clear" w:color="auto" w:fill="auto"/>
        <w:bidi w:val="0"/>
        <w:spacing w:before="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10"/>
        <w:keepNext w:val="0"/>
        <w:keepLines w:val="0"/>
        <w:widowControl w:val="0"/>
        <w:shd w:val="clear" w:color="auto" w:fill="auto"/>
        <w:bidi w:val="0"/>
        <w:spacing w:before="0" w:after="640" w:line="240" w:lineRule="auto"/>
        <w:ind w:left="0" w:right="0" w:firstLine="0"/>
        <w:jc w:val="center"/>
      </w:pPr>
      <w:r>
        <w:rPr>
          <w:b/>
          <w:bCs/>
          <w:color w:val="000000"/>
          <w:spacing w:val="0"/>
          <w:w w:val="100"/>
          <w:position w:val="0"/>
          <w:shd w:val="clear" w:color="auto" w:fill="auto"/>
          <w:lang w:val="cs-CZ" w:eastAsia="cs-CZ" w:bidi="cs-CZ"/>
        </w:rPr>
        <w:t>Technické podmínky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b/>
          <w:bCs/>
          <w:color w:val="000000"/>
          <w:spacing w:val="0"/>
          <w:w w:val="100"/>
          <w:position w:val="0"/>
          <w:u w:val="single"/>
          <w:shd w:val="clear" w:color="auto" w:fill="auto"/>
          <w:lang w:val="cs-CZ" w:eastAsia="cs-CZ" w:bidi="cs-CZ"/>
        </w:rPr>
        <w:t>„III/36035 Domanín - most ev.č. 36035-2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diagnostického a inženýrsko-geologického průzkumu mostu včetně návrhu technického řešení.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ve stupni pro vydání společného územního a stavebního povolení (DUSP).</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potřebných pravomocných společných územních a stavebních povolení (ÚSP), včetně všech požadovaných příloh, dokladů a vyjádření.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 autorského dozoru při realizaci stavby.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Stávající most ev. č. 36035-2 převádí Domanínský potok a nachází se u obce Domanín staničení 2,363 km silnice III/36035.</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Tento jednopolový most byl vybudován v roce 1922.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Základy mostních podpěr jsou nepřístupné. Způsob založení zjistit.</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obou stranách jsou konce opěr provedeny z monolitického betonu a jsou prodlouženy, takže tvoří nábřežní zídky. Jedná se zřejmě o dodatečnou úpravu. Mostní opěry jsou masivní z lomového kamene.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Mostní křídla jsou krátká rovnoběžná, monolitická betonová, zakrytá svahem.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Nosnou konstrukci tvoří železobetonový trámový rošt s 5 podélnými trámy ( obetonované íčka. ), 1 vnitřním šikmým příčníkem a koncovými ztužidly. Podhled nosné konstrukce (včetně bočních ploch) je opatřen vápenocementovou omítkou.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na mostě je s živičným krytem se zpevněnou krajnicí. Zpevnění krajnice je provedeno asfaltovou vrstvou. Příčný sklon vozovky je oboustranný, podélný sklon je proti směru staničení.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Mostní římsy jsou na obou stranách mostu železobetonové monolitické.</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Odvodnění mostu je provedeno příčným a podélným sklonem vozovky mimo most.</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Délka přemostění 4,15 m, délka nosné konstrukce 5,00 m, volná šířka 5,95 m, celková šířka mostu 6,35 m, plocha mostu 31,75 m2.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stav nosné konstrukce je ve stupni V - špatný, spodní stavba V - špatný. Zatížitelnost mostu je omezena dopravním značením na značkami se sníženou zatížitelností B13 - 36 t, E13, jediné vozidlo - 43 t.</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Rozsah stavebních prací bude dále projednán a upřesněn na vstupním výrobním výboru na základě místního šetření a odborné vizuální prohlídky za účasti zástupců zadavatele a obce Domanín.</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both"/>
      </w:pPr>
      <w:r>
        <w:rPr>
          <w:b/>
          <w:bCs/>
          <w:color w:val="000000"/>
          <w:spacing w:val="0"/>
          <w:w w:val="100"/>
          <w:position w:val="0"/>
          <w:shd w:val="clear" w:color="auto" w:fill="auto"/>
          <w:lang w:val="cs-CZ" w:eastAsia="cs-CZ" w:bidi="cs-CZ"/>
        </w:rPr>
        <w:t xml:space="preserve">Vítězný zhotovitel </w:t>
      </w:r>
      <w:r>
        <w:rPr>
          <w:color w:val="000000"/>
          <w:spacing w:val="0"/>
          <w:w w:val="100"/>
          <w:position w:val="0"/>
          <w:shd w:val="clear" w:color="auto" w:fill="auto"/>
          <w:lang w:val="cs-CZ" w:eastAsia="cs-CZ" w:bidi="cs-CZ"/>
        </w:rPr>
        <w:t xml:space="preserve">projektové dokumentace prověří na příslušném úřadě nutnost zpracování DÚR s vydáním ÚR. </w:t>
      </w:r>
      <w:r>
        <w:rPr>
          <w:color w:val="000000"/>
          <w:spacing w:val="0"/>
          <w:w w:val="100"/>
          <w:position w:val="0"/>
          <w:u w:val="single"/>
          <w:shd w:val="clear" w:color="auto" w:fill="auto"/>
          <w:lang w:val="cs-CZ" w:eastAsia="cs-CZ" w:bidi="cs-CZ"/>
        </w:rPr>
        <w:t>Nebude-li ÚŘ nutné, bude řešeno dodatkem ke smlouvě o dílo a odpočtem poměrné částky z kalkulace cen projekčních prací.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Po vzájemné dohodě zhotovitele a zadavatele je možné v případě příznivých poměrů přistoupit ke sloučení DÚR a DSP a tedy i územního a stavebního řízení v návaznosti na novelu stavebního zákona 183/2006 Sb. s účinností od 1. 1. 2018.</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 rok 2020/2021.</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b/>
          <w:bCs/>
          <w:color w:val="000000"/>
          <w:spacing w:val="0"/>
          <w:w w:val="100"/>
          <w:position w:val="0"/>
          <w:u w:val="single"/>
          <w:shd w:val="clear" w:color="auto" w:fill="auto"/>
          <w:lang w:val="cs-CZ" w:eastAsia="cs-CZ" w:bidi="cs-CZ"/>
        </w:rPr>
        <w:t>Technické podmínky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left"/>
      </w:pPr>
      <w:r>
        <w:rPr>
          <w:color w:val="000000"/>
          <w:spacing w:val="0"/>
          <w:w w:val="100"/>
          <w:position w:val="0"/>
          <w:u w:val="single"/>
          <w:shd w:val="clear" w:color="auto" w:fill="auto"/>
          <w:lang w:val="cs-CZ" w:eastAsia="cs-CZ" w:bidi="cs-CZ"/>
        </w:rPr>
        <w:t>Vypracování dokumentace pro společné územní a stavební povolení a pro provádění stavby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 j. 158/2017-120-TN/1 ze dne 9.8.2017 s účinností od 14.8.2017. Platný dodatek č. 1 byl schválen MD-OPK pod č. j. 66/2018-120-TN ze dne 19.3.2018 s účinností od 1.4.2018. PD je nutno zpracovat dle aktuálních znění vyhlášky č. 499/2006 Sb., o dokumentaci staveb, vyhlášky č. 169/2016 Sb., o stanovení rozsahu dokumentace veřejné zakázky na stavební práce a soupisu stavebních prací a vyhlášky č. 146/2008 Sb., o rozsahu a obsahu projektové dokumentace dopravních staveb a bude obsahovat zejména:</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580" w:right="0" w:hanging="420"/>
        <w:jc w:val="both"/>
      </w:pPr>
      <w:r>
        <w:rPr>
          <w:color w:val="000000"/>
          <w:spacing w:val="0"/>
          <w:w w:val="100"/>
          <w:position w:val="0"/>
          <w:shd w:val="clear" w:color="auto" w:fill="auto"/>
          <w:lang w:val="cs-CZ" w:eastAsia="cs-CZ" w:bidi="cs-CZ"/>
        </w:rPr>
        <w:t>Vlastní návrh technického řešení rekonstrukce mostu (projednaný mezi zhotovitelem a zadavatelem na vstupním výrobním výboru) dle výsledku zpracovaného diagnostického průzkumu</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580" w:right="0" w:hanging="42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Zákres stavby do aktuální katastrální mapy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580" w:right="0" w:hanging="420"/>
        <w:jc w:val="both"/>
      </w:pPr>
      <w:r>
        <w:rPr>
          <w:color w:val="000000"/>
          <w:spacing w:val="0"/>
          <w:w w:val="100"/>
          <w:position w:val="0"/>
          <w:shd w:val="clear" w:color="auto" w:fill="auto"/>
          <w:lang w:val="cs-CZ" w:eastAsia="cs-CZ" w:bidi="cs-CZ"/>
        </w:rPr>
        <w:t>Podrobný inženýrskogeologický, geotechnický a hydrogeologický průzkum daného území (pokud bude pro zpracování PD a vydání příslušných stanovisek a povolení nutné)</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Vytyčovací výkres 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Definitivní dopravní značení včetně příslušných projednání</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Situace v měřítku min. 1:500</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Zásady organizace výstavby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0" w:right="0" w:firstLine="160"/>
        <w:jc w:val="both"/>
      </w:pPr>
      <w:r>
        <w:rPr>
          <w:color w:val="000000"/>
          <w:spacing w:val="0"/>
          <w:w w:val="100"/>
          <w:position w:val="0"/>
          <w:shd w:val="clear" w:color="auto" w:fill="auto"/>
          <w:lang w:val="cs-CZ" w:eastAsia="cs-CZ" w:bidi="cs-CZ"/>
        </w:rPr>
        <w:t>Statický výpočet, hydrotechnický výpočet</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line="240" w:lineRule="auto"/>
        <w:ind w:left="580" w:right="0" w:hanging="420"/>
        <w:jc w:val="both"/>
      </w:pPr>
      <w:r>
        <w:rPr>
          <w:color w:val="000000"/>
          <w:spacing w:val="0"/>
          <w:w w:val="100"/>
          <w:position w:val="0"/>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firstLine="760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0" w:right="0" w:firstLine="160"/>
        <w:jc w:val="both"/>
      </w:pPr>
      <w:r>
        <w:rPr>
          <w:color w:val="000000"/>
          <w:spacing w:val="0"/>
          <w:w w:val="100"/>
          <w:position w:val="0"/>
          <w:shd w:val="clear" w:color="auto" w:fill="auto"/>
          <w:lang w:val="cs-CZ" w:eastAsia="cs-CZ" w:bidi="cs-CZ"/>
        </w:rPr>
        <w:t>Prověření průběhu inženýrských sítí, přeložky inženýrských sítí.</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1460" w:right="0" w:hanging="36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vynětím pozemků trvale dotčených stavbou silnice ze ZPF a PUPFL včetně zpracování Pedologického průzkumu.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110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dočasným vynětím pozemků dočasného záboru ze ZPF.</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110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Součinnost zhotovitele při jednáních s vlastníky dotčených pozemků.</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0" w:right="0" w:firstLine="160"/>
        <w:jc w:val="both"/>
      </w:pPr>
      <w:r>
        <w:rPr>
          <w:color w:val="000000"/>
          <w:spacing w:val="0"/>
          <w:w w:val="100"/>
          <w:position w:val="0"/>
          <w:shd w:val="clear" w:color="auto" w:fill="auto"/>
          <w:lang w:val="cs-CZ" w:eastAsia="cs-CZ" w:bidi="cs-CZ"/>
        </w:rPr>
        <w:t>Odhad stavebních nákladů.</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 xml:space="preserve">Vyřešení nakládání s odpady dle </w:t>
      </w:r>
      <w:r>
        <w:rPr>
          <w:b/>
          <w:bCs/>
          <w:color w:val="000000"/>
          <w:spacing w:val="0"/>
          <w:w w:val="100"/>
          <w:position w:val="0"/>
          <w:shd w:val="clear" w:color="auto" w:fill="auto"/>
          <w:lang w:val="cs-CZ" w:eastAsia="cs-CZ" w:bidi="cs-CZ"/>
        </w:rPr>
        <w:t>vyhlášky č. 130/2019 Sb</w:t>
      </w:r>
      <w:r>
        <w:rPr>
          <w:color w:val="000000"/>
          <w:spacing w:val="0"/>
          <w:w w:val="100"/>
          <w:position w:val="0"/>
          <w:shd w:val="clear" w:color="auto" w:fill="auto"/>
          <w:lang w:val="cs-CZ" w:eastAsia="cs-CZ" w:bidi="cs-CZ"/>
        </w:rPr>
        <w:t xml:space="preserve">., o kritériích, při jejichž splnění je asfaltová směs vedlejším produktem nebo přestává být odpadem. U stávajících směsí stmelených asfaltovými pojivy bude např. provedením a rozborem jádrového odvrtu </w:t>
      </w:r>
      <w:r>
        <w:rPr>
          <w:b/>
          <w:bCs/>
          <w:color w:val="000000"/>
          <w:spacing w:val="0"/>
          <w:w w:val="100"/>
          <w:position w:val="0"/>
          <w:shd w:val="clear" w:color="auto" w:fill="auto"/>
          <w:lang w:val="cs-CZ" w:eastAsia="cs-CZ" w:bidi="cs-CZ"/>
        </w:rPr>
        <w:t xml:space="preserve">prověřen obsah PAU </w:t>
      </w:r>
      <w:r>
        <w:rPr>
          <w:color w:val="000000"/>
          <w:spacing w:val="0"/>
          <w:w w:val="100"/>
          <w:position w:val="0"/>
          <w:shd w:val="clear" w:color="auto" w:fill="auto"/>
          <w:lang w:val="cs-CZ" w:eastAsia="cs-CZ" w:bidi="cs-CZ"/>
        </w:rPr>
        <w:t>(dehtu), a v případě jeho zastižení bude tato směs jako odpad v maximální možné znovupoužita na stavbě, čemuž bude přizpůsobeno technické řešení.</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Podání žádosti o společné územní a stavební povolení, zajištění vydání ÚSP včetně potřebné inženýrské činnosti (např. dořešení změn PD v průběhu ÚSŘ), získání doložky nabytí právní moci ÚSP.</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0" w:right="0" w:firstLine="160"/>
        <w:jc w:val="both"/>
      </w:pPr>
      <w:r>
        <w:rPr>
          <w:color w:val="000000"/>
          <w:spacing w:val="0"/>
          <w:w w:val="100"/>
          <w:position w:val="0"/>
          <w:shd w:val="clear" w:color="auto" w:fill="auto"/>
          <w:lang w:val="cs-CZ" w:eastAsia="cs-CZ" w:bidi="cs-CZ"/>
        </w:rPr>
        <w:t>Výkaz výměr s bilancí prací.</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0" w:right="0" w:firstLine="160"/>
        <w:jc w:val="both"/>
      </w:pPr>
      <w:r>
        <w:rPr>
          <w:color w:val="000000"/>
          <w:spacing w:val="0"/>
          <w:w w:val="100"/>
          <w:position w:val="0"/>
          <w:shd w:val="clear" w:color="auto" w:fill="auto"/>
          <w:lang w:val="cs-CZ" w:eastAsia="cs-CZ" w:bidi="cs-CZ"/>
        </w:rPr>
        <w:t>Plán BOZP potvrzený koordinátorem BOZP dle zákona č. 309/2006 Sb.</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2" w:val="left"/>
        </w:tabs>
        <w:bidi w:val="0"/>
        <w:spacing w:before="0" w:line="240" w:lineRule="auto"/>
        <w:ind w:left="580" w:right="0" w:hanging="42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v platném znění.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spolupracovat se zadavatelem při jednání s vlastníky, tj. písemně informovat vlastníky dotčených pozemků o záměru realizovat stavbu,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Před dokončením a odevzdáním každého stupně projektové dokumentace (tj. DUSP a PDPS) budou svolány tzv. technicko- dokumentační komise (TDK) za účasti zástupců zřizovatele KSÚSV (Odbor dopravy a silničního hospodářství Kraje Vysočina). Zadavateli a zástupci zřizovatele bude zhotovitelem v dostatečném předstihu (7 dní) zaslána projektová dokumentace jako podklad pro TDK. Výrobní výbory a TDK svolává a zápis vyhotovuje zhotovitel projektové dokumentace.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DUSP - 3x v tištěné podobě, vč. dokladové části ve všech paré, 1x v digitální ve formátu *.dwg a *.pdf</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71" w:lineRule="auto"/>
        <w:ind w:left="0" w:right="0" w:firstLine="160"/>
        <w:jc w:val="both"/>
      </w:pPr>
      <w:r>
        <w:rPr>
          <w:color w:val="000000"/>
          <w:spacing w:val="0"/>
          <w:w w:val="100"/>
          <w:position w:val="0"/>
          <w:shd w:val="clear" w:color="auto" w:fill="auto"/>
          <w:lang w:val="cs-CZ" w:eastAsia="cs-CZ" w:bidi="cs-CZ"/>
        </w:rPr>
        <w:t>Záborový elaborát - 1x v tištěné podobě, 1x v digitální ve formátu *.pdf nebo *.xls</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40" w:lineRule="auto"/>
        <w:ind w:left="580" w:right="0" w:hanging="420"/>
        <w:jc w:val="both"/>
      </w:pPr>
      <w:r>
        <w:rPr>
          <w:color w:val="000000"/>
          <w:spacing w:val="0"/>
          <w:w w:val="100"/>
          <w:position w:val="0"/>
          <w:shd w:val="clear" w:color="auto" w:fill="auto"/>
          <w:lang w:val="cs-CZ" w:eastAsia="cs-CZ" w:bidi="cs-CZ"/>
        </w:rPr>
        <w:t>Geodetické zaměření - 1x v tištěné podobě, 1x v digitální ve formátu *.dwg a *.pdf a vytyčovací síť vytyčovaných bodů ve formátu *.doc, *.xls nebo *.txt</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40" w:lineRule="auto"/>
        <w:ind w:left="580" w:right="0" w:hanging="420"/>
        <w:jc w:val="both"/>
      </w:pPr>
      <w:r>
        <w:rPr>
          <w:color w:val="000000"/>
          <w:spacing w:val="0"/>
          <w:w w:val="100"/>
          <w:position w:val="0"/>
          <w:shd w:val="clear" w:color="auto" w:fill="auto"/>
          <w:lang w:val="cs-CZ" w:eastAsia="cs-CZ" w:bidi="cs-CZ"/>
        </w:rPr>
        <w:t>Odhad stavebních nákladů - 1x v tištěné podobě, 1x v digitální ve formátu *.pdf nebo *.xls</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71" w:lineRule="auto"/>
        <w:ind w:left="0" w:right="0" w:firstLine="160"/>
        <w:jc w:val="both"/>
      </w:pPr>
      <w:r>
        <w:rPr>
          <w:color w:val="000000"/>
          <w:spacing w:val="0"/>
          <w:w w:val="100"/>
          <w:position w:val="0"/>
          <w:shd w:val="clear" w:color="auto" w:fill="auto"/>
          <w:lang w:val="cs-CZ" w:eastAsia="cs-CZ" w:bidi="cs-CZ"/>
        </w:rPr>
        <w:t>PDPS - 5x v tištěné podobě, 1x v digitální ve formátu *.dwg a *.pdf</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line="240" w:lineRule="auto"/>
        <w:ind w:left="580" w:right="0" w:hanging="420"/>
        <w:jc w:val="both"/>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5" w:val="left"/>
        </w:tabs>
        <w:bidi w:val="0"/>
        <w:spacing w:before="0" w:after="800" w:line="240" w:lineRule="auto"/>
        <w:ind w:left="580" w:right="0" w:hanging="420"/>
        <w:jc w:val="both"/>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u w:val="single"/>
          <w:shd w:val="clear" w:color="auto" w:fill="auto"/>
          <w:lang w:val="cs-CZ" w:eastAsia="cs-CZ" w:bidi="cs-CZ"/>
        </w:rPr>
        <w:t>Zajištění vydání potřebných společných územních a stavebních povolení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Pravomocná stavební povolení budou předány zadavateli:</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1x originál každého společného územního a stavebního povolení (ÚSP) v písemné podobě s vyznačením nabytí právní moci + projektová dokumentace pro společné územní a stavební povolení (DUSP) ověřená stavebním úřadem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left"/>
      </w:pPr>
      <w:r>
        <w:rPr>
          <w:color w:val="000000"/>
          <w:spacing w:val="0"/>
          <w:w w:val="100"/>
          <w:position w:val="0"/>
          <w:u w:val="single"/>
          <w:shd w:val="clear" w:color="auto" w:fill="auto"/>
          <w:lang w:val="cs-CZ" w:eastAsia="cs-CZ" w:bidi="cs-CZ"/>
        </w:rPr>
        <w:t>Výkon autorského dozoru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účastnit se předání staveniště dodavateli,</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dohled nad realizací díla,</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sledování a kontrola technických a kvalitativních parametrů 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účast na kontrolních dnech 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provádění projekčních prací menšího rozsahu (doplňky a změny),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poskytovat technické konzultace potřebné pro plynulost výstavby,</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0" w:right="0" w:firstLine="160"/>
        <w:jc w:val="both"/>
      </w:pPr>
      <w:r>
        <w:rPr>
          <w:color w:val="000000"/>
          <w:spacing w:val="0"/>
          <w:w w:val="100"/>
          <w:position w:val="0"/>
          <w:shd w:val="clear" w:color="auto" w:fill="auto"/>
          <w:lang w:val="cs-CZ" w:eastAsia="cs-CZ" w:bidi="cs-CZ"/>
        </w:rPr>
        <w:t>konzultovat a podávat upřesnění při vypracování realizační dokumentace,</w:t>
      </w:r>
    </w:p>
    <w:p>
      <w:pPr>
        <w:pStyle w:val="Style10"/>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447" w:val="left"/>
        </w:tabs>
        <w:bidi w:val="0"/>
        <w:spacing w:before="0" w:line="240" w:lineRule="auto"/>
        <w:ind w:left="440" w:right="0" w:hanging="280"/>
        <w:jc w:val="both"/>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w:t>
      </w:r>
    </w:p>
    <w:p>
      <w:pPr>
        <w:pStyle w:val="Style10"/>
        <w:keepNext w:val="0"/>
        <w:keepLines w:val="0"/>
        <w:widowControl w:val="0"/>
        <w:shd w:val="clear" w:color="auto" w:fill="auto"/>
        <w:bidi w:val="0"/>
        <w:spacing w:before="0" w:after="240" w:line="266"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V odůvodněných případech uvede stručnou charakteristiku porušení dokumentace a tomu odpovídající důsledky.</w:t>
      </w:r>
    </w:p>
    <w:p>
      <w:pPr>
        <w:pStyle w:val="Style10"/>
        <w:keepNext w:val="0"/>
        <w:keepLines w:val="0"/>
        <w:widowControl w:val="0"/>
        <w:shd w:val="clear" w:color="auto" w:fill="auto"/>
        <w:bidi w:val="0"/>
        <w:spacing w:before="0" w:after="820" w:line="271"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b/>
          <w:bCs/>
          <w:color w:val="000000"/>
          <w:spacing w:val="0"/>
          <w:w w:val="100"/>
          <w:position w:val="0"/>
          <w:u w:val="single"/>
          <w:shd w:val="clear" w:color="auto" w:fill="auto"/>
          <w:lang w:val="cs-CZ" w:eastAsia="cs-CZ" w:bidi="cs-CZ"/>
        </w:rPr>
        <w:t>Místo plnění/realizace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20" w:line="276" w:lineRule="auto"/>
        <w:ind w:left="0" w:right="0" w:firstLine="0"/>
        <w:jc w:val="left"/>
      </w:pPr>
      <w:r>
        <w:rPr>
          <w:color w:val="000000"/>
          <w:spacing w:val="0"/>
          <w:w w:val="100"/>
          <w:position w:val="0"/>
          <w:shd w:val="clear" w:color="auto" w:fill="auto"/>
          <w:lang w:val="cs-CZ" w:eastAsia="cs-CZ" w:bidi="cs-CZ"/>
        </w:rPr>
        <w:t>Místo stavby - Kraj Vysočina, okres Žďár nad Sázavou, k. ú. Domanín u Bystřice nad Pernštejnem, obec: Bystřice nad Pernštejnem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b/>
          <w:bCs/>
          <w:color w:val="000000"/>
          <w:spacing w:val="0"/>
          <w:w w:val="100"/>
          <w:position w:val="0"/>
          <w:u w:val="single"/>
          <w:shd w:val="clear" w:color="auto" w:fill="auto"/>
          <w:lang w:val="cs-CZ" w:eastAsia="cs-CZ" w:bidi="cs-CZ"/>
        </w:rPr>
        <w:t>Veřejný provoz</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color w:val="000000"/>
          <w:spacing w:val="0"/>
          <w:w w:val="100"/>
          <w:position w:val="0"/>
          <w:shd w:val="clear" w:color="auto" w:fill="auto"/>
          <w:lang w:val="cs-CZ" w:eastAsia="cs-CZ" w:bidi="cs-CZ"/>
        </w:rPr>
        <w:t>Zadavatel předpokládá, že projektovaná rekonstrukce mostu bude probíhat za úplné uzavírky silničního provozu.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b/>
          <w:bCs/>
          <w:color w:val="000000"/>
          <w:spacing w:val="0"/>
          <w:w w:val="100"/>
          <w:position w:val="0"/>
          <w:u w:val="single"/>
          <w:shd w:val="clear" w:color="auto" w:fill="auto"/>
          <w:lang w:val="cs-CZ" w:eastAsia="cs-CZ" w:bidi="cs-CZ"/>
        </w:rPr>
        <w:t>Seznam poskytnutných podkladů</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color w:val="000000"/>
          <w:spacing w:val="0"/>
          <w:w w:val="100"/>
          <w:position w:val="0"/>
          <w:shd w:val="clear" w:color="auto" w:fill="auto"/>
          <w:lang w:val="cs-CZ" w:eastAsia="cs-CZ" w:bidi="cs-CZ"/>
        </w:rPr>
        <w:t>Přehledná situace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color w:val="000000"/>
          <w:spacing w:val="0"/>
          <w:w w:val="100"/>
          <w:position w:val="0"/>
          <w:shd w:val="clear" w:color="auto" w:fill="auto"/>
          <w:lang w:val="cs-CZ" w:eastAsia="cs-CZ" w:bidi="cs-CZ"/>
        </w:rPr>
        <w:t>MLM - ev. č. 36035-2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20" w:line="271" w:lineRule="auto"/>
        <w:ind w:left="0" w:right="0" w:firstLine="0"/>
        <w:jc w:val="left"/>
      </w:pPr>
      <w:r>
        <w:rPr>
          <w:color w:val="000000"/>
          <w:spacing w:val="0"/>
          <w:w w:val="100"/>
          <w:position w:val="0"/>
          <w:shd w:val="clear" w:color="auto" w:fill="auto"/>
          <w:lang w:val="cs-CZ" w:eastAsia="cs-CZ" w:bidi="cs-CZ"/>
        </w:rPr>
        <w:t>HMP - ev. č. 36035-2</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r>
        <w:rPr>
          <w:b/>
          <w:bCs/>
          <w:color w:val="000000"/>
          <w:spacing w:val="0"/>
          <w:w w:val="100"/>
          <w:position w:val="0"/>
          <w:u w:val="single"/>
          <w:shd w:val="clear" w:color="auto" w:fill="auto"/>
          <w:lang w:val="cs-CZ" w:eastAsia="cs-CZ" w:bidi="cs-CZ"/>
        </w:rPr>
        <w:t>Lhůty plnění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966" w:val="left"/>
        </w:tabs>
        <w:bidi w:val="0"/>
        <w:spacing w:before="0" w:after="120" w:line="271" w:lineRule="auto"/>
        <w:ind w:left="0" w:right="0" w:firstLine="0"/>
        <w:jc w:val="left"/>
      </w:pPr>
      <w:r>
        <w:rPr>
          <w:color w:val="000000"/>
          <w:spacing w:val="0"/>
          <w:w w:val="100"/>
          <w:position w:val="0"/>
          <w:shd w:val="clear" w:color="auto" w:fill="auto"/>
          <w:lang w:val="cs-CZ" w:eastAsia="cs-CZ" w:bidi="cs-CZ"/>
        </w:rPr>
        <w:t>Zahájení realizace:</w:t>
        <w:tab/>
        <w:t>ihned po nabytí účinnosti smlouvy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966" w:val="left"/>
        </w:tabs>
        <w:bidi w:val="0"/>
        <w:spacing w:before="0" w:after="120" w:line="271" w:lineRule="auto"/>
        <w:ind w:left="0" w:right="0" w:firstLine="0"/>
        <w:jc w:val="left"/>
      </w:pPr>
      <w:r>
        <w:rPr>
          <w:color w:val="000000"/>
          <w:spacing w:val="0"/>
          <w:w w:val="100"/>
          <w:position w:val="0"/>
          <w:shd w:val="clear" w:color="auto" w:fill="auto"/>
          <w:lang w:val="cs-CZ" w:eastAsia="cs-CZ" w:bidi="cs-CZ"/>
        </w:rPr>
        <w:t>Dokumentace DUSP (koncept):</w:t>
        <w:tab/>
        <w:t>do 60 dnů od nabytí účinnosti smlouvy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4980" w:right="0" w:hanging="4980"/>
        <w:jc w:val="left"/>
      </w:pPr>
      <w:r>
        <w:rPr>
          <w:color w:val="000000"/>
          <w:spacing w:val="0"/>
          <w:w w:val="100"/>
          <w:position w:val="0"/>
          <w:shd w:val="clear" w:color="auto" w:fill="auto"/>
          <w:lang w:val="cs-CZ" w:eastAsia="cs-CZ" w:bidi="cs-CZ"/>
        </w:rPr>
        <w:t>Dokumentace DUSP (čistopis, včetně IČ a projednání s DOSS, odsouhlasený objednatelem): do 60 dnů od předání konceptu DUSP</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4980" w:right="0" w:hanging="4980"/>
        <w:jc w:val="left"/>
      </w:pPr>
      <w:r>
        <w:rPr>
          <w:color w:val="000000"/>
          <w:spacing w:val="0"/>
          <w:w w:val="100"/>
          <w:position w:val="0"/>
          <w:shd w:val="clear" w:color="auto" w:fill="auto"/>
          <w:lang w:val="cs-CZ" w:eastAsia="cs-CZ" w:bidi="cs-CZ"/>
        </w:rPr>
        <w:t>Podání žádosti o společné územní a stavební povolení: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4980" w:right="0" w:firstLine="0"/>
        <w:jc w:val="left"/>
      </w:pPr>
      <w:r>
        <w:rPr>
          <w:color w:val="000000"/>
          <w:spacing w:val="0"/>
          <w:w w:val="100"/>
          <w:position w:val="0"/>
          <w:shd w:val="clear" w:color="auto" w:fill="auto"/>
          <w:lang w:val="cs-CZ" w:eastAsia="cs-CZ" w:bidi="cs-CZ"/>
        </w:rPr>
        <w:t>do 10 dnů od dokončení IČ</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Dokumentace PDPS (čistopis, včetně zapracování případných připomínek ze stavebního řízení a včetně soupisů prací, odsouhlasený objednatelem):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4980" w:right="0" w:firstLine="0"/>
        <w:jc w:val="left"/>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662" w:left="1049" w:right="1083" w:bottom="1280" w:header="234" w:footer="3" w:gutter="0"/>
          <w:pgNumType w:start="1"/>
          <w:cols w:space="720"/>
          <w:noEndnote/>
          <w:rtlGutter w:val="0"/>
          <w:docGrid w:linePitch="360"/>
        </w:sectPr>
      </w:pPr>
      <w:r>
        <w:rPr>
          <w:color w:val="000000"/>
          <w:spacing w:val="0"/>
          <w:w w:val="100"/>
          <w:position w:val="0"/>
          <w:shd w:val="clear" w:color="auto" w:fill="auto"/>
          <w:lang w:val="cs-CZ" w:eastAsia="cs-CZ" w:bidi="cs-CZ"/>
        </w:rPr>
        <w:t>do 15 dnů od vydání ÚSP</w:t>
      </w:r>
    </w:p>
    <w:p>
      <w:pPr>
        <w:pStyle w:val="Style19"/>
        <w:keepNext w:val="0"/>
        <w:keepLines w:val="0"/>
        <w:widowControl w:val="0"/>
        <w:shd w:val="clear" w:color="auto" w:fill="auto"/>
        <w:bidi w:val="0"/>
        <w:spacing w:before="0" w:after="0" w:line="240" w:lineRule="auto"/>
        <w:ind w:left="0" w:right="0"/>
        <w:jc w:val="left"/>
      </w:pPr>
      <w:r>
        <mc:AlternateContent>
          <mc:Choice Requires="wps">
            <w:drawing>
              <wp:anchor distT="0" distB="0" distL="114300" distR="114300" simplePos="0" relativeHeight="125829378" behindDoc="0" locked="0" layoutInCell="1" allowOverlap="1">
                <wp:simplePos x="0" y="0"/>
                <wp:positionH relativeFrom="page">
                  <wp:posOffset>6186170</wp:posOffset>
                </wp:positionH>
                <wp:positionV relativeFrom="paragraph">
                  <wp:posOffset>12700</wp:posOffset>
                </wp:positionV>
                <wp:extent cx="567055" cy="179705"/>
                <wp:wrapSquare wrapText="left"/>
                <wp:docPr id="15" name="Shape 15"/>
                <a:graphic xmlns:a="http://schemas.openxmlformats.org/drawingml/2006/main">
                  <a:graphicData uri="http://schemas.microsoft.com/office/word/2010/wordprocessingShape">
                    <wps:wsp>
                      <wps:cNvSpPr txBox="1"/>
                      <wps:spPr>
                        <a:xfrm>
                          <a:ext cx="567055" cy="1797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B1</w:t>
                            </w:r>
                          </w:p>
                        </w:txbxContent>
                      </wps:txbx>
                      <wps:bodyPr wrap="none" lIns="0" tIns="0" rIns="0" bIns="0">
                        <a:noAutoFit/>
                      </wps:bodyPr>
                    </wps:wsp>
                  </a:graphicData>
                </a:graphic>
              </wp:anchor>
            </w:drawing>
          </mc:Choice>
          <mc:Fallback>
            <w:pict>
              <v:shape id="_x0000_s1041" type="#_x0000_t202" style="position:absolute;margin-left:487.10000000000002pt;margin-top:1.pt;width:44.649999999999999pt;height:14.15pt;z-index:-125829375;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B1</w:t>
                      </w:r>
                    </w:p>
                  </w:txbxContent>
                </v:textbox>
                <w10:wrap type="square" side="left" anchorx="page"/>
              </v:shape>
            </w:pict>
          </mc:Fallback>
        </mc:AlternateContent>
      </w:r>
      <w:r>
        <w:rPr>
          <w:color w:val="000000"/>
          <w:spacing w:val="0"/>
          <w:w w:val="100"/>
          <w:position w:val="0"/>
          <w:shd w:val="clear" w:color="auto" w:fill="auto"/>
          <w:lang w:val="cs-CZ" w:eastAsia="cs-CZ" w:bidi="cs-CZ"/>
        </w:rPr>
        <w:t>Vypracování projektové dokumentace</w:t>
      </w:r>
    </w:p>
    <w:p>
      <w:pPr>
        <w:pStyle w:val="Style19"/>
        <w:keepNext w:val="0"/>
        <w:keepLines w:val="0"/>
        <w:widowControl w:val="0"/>
        <w:pBdr>
          <w:bottom w:val="single" w:sz="4" w:space="0" w:color="auto"/>
        </w:pBdr>
        <w:shd w:val="clear" w:color="auto" w:fill="auto"/>
        <w:bidi w:val="0"/>
        <w:spacing w:before="0" w:after="1420" w:line="240" w:lineRule="auto"/>
        <w:ind w:left="0" w:right="0"/>
        <w:jc w:val="left"/>
      </w:pPr>
      <w:r>
        <w:rPr>
          <w:color w:val="000000"/>
          <w:spacing w:val="0"/>
          <w:w w:val="100"/>
          <w:position w:val="0"/>
          <w:shd w:val="clear" w:color="auto" w:fill="auto"/>
          <w:lang w:val="cs-CZ" w:eastAsia="cs-CZ" w:bidi="cs-CZ"/>
        </w:rPr>
        <w:t>III/12917 Útěchovičky - most ev. č. 12917-3</w:t>
      </w:r>
    </w:p>
    <w:p>
      <w:pPr>
        <w:pStyle w:val="Style26"/>
        <w:keepNext/>
        <w:keepLines/>
        <w:widowControl w:val="0"/>
        <w:shd w:val="clear" w:color="auto" w:fill="auto"/>
        <w:bidi w:val="0"/>
        <w:spacing w:before="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Údaje, které jsou součástí ujednání a nebudou zveřejněny v Registru smluv:</w:t>
      </w:r>
      <w:bookmarkEnd w:id="0"/>
      <w:bookmarkEnd w:id="1"/>
    </w:p>
    <w:p>
      <w:pPr>
        <w:pStyle w:val="Style10"/>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280" w:line="240" w:lineRule="auto"/>
        <w:ind w:left="0" w:right="0" w:firstLine="38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1180" w:line="240" w:lineRule="auto"/>
        <w:ind w:left="38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10"/>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Projekční kancelář PRIS spol. s r.o.</w:t>
      </w:r>
    </w:p>
    <w:p>
      <w:pPr>
        <w:pStyle w:val="Style10"/>
        <w:keepNext w:val="0"/>
        <w:keepLines w:val="0"/>
        <w:widowControl w:val="0"/>
        <w:shd w:val="clear" w:color="auto" w:fill="auto"/>
        <w:bidi w:val="0"/>
        <w:spacing w:before="0" w:after="280" w:line="240" w:lineRule="auto"/>
        <w:ind w:left="0" w:right="0" w:firstLine="38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280" w:line="240" w:lineRule="auto"/>
        <w:ind w:left="0" w:right="0" w:firstLine="380"/>
        <w:jc w:val="left"/>
      </w:pPr>
      <w:r>
        <w:rPr>
          <w:color w:val="000000"/>
          <w:spacing w:val="0"/>
          <w:w w:val="100"/>
          <w:position w:val="0"/>
          <w:u w:val="single"/>
          <w:shd w:val="clear" w:color="auto" w:fill="auto"/>
          <w:lang w:val="cs-CZ" w:eastAsia="cs-CZ" w:bidi="cs-CZ"/>
        </w:rPr>
        <w:t>Osoby pověřené jednat jménem zhotovitele:</w:t>
      </w:r>
    </w:p>
    <w:p>
      <w:pPr>
        <w:pStyle w:val="Style10"/>
        <w:keepNext w:val="0"/>
        <w:keepLines w:val="0"/>
        <w:widowControl w:val="0"/>
        <w:shd w:val="clear" w:color="auto" w:fill="auto"/>
        <w:bidi w:val="0"/>
        <w:spacing w:before="0" w:after="760" w:line="240" w:lineRule="auto"/>
        <w:ind w:left="0" w:right="0" w:firstLine="38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420" w:line="240" w:lineRule="auto"/>
        <w:ind w:left="0" w:right="0" w:firstLine="380"/>
        <w:jc w:val="left"/>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r>
        <w:br w:type="page"/>
      </w:r>
    </w:p>
    <w:tbl>
      <w:tblPr>
        <w:tblOverlap w:val="never"/>
        <w:jc w:val="center"/>
        <w:tblLayout w:type="fixed"/>
      </w:tblPr>
      <w:tblGrid>
        <w:gridCol w:w="518"/>
        <w:gridCol w:w="7133"/>
        <w:gridCol w:w="2117"/>
      </w:tblGrid>
      <w:tr>
        <w:trPr>
          <w:trHeight w:val="514" w:hRule="exact"/>
        </w:trPr>
        <w:tc>
          <w:tcPr>
            <w:gridSpan w:val="3"/>
            <w:tcBorders>
              <w:top w:val="single" w:sz="4"/>
              <w:left w:val="single" w:sz="4"/>
              <w:right w:val="single" w:sz="4"/>
            </w:tcBorders>
            <w:shd w:val="clear" w:color="auto" w:fill="F3EDDD"/>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Kalkulace projekčních prací</w:t>
            </w:r>
          </w:p>
        </w:tc>
      </w:tr>
      <w:tr>
        <w:trPr>
          <w:trHeight w:val="4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Popis prací</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Cena bez DPH</w:t>
            </w:r>
          </w:p>
        </w:tc>
      </w:tr>
      <w:tr>
        <w:trPr>
          <w:trHeight w:val="71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3EDDD"/>
            <w:vAlign w:val="bottom"/>
          </w:tcPr>
          <w:p>
            <w:pPr>
              <w:pStyle w:val="Style2"/>
              <w:keepNext w:val="0"/>
              <w:keepLines w:val="0"/>
              <w:widowControl w:val="0"/>
              <w:shd w:val="clear" w:color="auto" w:fill="auto"/>
              <w:bidi w:val="0"/>
              <w:spacing w:before="0" w:after="0" w:line="271"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Vypracování diagnostického průzkumu mostu v rozsahu dle technických podmínek v zadávací dokumentaci včetně návrhu techn.řešení</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105 000,00 Kč</w:t>
            </w:r>
          </w:p>
        </w:tc>
      </w:tr>
      <w:tr>
        <w:trPr>
          <w:trHeight w:val="71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3EDDD"/>
            <w:vAlign w:val="bottom"/>
          </w:tcPr>
          <w:p>
            <w:pPr>
              <w:pStyle w:val="Style2"/>
              <w:keepNext w:val="0"/>
              <w:keepLines w:val="0"/>
              <w:widowControl w:val="0"/>
              <w:shd w:val="clear" w:color="auto" w:fill="auto"/>
              <w:bidi w:val="0"/>
              <w:spacing w:before="0" w:after="0" w:line="271"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14 000,00 Kč</w:t>
            </w:r>
          </w:p>
        </w:tc>
      </w:tr>
      <w:tr>
        <w:trPr>
          <w:trHeight w:val="93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3EDDD"/>
            <w:vAlign w:val="bottom"/>
          </w:tcPr>
          <w:p>
            <w:pPr>
              <w:pStyle w:val="Style2"/>
              <w:keepNext w:val="0"/>
              <w:keepLines w:val="0"/>
              <w:widowControl w:val="0"/>
              <w:shd w:val="clear" w:color="auto" w:fill="auto"/>
              <w:bidi w:val="0"/>
              <w:spacing w:before="0" w:after="0" w:line="276"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(USP)</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132 000,00 Kč</w:t>
            </w:r>
          </w:p>
        </w:tc>
      </w:tr>
      <w:tr>
        <w:trPr>
          <w:trHeight w:val="93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F3EDDD"/>
            <w:vAlign w:val="center"/>
          </w:tcPr>
          <w:p>
            <w:pPr>
              <w:pStyle w:val="Style2"/>
              <w:keepNext w:val="0"/>
              <w:keepLines w:val="0"/>
              <w:widowControl w:val="0"/>
              <w:shd w:val="clear" w:color="auto" w:fill="auto"/>
              <w:bidi w:val="0"/>
              <w:spacing w:before="0" w:after="0" w:line="271"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55 000,00 Kč</w:t>
            </w:r>
          </w:p>
        </w:tc>
      </w:tr>
      <w:tr>
        <w:trPr>
          <w:trHeight w:val="43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580" w:right="0" w:firstLine="0"/>
              <w:jc w:val="left"/>
              <w:rPr>
                <w:sz w:val="17"/>
                <w:szCs w:val="17"/>
              </w:rPr>
            </w:pPr>
            <w:r>
              <w:rPr>
                <w:b/>
                <w:bCs/>
                <w:color w:val="000000"/>
                <w:spacing w:val="0"/>
                <w:w w:val="100"/>
                <w:position w:val="0"/>
                <w:sz w:val="17"/>
                <w:szCs w:val="17"/>
                <w:shd w:val="clear" w:color="auto" w:fill="auto"/>
                <w:lang w:val="cs-CZ" w:eastAsia="cs-CZ" w:bidi="cs-CZ"/>
              </w:rPr>
              <w:t>Cena za zpracování kompletní projektové dokumentace stavby bez DPH</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306 000,00 Kč</w:t>
            </w:r>
          </w:p>
        </w:tc>
      </w:tr>
      <w:tr>
        <w:trPr>
          <w:trHeight w:val="427"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600" w:firstLine="0"/>
              <w:jc w:val="right"/>
              <w:rPr>
                <w:sz w:val="17"/>
                <w:szCs w:val="17"/>
              </w:rPr>
            </w:pPr>
            <w:r>
              <w:rPr>
                <w:b/>
                <w:bCs/>
                <w:color w:val="000000"/>
                <w:spacing w:val="0"/>
                <w:w w:val="100"/>
                <w:position w:val="0"/>
                <w:sz w:val="17"/>
                <w:szCs w:val="17"/>
                <w:shd w:val="clear" w:color="auto" w:fill="auto"/>
                <w:lang w:val="cs-CZ" w:eastAsia="cs-CZ" w:bidi="cs-CZ"/>
              </w:rPr>
              <w:t>DPH 21 %</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64 260,00 Kč</w:t>
            </w:r>
          </w:p>
        </w:tc>
      </w:tr>
      <w:tr>
        <w:trPr>
          <w:trHeight w:val="446" w:hRule="exact"/>
        </w:trPr>
        <w:tc>
          <w:tcPr>
            <w:gridSpan w:val="2"/>
            <w:tcBorders>
              <w:top w:val="single" w:sz="4"/>
              <w:left w:val="single" w:sz="4"/>
              <w:bottom w:val="single" w:sz="4"/>
            </w:tcBorders>
            <w:shd w:val="clear" w:color="auto" w:fill="F3EDDD"/>
            <w:vAlign w:val="bottom"/>
          </w:tcPr>
          <w:p>
            <w:pPr>
              <w:pStyle w:val="Style2"/>
              <w:keepNext w:val="0"/>
              <w:keepLines w:val="0"/>
              <w:widowControl w:val="0"/>
              <w:shd w:val="clear" w:color="auto" w:fill="auto"/>
              <w:bidi w:val="0"/>
              <w:spacing w:before="0" w:after="0" w:line="240" w:lineRule="auto"/>
              <w:ind w:left="1340" w:right="0" w:firstLine="0"/>
              <w:jc w:val="left"/>
              <w:rPr>
                <w:sz w:val="17"/>
                <w:szCs w:val="17"/>
              </w:rPr>
            </w:pPr>
            <w:r>
              <w:rPr>
                <w:b/>
                <w:bCs/>
                <w:color w:val="000000"/>
                <w:spacing w:val="0"/>
                <w:w w:val="100"/>
                <w:position w:val="0"/>
                <w:sz w:val="17"/>
                <w:szCs w:val="17"/>
                <w:shd w:val="clear" w:color="auto" w:fill="auto"/>
                <w:lang w:val="cs-CZ" w:eastAsia="cs-CZ" w:bidi="cs-CZ"/>
              </w:rPr>
              <w:t xml:space="preserve">Cena za zpracování kompletní projektové dokumentace stavby včetně DPH </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bottom w:val="single" w:sz="4"/>
              <w:right w:val="single" w:sz="4"/>
            </w:tcBorders>
            <w:shd w:val="clear" w:color="auto" w:fill="F3EDDD"/>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370 260,00 Kč</w:t>
            </w:r>
          </w:p>
        </w:tc>
      </w:tr>
    </w:tbl>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662" w:left="1049" w:right="1083" w:bottom="1280" w:header="0" w:footer="3" w:gutter="0"/>
      <w:pgNumType w:start="1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3375025</wp:posOffset>
              </wp:positionH>
              <wp:positionV relativeFrom="page">
                <wp:posOffset>10214610</wp:posOffset>
              </wp:positionV>
              <wp:extent cx="795655" cy="109855"/>
              <wp:wrapNone/>
              <wp:docPr id="3" name="Shape 3"/>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265.75pt;margin-top:804.29999999999995pt;width:62.649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873125</wp:posOffset>
              </wp:positionH>
              <wp:positionV relativeFrom="page">
                <wp:posOffset>10170160</wp:posOffset>
              </wp:positionV>
              <wp:extent cx="5891530" cy="0"/>
              <wp:wrapNone/>
              <wp:docPr id="5" name="Shape 5"/>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75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3375025</wp:posOffset>
              </wp:positionH>
              <wp:positionV relativeFrom="page">
                <wp:posOffset>10214610</wp:posOffset>
              </wp:positionV>
              <wp:extent cx="795655" cy="109855"/>
              <wp:wrapNone/>
              <wp:docPr id="8" name="Shape 8"/>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wps:txbx>
                    <wps:bodyPr wrap="none" lIns="0" tIns="0" rIns="0" bIns="0">
                      <a:spAutoFit/>
                    </wps:bodyPr>
                  </wps:wsp>
                </a:graphicData>
              </a:graphic>
            </wp:anchor>
          </w:drawing>
        </mc:Choice>
        <mc:Fallback>
          <w:pict>
            <v:shape id="_x0000_s1034" type="#_x0000_t202" style="position:absolute;margin-left:265.75pt;margin-top:804.29999999999995pt;width:62.649999999999999pt;height:8.6500000000000004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873125</wp:posOffset>
              </wp:positionH>
              <wp:positionV relativeFrom="page">
                <wp:posOffset>10170160</wp:posOffset>
              </wp:positionV>
              <wp:extent cx="5891530" cy="0"/>
              <wp:wrapNone/>
              <wp:docPr id="10" name="Shape 10"/>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75pt;margin-top:800.79999999999995pt;width:463.8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5925185</wp:posOffset>
              </wp:positionH>
              <wp:positionV relativeFrom="page">
                <wp:posOffset>9944100</wp:posOffset>
              </wp:positionV>
              <wp:extent cx="725170" cy="128270"/>
              <wp:wrapNone/>
              <wp:docPr id="11" name="Shape 11"/>
              <a:graphic xmlns:a="http://schemas.openxmlformats.org/drawingml/2006/main">
                <a:graphicData uri="http://schemas.microsoft.com/office/word/2010/wordprocessingShape">
                  <wps:wsp>
                    <wps:cNvSpPr txBox="1"/>
                    <wps:spPr>
                      <a:xfrm>
                        <a:ext cx="7251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6</w:t>
                          </w:r>
                        </w:p>
                      </w:txbxContent>
                    </wps:txbx>
                    <wps:bodyPr wrap="none" lIns="0" tIns="0" rIns="0" bIns="0">
                      <a:spAutoFit/>
                    </wps:bodyPr>
                  </wps:wsp>
                </a:graphicData>
              </a:graphic>
            </wp:anchor>
          </w:drawing>
        </mc:Choice>
        <mc:Fallback>
          <w:pict>
            <v:shape id="_x0000_s1037" type="#_x0000_t202" style="position:absolute;margin-left:466.55000000000001pt;margin-top:783.pt;width:57.100000000000001pt;height:1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5925185</wp:posOffset>
              </wp:positionH>
              <wp:positionV relativeFrom="page">
                <wp:posOffset>9944100</wp:posOffset>
              </wp:positionV>
              <wp:extent cx="725170" cy="128270"/>
              <wp:wrapNone/>
              <wp:docPr id="13" name="Shape 13"/>
              <a:graphic xmlns:a="http://schemas.openxmlformats.org/drawingml/2006/main">
                <a:graphicData uri="http://schemas.microsoft.com/office/word/2010/wordprocessingShape">
                  <wps:wsp>
                    <wps:cNvSpPr txBox="1"/>
                    <wps:spPr>
                      <a:xfrm>
                        <a:ext cx="7251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6</w:t>
                          </w:r>
                        </w:p>
                      </w:txbxContent>
                    </wps:txbx>
                    <wps:bodyPr wrap="none" lIns="0" tIns="0" rIns="0" bIns="0">
                      <a:spAutoFit/>
                    </wps:bodyPr>
                  </wps:wsp>
                </a:graphicData>
              </a:graphic>
            </wp:anchor>
          </w:drawing>
        </mc:Choice>
        <mc:Fallback>
          <w:pict>
            <v:shape id="_x0000_s1039" type="#_x0000_t202" style="position:absolute;margin-left:466.55000000000001pt;margin-top:783.pt;width:57.100000000000001pt;height:10.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6</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3475990</wp:posOffset>
              </wp:positionH>
              <wp:positionV relativeFrom="page">
                <wp:posOffset>10198735</wp:posOffset>
              </wp:positionV>
              <wp:extent cx="667385" cy="109855"/>
              <wp:wrapNone/>
              <wp:docPr id="17" name="Shape 17"/>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wps:txbx>
                    <wps:bodyPr wrap="none" lIns="0" tIns="0" rIns="0" bIns="0">
                      <a:spAutoFit/>
                    </wps:bodyPr>
                  </wps:wsp>
                </a:graphicData>
              </a:graphic>
            </wp:anchor>
          </w:drawing>
        </mc:Choice>
        <mc:Fallback>
          <w:pict>
            <v:shape id="_x0000_s1043" type="#_x0000_t202" style="position:absolute;margin-left:273.69999999999999pt;margin-top:803.04999999999995pt;width:52.549999999999997pt;height:8.6500000000000004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909955</wp:posOffset>
              </wp:positionH>
              <wp:positionV relativeFrom="page">
                <wp:posOffset>10154285</wp:posOffset>
              </wp:positionV>
              <wp:extent cx="5891530" cy="0"/>
              <wp:wrapNone/>
              <wp:docPr id="19" name="Shape 19"/>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71.650000000000006pt;margin-top:799.54999999999995pt;width:463.89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923290</wp:posOffset>
              </wp:positionH>
              <wp:positionV relativeFrom="page">
                <wp:posOffset>615950</wp:posOffset>
              </wp:positionV>
              <wp:extent cx="2091055" cy="292735"/>
              <wp:wrapNone/>
              <wp:docPr id="1" name="Shape 1"/>
              <a:graphic xmlns:a="http://schemas.openxmlformats.org/drawingml/2006/main">
                <a:graphicData uri="http://schemas.microsoft.com/office/word/2010/wordprocessingShape">
                  <wps:wsp>
                    <wps:cNvSpPr txBox="1"/>
                    <wps:spPr>
                      <a:xfrm>
                        <a:ext cx="2091055"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III/36035 Domanín - most ev. č. 36035-2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700000000000003pt;margin-top:48.5pt;width:164.65000000000001pt;height:23.0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III/36035 Domanín - most ev. č. 36035-2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923290</wp:posOffset>
              </wp:positionH>
              <wp:positionV relativeFrom="page">
                <wp:posOffset>615950</wp:posOffset>
              </wp:positionV>
              <wp:extent cx="2091055" cy="292735"/>
              <wp:wrapNone/>
              <wp:docPr id="6" name="Shape 6"/>
              <a:graphic xmlns:a="http://schemas.openxmlformats.org/drawingml/2006/main">
                <a:graphicData uri="http://schemas.microsoft.com/office/word/2010/wordprocessingShape">
                  <wps:wsp>
                    <wps:cNvSpPr txBox="1"/>
                    <wps:spPr>
                      <a:xfrm>
                        <a:ext cx="2091055"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III/36035 Domanín - most ev. č. 36035-2</w:t>
                          </w:r>
                        </w:p>
                      </w:txbxContent>
                    </wps:txbx>
                    <wps:bodyPr wrap="none" lIns="0" tIns="0" rIns="0" bIns="0">
                      <a:spAutoFit/>
                    </wps:bodyPr>
                  </wps:wsp>
                </a:graphicData>
              </a:graphic>
            </wp:anchor>
          </w:drawing>
        </mc:Choice>
        <mc:Fallback>
          <w:pict>
            <v:shape id="_x0000_s1032" type="#_x0000_t202" style="position:absolute;margin-left:72.700000000000003pt;margin-top:48.5pt;width:164.65000000000001pt;height:23.05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III/36035 Domanín - most ev. č. 36035-2</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2"/>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_"/>
    <w:basedOn w:val="DefaultParagraphFont"/>
    <w:link w:val="Style10"/>
    <w:rPr>
      <w:rFonts w:ascii="Calibri" w:eastAsia="Calibri" w:hAnsi="Calibri" w:cs="Calibri"/>
      <w:b w:val="0"/>
      <w:bCs w:val="0"/>
      <w:i w:val="0"/>
      <w:iCs w:val="0"/>
      <w:smallCaps w:val="0"/>
      <w:strike w:val="0"/>
      <w:sz w:val="24"/>
      <w:szCs w:val="24"/>
      <w:u w:val="none"/>
    </w:rPr>
  </w:style>
  <w:style w:type="character" w:customStyle="1" w:styleId="CharStyle14">
    <w:name w:val="Titulek tabulky_"/>
    <w:basedOn w:val="DefaultParagraphFont"/>
    <w:link w:val="Style13"/>
    <w:rPr>
      <w:rFonts w:ascii="Calibri" w:eastAsia="Calibri" w:hAnsi="Calibri" w:cs="Calibri"/>
      <w:b w:val="0"/>
      <w:bCs w:val="0"/>
      <w:i w:val="0"/>
      <w:iCs w:val="0"/>
      <w:smallCaps w:val="0"/>
      <w:strike w:val="0"/>
      <w:sz w:val="24"/>
      <w:szCs w:val="24"/>
      <w:u w:val="none"/>
    </w:rPr>
  </w:style>
  <w:style w:type="character" w:customStyle="1" w:styleId="CharStyle20">
    <w:name w:val="Základní text (2)_"/>
    <w:basedOn w:val="DefaultParagraphFont"/>
    <w:link w:val="Style19"/>
    <w:rPr>
      <w:rFonts w:ascii="Calibri" w:eastAsia="Calibri" w:hAnsi="Calibri" w:cs="Calibri"/>
      <w:b w:val="0"/>
      <w:bCs w:val="0"/>
      <w:i w:val="0"/>
      <w:iCs w:val="0"/>
      <w:smallCaps w:val="0"/>
      <w:strike w:val="0"/>
      <w:sz w:val="20"/>
      <w:szCs w:val="20"/>
      <w:u w:val="none"/>
    </w:rPr>
  </w:style>
  <w:style w:type="character" w:customStyle="1" w:styleId="CharStyle27">
    <w:name w:val="Nadpis #1_"/>
    <w:basedOn w:val="DefaultParagraphFont"/>
    <w:link w:val="Style26"/>
    <w:rPr>
      <w:rFonts w:ascii="Calibri" w:eastAsia="Calibri" w:hAnsi="Calibri" w:cs="Calibri"/>
      <w:b/>
      <w:bCs/>
      <w:i w:val="0"/>
      <w:iCs w:val="0"/>
      <w:smallCaps w:val="0"/>
      <w:strike w:val="0"/>
      <w:sz w:val="28"/>
      <w:szCs w:val="28"/>
      <w:u w:val="none"/>
    </w:rPr>
  </w:style>
  <w:style w:type="paragraph" w:customStyle="1" w:styleId="Style2">
    <w:name w:val="Jiné"/>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3">
    <w:name w:val="Titulek tabulky"/>
    <w:basedOn w:val="Normal"/>
    <w:link w:val="CharStyle14"/>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9">
    <w:name w:val="Základní text (2)"/>
    <w:basedOn w:val="Normal"/>
    <w:link w:val="CharStyle20"/>
    <w:pPr>
      <w:widowControl w:val="0"/>
      <w:shd w:val="clear" w:color="auto" w:fill="FFFFFF"/>
      <w:spacing w:after="710"/>
      <w:ind w:firstLine="380"/>
    </w:pPr>
    <w:rPr>
      <w:rFonts w:ascii="Calibri" w:eastAsia="Calibri" w:hAnsi="Calibri" w:cs="Calibri"/>
      <w:b w:val="0"/>
      <w:bCs w:val="0"/>
      <w:i w:val="0"/>
      <w:iCs w:val="0"/>
      <w:smallCaps w:val="0"/>
      <w:strike w:val="0"/>
      <w:sz w:val="20"/>
      <w:szCs w:val="20"/>
      <w:u w:val="none"/>
    </w:rPr>
  </w:style>
  <w:style w:type="paragraph" w:customStyle="1" w:styleId="Style26">
    <w:name w:val="Nadpis #1"/>
    <w:basedOn w:val="Normal"/>
    <w:link w:val="CharStyle27"/>
    <w:pPr>
      <w:widowControl w:val="0"/>
      <w:shd w:val="clear" w:color="auto" w:fill="FFFFFF"/>
      <w:spacing w:after="560"/>
      <w:ind w:firstLine="600"/>
      <w:outlineLvl w:val="0"/>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
  <dc:subject/>
  <dc:creator>Miluše</dc:creator>
  <cp:keywords/>
</cp:coreProperties>
</file>