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74" w:rsidRPr="00230E6D" w:rsidRDefault="00230E6D">
      <w:pPr>
        <w:spacing w:after="0"/>
        <w:ind w:left="72"/>
        <w:jc w:val="center"/>
        <w:rPr>
          <w:b/>
        </w:rPr>
      </w:pPr>
      <w:r w:rsidRPr="00230E6D">
        <w:rPr>
          <w:b/>
          <w:sz w:val="32"/>
        </w:rPr>
        <w:t>Dodatek č. 1 ke kupní smlouvě</w:t>
      </w:r>
    </w:p>
    <w:p w:rsidR="00F81B74" w:rsidRDefault="00230E6D">
      <w:pPr>
        <w:spacing w:after="339" w:line="216" w:lineRule="auto"/>
        <w:ind w:left="28" w:right="7" w:firstLine="4"/>
        <w:jc w:val="both"/>
      </w:pPr>
      <w:r>
        <w:rPr>
          <w:sz w:val="24"/>
        </w:rPr>
        <w:t>uzavřené dne 11. 12. 2020 podle zákona č. 89/2012 Sb., občanský zákoník, ve znění pozdějších předpisů mezi:</w:t>
      </w:r>
    </w:p>
    <w:p w:rsidR="00F81B74" w:rsidRPr="00230E6D" w:rsidRDefault="00230E6D">
      <w:pPr>
        <w:spacing w:after="0"/>
        <w:ind w:left="60" w:right="14" w:hanging="10"/>
        <w:jc w:val="both"/>
        <w:rPr>
          <w:b/>
        </w:rPr>
      </w:pPr>
      <w:r w:rsidRPr="00230E6D">
        <w:rPr>
          <w:b/>
          <w:sz w:val="26"/>
        </w:rPr>
        <w:t>Náš svět, příspěvková organizace</w:t>
      </w:r>
    </w:p>
    <w:p w:rsidR="0004498E" w:rsidRDefault="00230E6D">
      <w:pPr>
        <w:spacing w:after="16" w:line="227" w:lineRule="auto"/>
        <w:ind w:left="28" w:right="2405" w:firstLine="4"/>
        <w:rPr>
          <w:sz w:val="24"/>
        </w:rPr>
      </w:pPr>
      <w:r>
        <w:rPr>
          <w:sz w:val="24"/>
        </w:rPr>
        <w:t>Sídlo:</w:t>
      </w:r>
      <w:r>
        <w:rPr>
          <w:sz w:val="24"/>
        </w:rPr>
        <w:tab/>
        <w:t>Pržno 239, 739 11 Pržno</w:t>
      </w:r>
    </w:p>
    <w:p w:rsidR="0004498E" w:rsidRDefault="00230E6D">
      <w:pPr>
        <w:spacing w:after="16" w:line="227" w:lineRule="auto"/>
        <w:ind w:left="28" w:right="2405" w:firstLine="4"/>
        <w:rPr>
          <w:rFonts w:ascii="Calibri" w:eastAsia="Calibri" w:hAnsi="Calibri" w:cs="Calibri"/>
          <w:sz w:val="24"/>
        </w:rPr>
      </w:pPr>
      <w:r>
        <w:rPr>
          <w:sz w:val="24"/>
        </w:rPr>
        <w:t xml:space="preserve"> IČO:</w:t>
      </w:r>
      <w:r>
        <w:rPr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00847046 </w:t>
      </w:r>
    </w:p>
    <w:p w:rsidR="0004498E" w:rsidRDefault="00230E6D">
      <w:pPr>
        <w:spacing w:after="16" w:line="227" w:lineRule="auto"/>
        <w:ind w:left="28" w:right="2405" w:firstLine="4"/>
        <w:rPr>
          <w:sz w:val="24"/>
        </w:rPr>
      </w:pPr>
      <w:r>
        <w:rPr>
          <w:sz w:val="24"/>
        </w:rPr>
        <w:t>zastoupen:</w:t>
      </w:r>
      <w:r>
        <w:rPr>
          <w:sz w:val="24"/>
        </w:rPr>
        <w:tab/>
        <w:t>Ing. Janem Zvoníčkem, ředitelem organizace bankovní spojení:</w:t>
      </w:r>
      <w:r>
        <w:rPr>
          <w:sz w:val="24"/>
        </w:rPr>
        <w:tab/>
      </w:r>
      <w:r w:rsidR="0004498E">
        <w:rPr>
          <w:sz w:val="24"/>
        </w:rPr>
        <w:t>XXX</w:t>
      </w:r>
      <w:r>
        <w:rPr>
          <w:sz w:val="24"/>
        </w:rPr>
        <w:t xml:space="preserve"> </w:t>
      </w:r>
    </w:p>
    <w:p w:rsidR="00F81B74" w:rsidRDefault="00230E6D">
      <w:pPr>
        <w:spacing w:after="16" w:line="227" w:lineRule="auto"/>
        <w:ind w:left="28" w:right="2405" w:firstLine="4"/>
      </w:pPr>
      <w:r>
        <w:rPr>
          <w:sz w:val="24"/>
        </w:rPr>
        <w:t>číslo účtu:</w:t>
      </w:r>
      <w:r>
        <w:rPr>
          <w:sz w:val="24"/>
        </w:rPr>
        <w:tab/>
      </w:r>
      <w:r w:rsidR="0004498E">
        <w:rPr>
          <w:rFonts w:ascii="Calibri" w:eastAsia="Calibri" w:hAnsi="Calibri" w:cs="Calibri"/>
          <w:sz w:val="24"/>
        </w:rPr>
        <w:t>XXXXXXXXXX</w:t>
      </w:r>
    </w:p>
    <w:p w:rsidR="00F81B74" w:rsidRDefault="00230E6D">
      <w:pPr>
        <w:spacing w:after="47"/>
        <w:ind w:left="53" w:right="6761" w:hanging="10"/>
      </w:pPr>
      <w:r>
        <w:t xml:space="preserve">(dále jen „kupující”) </w:t>
      </w:r>
      <w:bookmarkStart w:id="0" w:name="_GoBack"/>
      <w:bookmarkEnd w:id="0"/>
      <w:r>
        <w:t>a</w:t>
      </w:r>
    </w:p>
    <w:p w:rsidR="00F81B74" w:rsidRPr="00230E6D" w:rsidRDefault="00230E6D">
      <w:pPr>
        <w:spacing w:after="0"/>
        <w:ind w:left="60" w:right="14" w:hanging="10"/>
        <w:jc w:val="both"/>
        <w:rPr>
          <w:b/>
        </w:rPr>
      </w:pPr>
      <w:proofErr w:type="spellStart"/>
      <w:r w:rsidRPr="00230E6D">
        <w:rPr>
          <w:b/>
          <w:sz w:val="26"/>
        </w:rPr>
        <w:t>Arjo</w:t>
      </w:r>
      <w:proofErr w:type="spellEnd"/>
      <w:r w:rsidRPr="00230E6D">
        <w:rPr>
          <w:b/>
          <w:sz w:val="26"/>
        </w:rPr>
        <w:t xml:space="preserve"> Czech Republic s.r.o.</w:t>
      </w:r>
    </w:p>
    <w:p w:rsidR="00F81B74" w:rsidRDefault="00230E6D" w:rsidP="0004498E">
      <w:pPr>
        <w:tabs>
          <w:tab w:val="center" w:pos="2588"/>
        </w:tabs>
        <w:spacing w:after="0" w:line="216" w:lineRule="auto"/>
      </w:pPr>
      <w:r>
        <w:rPr>
          <w:sz w:val="24"/>
        </w:rPr>
        <w:t>Sídlo:</w:t>
      </w:r>
      <w:r>
        <w:rPr>
          <w:sz w:val="24"/>
        </w:rPr>
        <w:tab/>
        <w:t>Praha 4, Nusle, Na strži 1702/65</w:t>
      </w:r>
    </w:p>
    <w:p w:rsidR="0004498E" w:rsidRDefault="00230E6D" w:rsidP="0004498E">
      <w:pPr>
        <w:spacing w:after="0" w:line="227" w:lineRule="auto"/>
        <w:ind w:left="28" w:right="2066" w:firstLine="4"/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46962549 </w:t>
      </w:r>
      <w:r>
        <w:rPr>
          <w:sz w:val="24"/>
        </w:rPr>
        <w:t>zastoupen:</w:t>
      </w:r>
      <w:r>
        <w:rPr>
          <w:sz w:val="24"/>
        </w:rPr>
        <w:tab/>
      </w:r>
      <w:r w:rsidR="0004498E">
        <w:rPr>
          <w:sz w:val="24"/>
        </w:rPr>
        <w:t>XXXXXXX</w:t>
      </w:r>
    </w:p>
    <w:p w:rsidR="0004498E" w:rsidRDefault="00230E6D" w:rsidP="0004498E">
      <w:pPr>
        <w:spacing w:after="0" w:line="227" w:lineRule="auto"/>
        <w:ind w:left="28" w:right="2066" w:firstLine="4"/>
        <w:rPr>
          <w:rFonts w:ascii="Calibri" w:eastAsia="Calibri" w:hAnsi="Calibri" w:cs="Calibri"/>
          <w:sz w:val="24"/>
        </w:rPr>
      </w:pPr>
      <w:r>
        <w:rPr>
          <w:sz w:val="24"/>
        </w:rPr>
        <w:t>bankovní spojení:</w:t>
      </w:r>
      <w:r w:rsidR="0004498E">
        <w:rPr>
          <w:sz w:val="24"/>
        </w:rPr>
        <w:t xml:space="preserve"> </w:t>
      </w:r>
      <w:r w:rsidR="0004498E">
        <w:rPr>
          <w:rFonts w:ascii="Calibri" w:eastAsia="Calibri" w:hAnsi="Calibri" w:cs="Calibri"/>
          <w:sz w:val="24"/>
        </w:rPr>
        <w:t>XXX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sz w:val="24"/>
        </w:rPr>
        <w:t>číslo účtu:</w:t>
      </w:r>
      <w:r>
        <w:rPr>
          <w:sz w:val="24"/>
        </w:rPr>
        <w:tab/>
      </w:r>
      <w:r w:rsidR="0004498E">
        <w:rPr>
          <w:rFonts w:ascii="Calibri" w:eastAsia="Calibri" w:hAnsi="Calibri" w:cs="Calibri"/>
          <w:sz w:val="24"/>
        </w:rPr>
        <w:t>XXXXXXXXX</w:t>
      </w:r>
    </w:p>
    <w:p w:rsidR="00F81B74" w:rsidRPr="0004498E" w:rsidRDefault="00230E6D" w:rsidP="0004498E">
      <w:pPr>
        <w:spacing w:after="0" w:line="227" w:lineRule="auto"/>
        <w:ind w:left="28" w:right="2066" w:firstLine="4"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sz w:val="24"/>
        </w:rPr>
        <w:t>(dále jen „prodávající”)</w:t>
      </w:r>
    </w:p>
    <w:p w:rsidR="0004498E" w:rsidRPr="0004498E" w:rsidRDefault="0004498E">
      <w:pPr>
        <w:spacing w:after="31"/>
        <w:ind w:left="46" w:hanging="10"/>
        <w:jc w:val="center"/>
        <w:rPr>
          <w:b/>
          <w:sz w:val="26"/>
        </w:rPr>
      </w:pPr>
      <w:r w:rsidRPr="0004498E">
        <w:rPr>
          <w:b/>
          <w:sz w:val="26"/>
        </w:rPr>
        <w:t>I.</w:t>
      </w:r>
    </w:p>
    <w:p w:rsidR="00F81B74" w:rsidRPr="0004498E" w:rsidRDefault="00230E6D">
      <w:pPr>
        <w:spacing w:after="31"/>
        <w:ind w:left="46" w:hanging="10"/>
        <w:jc w:val="center"/>
        <w:rPr>
          <w:b/>
        </w:rPr>
      </w:pPr>
      <w:r w:rsidRPr="0004498E">
        <w:rPr>
          <w:b/>
          <w:sz w:val="26"/>
        </w:rPr>
        <w:t>Preambule</w:t>
      </w:r>
    </w:p>
    <w:p w:rsidR="00F81B74" w:rsidRDefault="00230E6D">
      <w:pPr>
        <w:spacing w:after="224" w:line="216" w:lineRule="auto"/>
        <w:ind w:left="28" w:right="7" w:firstLine="4"/>
        <w:jc w:val="both"/>
      </w:pPr>
      <w:r>
        <w:rPr>
          <w:sz w:val="24"/>
        </w:rPr>
        <w:t xml:space="preserve">Předmětem smlouvy je dodávka zdravotnického zařízení dle veřejné zakázky „Dodávka zdravotnické techniky pro Náš svět </w:t>
      </w:r>
      <w:proofErr w:type="spellStart"/>
      <w:r>
        <w:rPr>
          <w:sz w:val="24"/>
        </w:rPr>
        <w:t>p.o</w:t>
      </w:r>
      <w:proofErr w:type="spellEnd"/>
      <w:r>
        <w:rPr>
          <w:sz w:val="24"/>
        </w:rPr>
        <w:t>. v Pržně". Pro</w:t>
      </w:r>
      <w:r>
        <w:rPr>
          <w:sz w:val="24"/>
        </w:rPr>
        <w:t>dávající toto zboží dováží ze zahraničí, převážně z Kanady, přes centrální evropský sklad v Nizozemku. Vzhledem ke COVID situaci a vyhlášenému omezení provozu některých obchodů a služeb nejen v Nizozemsku, ale i celé Evropské Unii, není prodávající schopen</w:t>
      </w:r>
      <w:r>
        <w:rPr>
          <w:sz w:val="24"/>
        </w:rPr>
        <w:t xml:space="preserve"> dodržet stanovený termín dodání do </w:t>
      </w:r>
      <w:proofErr w:type="gramStart"/>
      <w:r>
        <w:rPr>
          <w:sz w:val="24"/>
        </w:rPr>
        <w:t>12-ti</w:t>
      </w:r>
      <w:proofErr w:type="gramEnd"/>
      <w:r>
        <w:rPr>
          <w:sz w:val="24"/>
        </w:rPr>
        <w:t xml:space="preserve"> týdnů od podpisu kupní smlouvy, tj. do 26.1.2021. Z tohoto důvodu se smluvní strany domluvili na prodloužení termínu dodání.</w:t>
      </w:r>
    </w:p>
    <w:p w:rsidR="00F81B74" w:rsidRPr="0004498E" w:rsidRDefault="00230E6D">
      <w:pPr>
        <w:spacing w:after="1"/>
        <w:ind w:left="111" w:right="86" w:hanging="10"/>
        <w:jc w:val="center"/>
        <w:rPr>
          <w:b/>
        </w:rPr>
      </w:pPr>
      <w:r w:rsidRPr="0004498E">
        <w:rPr>
          <w:b/>
          <w:sz w:val="28"/>
        </w:rPr>
        <w:t>I</w:t>
      </w:r>
      <w:r w:rsidR="0004498E" w:rsidRPr="0004498E">
        <w:rPr>
          <w:b/>
          <w:sz w:val="28"/>
        </w:rPr>
        <w:t>I</w:t>
      </w:r>
      <w:r w:rsidRPr="0004498E">
        <w:rPr>
          <w:b/>
          <w:sz w:val="28"/>
        </w:rPr>
        <w:t>.</w:t>
      </w:r>
    </w:p>
    <w:p w:rsidR="00F81B74" w:rsidRPr="0004498E" w:rsidRDefault="00230E6D">
      <w:pPr>
        <w:spacing w:after="120"/>
        <w:ind w:left="46" w:right="36" w:hanging="10"/>
        <w:jc w:val="center"/>
        <w:rPr>
          <w:b/>
        </w:rPr>
      </w:pPr>
      <w:r w:rsidRPr="0004498E">
        <w:rPr>
          <w:b/>
          <w:sz w:val="26"/>
        </w:rPr>
        <w:t>Změny smlouvy o dílo — předmět dodatku</w:t>
      </w:r>
    </w:p>
    <w:p w:rsidR="00F81B74" w:rsidRDefault="00230E6D">
      <w:pPr>
        <w:spacing w:after="234" w:line="216" w:lineRule="auto"/>
        <w:ind w:left="28" w:right="7" w:firstLine="4"/>
        <w:jc w:val="both"/>
      </w:pPr>
      <w:r>
        <w:rPr>
          <w:noProof/>
        </w:rPr>
        <w:drawing>
          <wp:inline distT="0" distB="0" distL="0" distR="0">
            <wp:extent cx="91440" cy="100584"/>
            <wp:effectExtent l="0" t="0" r="0" b="0"/>
            <wp:docPr id="17409" name="Picture 17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Picture 174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98E">
        <w:rPr>
          <w:sz w:val="24"/>
        </w:rPr>
        <w:t xml:space="preserve">  </w:t>
      </w:r>
      <w:r>
        <w:rPr>
          <w:sz w:val="24"/>
        </w:rPr>
        <w:t>V čl. IV. Sjednaná doba pro dodávku výrobku se odst. 4.1.1 ruší a nahrazuje novým odstavcem 4.1.1:</w:t>
      </w:r>
    </w:p>
    <w:p w:rsidR="00F81B74" w:rsidRPr="0004498E" w:rsidRDefault="00230E6D" w:rsidP="0004498E">
      <w:pPr>
        <w:spacing w:after="0" w:line="240" w:lineRule="auto"/>
        <w:ind w:left="377" w:right="14" w:hanging="10"/>
        <w:jc w:val="both"/>
        <w:rPr>
          <w:b/>
          <w:sz w:val="26"/>
        </w:rPr>
      </w:pPr>
      <w:r w:rsidRPr="0004498E">
        <w:rPr>
          <w:b/>
          <w:sz w:val="26"/>
        </w:rPr>
        <w:t>Prodávající předá kupujícímu zboží s veškerým povinným a v rámci veřejné zakázky nabídnutým příslušenstvím a vybavením, jakož i doklady nezbytnými pro jeho u</w:t>
      </w:r>
      <w:r w:rsidRPr="0004498E">
        <w:rPr>
          <w:b/>
          <w:sz w:val="26"/>
        </w:rPr>
        <w:t>žívání, nejpozději do 19.2. 2021.</w:t>
      </w:r>
    </w:p>
    <w:p w:rsidR="0004498E" w:rsidRDefault="0004498E" w:rsidP="0004498E">
      <w:pPr>
        <w:spacing w:after="0" w:line="240" w:lineRule="auto"/>
        <w:ind w:left="377" w:right="14" w:hanging="10"/>
        <w:jc w:val="both"/>
      </w:pPr>
    </w:p>
    <w:p w:rsidR="0004498E" w:rsidRPr="0004498E" w:rsidRDefault="0004498E" w:rsidP="0004498E">
      <w:pPr>
        <w:spacing w:after="0" w:line="240" w:lineRule="auto"/>
        <w:ind w:left="377" w:right="14" w:hanging="10"/>
        <w:jc w:val="center"/>
        <w:rPr>
          <w:b/>
        </w:rPr>
      </w:pPr>
      <w:r w:rsidRPr="0004498E">
        <w:rPr>
          <w:b/>
        </w:rPr>
        <w:t>III.</w:t>
      </w:r>
    </w:p>
    <w:p w:rsidR="00F81B74" w:rsidRDefault="00230E6D" w:rsidP="0004498E">
      <w:pPr>
        <w:spacing w:after="0" w:line="240" w:lineRule="auto"/>
        <w:ind w:left="7"/>
        <w:jc w:val="center"/>
        <w:rPr>
          <w:b/>
          <w:sz w:val="24"/>
        </w:rPr>
      </w:pPr>
      <w:r w:rsidRPr="0004498E">
        <w:rPr>
          <w:b/>
          <w:sz w:val="24"/>
        </w:rPr>
        <w:t>Ostatní ujednání</w:t>
      </w:r>
    </w:p>
    <w:p w:rsidR="0004498E" w:rsidRPr="0004498E" w:rsidRDefault="0004498E" w:rsidP="0004498E">
      <w:pPr>
        <w:spacing w:after="0" w:line="240" w:lineRule="auto"/>
        <w:ind w:left="7"/>
        <w:jc w:val="center"/>
        <w:rPr>
          <w:b/>
        </w:rPr>
      </w:pPr>
    </w:p>
    <w:p w:rsidR="00F81B74" w:rsidRDefault="00230E6D">
      <w:pPr>
        <w:spacing w:after="264" w:line="216" w:lineRule="auto"/>
        <w:ind w:left="28" w:right="7" w:firstLine="4"/>
        <w:jc w:val="both"/>
      </w:pPr>
      <w:proofErr w:type="gramStart"/>
      <w:r>
        <w:rPr>
          <w:rFonts w:ascii="Calibri" w:eastAsia="Calibri" w:hAnsi="Calibri" w:cs="Calibri"/>
          <w:sz w:val="24"/>
        </w:rPr>
        <w:t>1 .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>
        <w:rPr>
          <w:sz w:val="24"/>
        </w:rPr>
        <w:t>Ostatní ustanovení smlouvy o dílo tímto dodatkem nedotčená se nemění a zůstávají v platnosti.</w:t>
      </w:r>
    </w:p>
    <w:p w:rsidR="00F81B74" w:rsidRDefault="00230E6D">
      <w:pPr>
        <w:numPr>
          <w:ilvl w:val="0"/>
          <w:numId w:val="1"/>
        </w:numPr>
        <w:spacing w:after="3" w:line="216" w:lineRule="auto"/>
        <w:ind w:right="7" w:firstLine="4"/>
        <w:jc w:val="both"/>
      </w:pPr>
      <w:r>
        <w:rPr>
          <w:sz w:val="24"/>
        </w:rPr>
        <w:t>Dodatek smlouvy nabývá platnosti dnem podpisu oprávněných zástupců obou smluvních stran a účinnosti dnem uv</w:t>
      </w:r>
      <w:r>
        <w:rPr>
          <w:sz w:val="24"/>
        </w:rPr>
        <w:t>eřejnění v Registru smluv.</w:t>
      </w:r>
    </w:p>
    <w:p w:rsidR="00F81B74" w:rsidRDefault="00230E6D">
      <w:pPr>
        <w:spacing w:after="533"/>
        <w:ind w:left="5832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403" name="Picture 1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" name="Picture 14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B74" w:rsidRDefault="00230E6D">
      <w:pPr>
        <w:spacing w:after="405"/>
        <w:ind w:left="10" w:right="43" w:hanging="10"/>
        <w:jc w:val="right"/>
      </w:pPr>
      <w:r>
        <w:rPr>
          <w:rFonts w:ascii="Calibri" w:eastAsia="Calibri" w:hAnsi="Calibri" w:cs="Calibri"/>
          <w:sz w:val="24"/>
        </w:rPr>
        <w:t>1</w:t>
      </w:r>
    </w:p>
    <w:p w:rsidR="00F81B74" w:rsidRDefault="00230E6D" w:rsidP="00230E6D">
      <w:pPr>
        <w:numPr>
          <w:ilvl w:val="0"/>
          <w:numId w:val="1"/>
        </w:numPr>
        <w:spacing w:after="0"/>
        <w:ind w:right="6" w:firstLine="4"/>
        <w:jc w:val="both"/>
      </w:pPr>
      <w:r>
        <w:lastRenderedPageBreak/>
        <w:t>Dodatek je vyhotoven v jednom elektronickém vyhotovení.</w:t>
      </w:r>
    </w:p>
    <w:p w:rsidR="00230E6D" w:rsidRDefault="00230E6D" w:rsidP="00230E6D">
      <w:pPr>
        <w:spacing w:after="0"/>
        <w:ind w:left="32" w:right="6"/>
        <w:jc w:val="both"/>
      </w:pPr>
    </w:p>
    <w:p w:rsidR="00F81B74" w:rsidRPr="00230E6D" w:rsidRDefault="00230E6D" w:rsidP="00230E6D">
      <w:pPr>
        <w:numPr>
          <w:ilvl w:val="0"/>
          <w:numId w:val="1"/>
        </w:numPr>
        <w:spacing w:after="0" w:line="216" w:lineRule="auto"/>
        <w:ind w:right="6" w:firstLine="4"/>
        <w:jc w:val="both"/>
      </w:pPr>
      <w:r>
        <w:rPr>
          <w:sz w:val="24"/>
        </w:rPr>
        <w:t>Smluvní strany potvrzují, že si tento dodatek ke smlouvě před jeho podpisem přečetly, porozuměly jeho obsahu a na důkaz této skutečnosti připojují své podpisy.</w:t>
      </w:r>
    </w:p>
    <w:p w:rsidR="00230E6D" w:rsidRDefault="00230E6D" w:rsidP="00230E6D">
      <w:pPr>
        <w:spacing w:after="0" w:line="216" w:lineRule="auto"/>
        <w:ind w:left="32" w:right="6"/>
        <w:jc w:val="both"/>
      </w:pPr>
    </w:p>
    <w:p w:rsidR="00F81B74" w:rsidRDefault="00230E6D" w:rsidP="00230E6D">
      <w:pPr>
        <w:numPr>
          <w:ilvl w:val="0"/>
          <w:numId w:val="1"/>
        </w:numPr>
        <w:spacing w:after="0" w:line="216" w:lineRule="auto"/>
        <w:ind w:right="6" w:firstLine="4"/>
        <w:jc w:val="both"/>
      </w:pPr>
      <w:r>
        <w:rPr>
          <w:sz w:val="24"/>
        </w:rPr>
        <w:t>Zhotovitel výslovně souhlasí se zveřejněním celého textu tohoto dodatku, včetně podpisů, v informačním systému veřejné správy — Registru smluv. Smluvní strany se dohodly, že zákonnou povinnost dle S 5 odst. 2 zákona o registru smluv splní objednatel.</w:t>
      </w:r>
    </w:p>
    <w:p w:rsidR="00F81B74" w:rsidRDefault="00F81B74"/>
    <w:p w:rsidR="00230E6D" w:rsidRDefault="00230E6D"/>
    <w:p w:rsidR="00230E6D" w:rsidRDefault="00230E6D">
      <w:pPr>
        <w:sectPr w:rsidR="00230E6D">
          <w:pgSz w:w="11902" w:h="16834"/>
          <w:pgMar w:top="1612" w:right="1678" w:bottom="1397" w:left="1534" w:header="708" w:footer="708" w:gutter="0"/>
          <w:cols w:space="708"/>
        </w:sectPr>
      </w:pPr>
    </w:p>
    <w:p w:rsidR="00F81B74" w:rsidRDefault="00230E6D" w:rsidP="00230E6D">
      <w:pPr>
        <w:spacing w:after="161" w:line="216" w:lineRule="auto"/>
        <w:ind w:left="101" w:right="511" w:firstLine="4"/>
        <w:jc w:val="both"/>
      </w:pPr>
      <w:r>
        <w:rPr>
          <w:sz w:val="24"/>
        </w:rPr>
        <w:t xml:space="preserve">Za prodávajícího: </w:t>
      </w:r>
    </w:p>
    <w:p w:rsidR="00230E6D" w:rsidRDefault="00230E6D" w:rsidP="00230E6D">
      <w:pPr>
        <w:spacing w:after="8744" w:line="216" w:lineRule="auto"/>
        <w:ind w:right="1469"/>
        <w:jc w:val="both"/>
        <w:rPr>
          <w:rFonts w:ascii="Calibri" w:eastAsia="Calibri" w:hAnsi="Calibri" w:cs="Calibri"/>
          <w:sz w:val="20"/>
        </w:rPr>
      </w:pPr>
    </w:p>
    <w:p w:rsidR="00230E6D" w:rsidRDefault="00230E6D">
      <w:pPr>
        <w:spacing w:after="373" w:line="257" w:lineRule="auto"/>
        <w:ind w:left="24" w:hanging="10"/>
        <w:jc w:val="both"/>
        <w:rPr>
          <w:rFonts w:ascii="Calibri" w:eastAsia="Calibri" w:hAnsi="Calibri" w:cs="Calibri"/>
          <w:sz w:val="20"/>
        </w:rPr>
      </w:pPr>
    </w:p>
    <w:p w:rsidR="00230E6D" w:rsidRDefault="00230E6D">
      <w:pPr>
        <w:spacing w:after="373" w:line="257" w:lineRule="auto"/>
        <w:ind w:left="24" w:hanging="10"/>
        <w:jc w:val="both"/>
        <w:rPr>
          <w:rFonts w:ascii="Calibri" w:eastAsia="Calibri" w:hAnsi="Calibri" w:cs="Calibri"/>
          <w:sz w:val="20"/>
        </w:rPr>
      </w:pPr>
    </w:p>
    <w:p w:rsidR="00230E6D" w:rsidRDefault="00230E6D">
      <w:pPr>
        <w:spacing w:after="373" w:line="257" w:lineRule="auto"/>
        <w:ind w:left="24" w:hanging="10"/>
        <w:jc w:val="both"/>
        <w:rPr>
          <w:rFonts w:ascii="Calibri" w:eastAsia="Calibri" w:hAnsi="Calibri" w:cs="Calibri"/>
          <w:sz w:val="20"/>
        </w:rPr>
      </w:pPr>
    </w:p>
    <w:p w:rsidR="00230E6D" w:rsidRPr="00230E6D" w:rsidRDefault="00230E6D">
      <w:pPr>
        <w:spacing w:after="373" w:line="257" w:lineRule="auto"/>
        <w:ind w:left="24" w:hanging="10"/>
        <w:jc w:val="both"/>
        <w:rPr>
          <w:rFonts w:eastAsia="Calibri"/>
          <w:sz w:val="24"/>
          <w:szCs w:val="24"/>
        </w:rPr>
      </w:pPr>
      <w:r w:rsidRPr="00230E6D">
        <w:rPr>
          <w:rFonts w:eastAsia="Calibri"/>
          <w:sz w:val="24"/>
          <w:szCs w:val="24"/>
        </w:rPr>
        <w:t>Za kupujícího:</w:t>
      </w:r>
    </w:p>
    <w:p w:rsidR="00230E6D" w:rsidRDefault="00230E6D">
      <w:pPr>
        <w:spacing w:after="373" w:line="257" w:lineRule="auto"/>
        <w:ind w:left="24" w:hanging="10"/>
        <w:jc w:val="both"/>
        <w:rPr>
          <w:rFonts w:ascii="Calibri" w:eastAsia="Calibri" w:hAnsi="Calibri" w:cs="Calibri"/>
          <w:sz w:val="20"/>
        </w:rPr>
      </w:pPr>
    </w:p>
    <w:p w:rsidR="00230E6D" w:rsidRDefault="00230E6D">
      <w:pPr>
        <w:spacing w:after="373" w:line="257" w:lineRule="auto"/>
        <w:ind w:left="24" w:hanging="10"/>
        <w:jc w:val="both"/>
        <w:rPr>
          <w:rFonts w:ascii="Calibri" w:eastAsia="Calibri" w:hAnsi="Calibri" w:cs="Calibri"/>
          <w:sz w:val="20"/>
        </w:rPr>
      </w:pPr>
    </w:p>
    <w:p w:rsidR="00230E6D" w:rsidRDefault="00230E6D">
      <w:pPr>
        <w:spacing w:after="373" w:line="257" w:lineRule="auto"/>
        <w:ind w:left="24" w:hanging="10"/>
        <w:jc w:val="both"/>
        <w:rPr>
          <w:rFonts w:ascii="Calibri" w:eastAsia="Calibri" w:hAnsi="Calibri" w:cs="Calibri"/>
          <w:sz w:val="20"/>
        </w:rPr>
      </w:pPr>
    </w:p>
    <w:p w:rsidR="00230E6D" w:rsidRDefault="00230E6D">
      <w:pPr>
        <w:spacing w:after="373" w:line="257" w:lineRule="auto"/>
        <w:ind w:left="24" w:hanging="10"/>
        <w:jc w:val="both"/>
        <w:rPr>
          <w:rFonts w:ascii="Calibri" w:eastAsia="Calibri" w:hAnsi="Calibri" w:cs="Calibri"/>
          <w:sz w:val="20"/>
        </w:rPr>
      </w:pPr>
    </w:p>
    <w:p w:rsidR="00230E6D" w:rsidRDefault="00230E6D">
      <w:pPr>
        <w:spacing w:after="373" w:line="257" w:lineRule="auto"/>
        <w:ind w:left="24" w:hanging="10"/>
        <w:jc w:val="both"/>
        <w:rPr>
          <w:rFonts w:ascii="Calibri" w:eastAsia="Calibri" w:hAnsi="Calibri" w:cs="Calibri"/>
          <w:sz w:val="20"/>
        </w:rPr>
      </w:pPr>
    </w:p>
    <w:sectPr w:rsidR="00230E6D" w:rsidSect="00230E6D">
      <w:type w:val="continuous"/>
      <w:pgSz w:w="11902" w:h="16834"/>
      <w:pgMar w:top="1894" w:right="1346" w:bottom="1346" w:left="1476" w:header="708" w:footer="708" w:gutter="0"/>
      <w:cols w:num="2" w:space="708" w:equalWidth="0">
        <w:col w:w="2790" w:space="3016"/>
        <w:col w:w="32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D75C8"/>
    <w:multiLevelType w:val="hybridMultilevel"/>
    <w:tmpl w:val="9788BF9C"/>
    <w:lvl w:ilvl="0" w:tplc="614AD1D0">
      <w:start w:val="1"/>
      <w:numFmt w:val="lowerRoman"/>
      <w:lvlText w:val="(%1)"/>
      <w:lvlJc w:val="left"/>
      <w:pPr>
        <w:ind w:left="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DA6CF6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D287F2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F4BBD6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406F24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03DEA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08904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C46D7C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A3AB6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276D49"/>
    <w:multiLevelType w:val="hybridMultilevel"/>
    <w:tmpl w:val="B4CA32A6"/>
    <w:lvl w:ilvl="0" w:tplc="708C1F14">
      <w:start w:val="2"/>
      <w:numFmt w:val="decimal"/>
      <w:lvlText w:val="%1."/>
      <w:lvlJc w:val="left"/>
      <w:pPr>
        <w:ind w:left="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6E88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E4EC0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25A7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060A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47D5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6210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2FB5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A0F2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C50072"/>
    <w:multiLevelType w:val="hybridMultilevel"/>
    <w:tmpl w:val="83803282"/>
    <w:lvl w:ilvl="0" w:tplc="FFA4D012">
      <w:start w:val="1"/>
      <w:numFmt w:val="lowerRoman"/>
      <w:lvlText w:val="(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063D6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C206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28DADA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A2BE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E0A1D0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ACF16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41CBA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0C7DCC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74"/>
    <w:rsid w:val="0004498E"/>
    <w:rsid w:val="000F4217"/>
    <w:rsid w:val="00230E6D"/>
    <w:rsid w:val="00F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14BD"/>
  <w15:docId w15:val="{393871AC-496C-4227-BEAF-5227EC87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66"/>
      <w:ind w:left="806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3</cp:revision>
  <dcterms:created xsi:type="dcterms:W3CDTF">2021-02-02T13:59:00Z</dcterms:created>
  <dcterms:modified xsi:type="dcterms:W3CDTF">2021-02-02T14:09:00Z</dcterms:modified>
</cp:coreProperties>
</file>