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8D379" w14:textId="47091CD6" w:rsidR="00546AB3" w:rsidRDefault="00546AB3" w:rsidP="00546AB3">
      <w:pPr>
        <w:pStyle w:val="Nadpis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Ev. </w:t>
      </w:r>
      <w:proofErr w:type="spellStart"/>
      <w:r>
        <w:rPr>
          <w:b w:val="0"/>
          <w:sz w:val="20"/>
          <w:szCs w:val="20"/>
        </w:rPr>
        <w:t>č.sml.RMK</w:t>
      </w:r>
      <w:proofErr w:type="spellEnd"/>
      <w:r>
        <w:rPr>
          <w:b w:val="0"/>
          <w:sz w:val="20"/>
          <w:szCs w:val="20"/>
        </w:rPr>
        <w:t>: 10/00410047/2021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proofErr w:type="gramStart"/>
      <w:r>
        <w:rPr>
          <w:b w:val="0"/>
          <w:sz w:val="20"/>
          <w:szCs w:val="20"/>
        </w:rPr>
        <w:t>č.j.</w:t>
      </w:r>
      <w:proofErr w:type="gramEnd"/>
      <w:r>
        <w:rPr>
          <w:b w:val="0"/>
          <w:sz w:val="20"/>
          <w:szCs w:val="20"/>
        </w:rPr>
        <w:t xml:space="preserve"> 5</w:t>
      </w:r>
      <w:r w:rsidR="00A972DD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/2021/Ř</w:t>
      </w:r>
    </w:p>
    <w:p w14:paraId="6592377F" w14:textId="77777777" w:rsidR="00546AB3" w:rsidRPr="00546AB3" w:rsidRDefault="00546AB3" w:rsidP="00546AB3">
      <w:pPr>
        <w:pStyle w:val="Nadpis"/>
        <w:jc w:val="left"/>
        <w:rPr>
          <w:b w:val="0"/>
          <w:sz w:val="20"/>
          <w:szCs w:val="20"/>
        </w:rPr>
      </w:pPr>
    </w:p>
    <w:p w14:paraId="0F958BA6" w14:textId="77777777" w:rsidR="00546AB3" w:rsidRDefault="00546AB3" w:rsidP="0042377F">
      <w:pPr>
        <w:pStyle w:val="Nadpis"/>
        <w:rPr>
          <w:sz w:val="28"/>
          <w:szCs w:val="28"/>
        </w:rPr>
      </w:pPr>
    </w:p>
    <w:p w14:paraId="70A8A58B" w14:textId="77777777" w:rsidR="00546AB3" w:rsidRDefault="00546AB3" w:rsidP="0042377F">
      <w:pPr>
        <w:pStyle w:val="Nadpis"/>
        <w:rPr>
          <w:sz w:val="28"/>
          <w:szCs w:val="28"/>
        </w:rPr>
      </w:pPr>
    </w:p>
    <w:p w14:paraId="459E2DF9" w14:textId="6B956149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B86AC5">
        <w:rPr>
          <w:sz w:val="28"/>
          <w:szCs w:val="28"/>
        </w:rPr>
        <w:t>20210113</w:t>
      </w:r>
    </w:p>
    <w:p w14:paraId="60568EC2" w14:textId="77777777" w:rsidR="0042377F" w:rsidRDefault="0042377F" w:rsidP="0042377F">
      <w:pPr>
        <w:pStyle w:val="Nadpis"/>
        <w:rPr>
          <w:iCs/>
          <w:color w:val="auto"/>
        </w:rPr>
      </w:pPr>
    </w:p>
    <w:p w14:paraId="3567F82D" w14:textId="77777777" w:rsidR="00546AB3" w:rsidRPr="005F201A" w:rsidRDefault="00546AB3" w:rsidP="0042377F">
      <w:pPr>
        <w:pStyle w:val="Nadpis"/>
        <w:rPr>
          <w:iCs/>
          <w:color w:val="auto"/>
        </w:rPr>
      </w:pPr>
    </w:p>
    <w:p w14:paraId="73AF987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14:paraId="327A08D1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14:paraId="0EB11B43" w14:textId="77777777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</w:p>
    <w:p w14:paraId="3B6F8AF1" w14:textId="77777777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CZ64824390</w:t>
      </w:r>
      <w:r w:rsidR="00B83512" w:rsidRPr="005F201A">
        <w:rPr>
          <w:i w:val="0"/>
          <w:sz w:val="22"/>
          <w:szCs w:val="22"/>
        </w:rPr>
        <w:tab/>
      </w:r>
    </w:p>
    <w:p w14:paraId="413222D5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14:paraId="3B6F12B5" w14:textId="5E6734CD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proofErr w:type="spellStart"/>
      <w:r w:rsidR="009E1BD7">
        <w:rPr>
          <w:i w:val="0"/>
          <w:sz w:val="22"/>
          <w:szCs w:val="22"/>
        </w:rPr>
        <w:t>xxxxxxxxx</w:t>
      </w:r>
      <w:proofErr w:type="spellEnd"/>
      <w:r w:rsidR="00B83512" w:rsidRPr="005F201A">
        <w:rPr>
          <w:i w:val="0"/>
          <w:sz w:val="22"/>
          <w:szCs w:val="22"/>
        </w:rPr>
        <w:tab/>
      </w:r>
    </w:p>
    <w:p w14:paraId="2F2D6E9D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14:paraId="7CF95419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14:paraId="041C45D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4BAFD4D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386365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3EDFA4D0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24C2870C" w14:textId="36FBBF92" w:rsidR="0012562B" w:rsidRPr="005F201A" w:rsidRDefault="00B86AC5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Regionální muzeum v Kolíně, příspěvková organizace</w:t>
      </w:r>
    </w:p>
    <w:p w14:paraId="55C395C6" w14:textId="231CDCA2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B86AC5">
        <w:rPr>
          <w:bCs w:val="0"/>
          <w:i w:val="0"/>
          <w:sz w:val="22"/>
          <w:szCs w:val="22"/>
        </w:rPr>
        <w:t>Karlovo nám. 8, 280 02 Kolín</w:t>
      </w:r>
    </w:p>
    <w:p w14:paraId="277A575D" w14:textId="15DC68D6" w:rsidR="007773DD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B86AC5">
        <w:rPr>
          <w:bCs w:val="0"/>
          <w:i w:val="0"/>
          <w:sz w:val="22"/>
          <w:szCs w:val="22"/>
        </w:rPr>
        <w:t>00410047</w:t>
      </w:r>
    </w:p>
    <w:p w14:paraId="31AEF0EF" w14:textId="28A74756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8D698E">
        <w:rPr>
          <w:bCs w:val="0"/>
          <w:i w:val="0"/>
          <w:sz w:val="22"/>
          <w:szCs w:val="22"/>
        </w:rPr>
        <w:t>KB Kolín</w:t>
      </w:r>
    </w:p>
    <w:p w14:paraId="1F5DDF63" w14:textId="45E7C4C1" w:rsidR="00F0685E" w:rsidRPr="005F201A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proofErr w:type="spellStart"/>
      <w:r w:rsidR="009E1BD7">
        <w:rPr>
          <w:bCs w:val="0"/>
          <w:i w:val="0"/>
          <w:sz w:val="22"/>
          <w:szCs w:val="22"/>
        </w:rPr>
        <w:t>xxxxxxxxx</w:t>
      </w:r>
      <w:proofErr w:type="spellEnd"/>
    </w:p>
    <w:p w14:paraId="6F4F9548" w14:textId="26A6A195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8D698E">
        <w:rPr>
          <w:bCs w:val="0"/>
          <w:i w:val="0"/>
          <w:sz w:val="22"/>
          <w:szCs w:val="22"/>
        </w:rPr>
        <w:t xml:space="preserve">Mgr. Vladimírem </w:t>
      </w:r>
      <w:proofErr w:type="spellStart"/>
      <w:r w:rsidR="008D698E">
        <w:rPr>
          <w:bCs w:val="0"/>
          <w:i w:val="0"/>
          <w:sz w:val="22"/>
          <w:szCs w:val="22"/>
        </w:rPr>
        <w:t>Rišlinkem</w:t>
      </w:r>
      <w:proofErr w:type="spellEnd"/>
      <w:r w:rsidR="008D698E">
        <w:rPr>
          <w:bCs w:val="0"/>
          <w:i w:val="0"/>
          <w:sz w:val="22"/>
          <w:szCs w:val="22"/>
        </w:rPr>
        <w:t>, ředitelem</w:t>
      </w:r>
    </w:p>
    <w:p w14:paraId="5B1ECD76" w14:textId="77777777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47BD0DB2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14:paraId="3AC339BC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14:paraId="6E8AB37E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14:paraId="5A14CC94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6AF92181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728746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4AAC5BC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5149FFC4" w14:textId="105538A2" w:rsidR="0012562B" w:rsidRPr="00B86AC5" w:rsidRDefault="0012562B" w:rsidP="00B86AC5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>, verze</w:t>
      </w:r>
      <w:r w:rsidR="00F0685E">
        <w:rPr>
          <w:b w:val="0"/>
          <w:i w:val="0"/>
          <w:sz w:val="22"/>
          <w:szCs w:val="22"/>
        </w:rPr>
        <w:t xml:space="preserve"> KV</w:t>
      </w:r>
      <w:r w:rsidR="00AC6FE6">
        <w:rPr>
          <w:b w:val="0"/>
          <w:i w:val="0"/>
          <w:sz w:val="22"/>
          <w:szCs w:val="22"/>
        </w:rPr>
        <w:t xml:space="preserve"> pro </w:t>
      </w:r>
      <w:r w:rsidR="00B86AC5">
        <w:rPr>
          <w:b w:val="0"/>
          <w:i w:val="0"/>
          <w:sz w:val="22"/>
          <w:szCs w:val="22"/>
        </w:rPr>
        <w:t>1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F0685E">
        <w:rPr>
          <w:b w:val="0"/>
          <w:i w:val="0"/>
          <w:sz w:val="22"/>
          <w:szCs w:val="22"/>
        </w:rPr>
        <w:t>e</w:t>
      </w:r>
      <w:r w:rsidR="00B86AC5">
        <w:rPr>
          <w:b w:val="0"/>
          <w:i w:val="0"/>
          <w:sz w:val="22"/>
          <w:szCs w:val="22"/>
        </w:rPr>
        <w:t>,</w:t>
      </w:r>
      <w:r w:rsidR="003572B9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D20723" w:rsidRPr="00517977">
        <w:rPr>
          <w:b w:val="0"/>
          <w:i w:val="0"/>
          <w:sz w:val="22"/>
          <w:szCs w:val="22"/>
        </w:rPr>
        <w:t xml:space="preserve">, </w:t>
      </w:r>
      <w:proofErr w:type="spellStart"/>
      <w:r w:rsidR="00B86AC5">
        <w:rPr>
          <w:b w:val="0"/>
          <w:i w:val="0"/>
          <w:sz w:val="22"/>
          <w:szCs w:val="22"/>
        </w:rPr>
        <w:t>eVerbis</w:t>
      </w:r>
      <w:proofErr w:type="spellEnd"/>
      <w:r w:rsidR="00B86AC5">
        <w:rPr>
          <w:b w:val="0"/>
          <w:i w:val="0"/>
          <w:sz w:val="22"/>
          <w:szCs w:val="22"/>
        </w:rPr>
        <w:t xml:space="preserve"> (K)</w:t>
      </w:r>
      <w:r w:rsidRPr="00517977">
        <w:rPr>
          <w:b w:val="0"/>
          <w:i w:val="0"/>
          <w:sz w:val="22"/>
          <w:szCs w:val="22"/>
        </w:rPr>
        <w:t>.</w:t>
      </w:r>
      <w:r w:rsidRPr="00B86AC5">
        <w:rPr>
          <w:b w:val="0"/>
          <w:i w:val="0"/>
          <w:sz w:val="22"/>
          <w:szCs w:val="22"/>
        </w:rPr>
        <w:t xml:space="preserve"> </w:t>
      </w:r>
    </w:p>
    <w:p w14:paraId="7949F92B" w14:textId="5D955DCA" w:rsidR="00B86AC5" w:rsidRDefault="00B86AC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verze</w:t>
      </w:r>
      <w:r>
        <w:rPr>
          <w:b w:val="0"/>
          <w:i w:val="0"/>
          <w:sz w:val="22"/>
          <w:szCs w:val="22"/>
        </w:rPr>
        <w:t xml:space="preserve"> MKV II pro 1 uživatele,</w:t>
      </w:r>
      <w:r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Pr="00517977">
        <w:rPr>
          <w:b w:val="0"/>
          <w:i w:val="0"/>
          <w:sz w:val="22"/>
          <w:szCs w:val="22"/>
        </w:rPr>
        <w:t>Portaro</w:t>
      </w:r>
      <w:proofErr w:type="spellEnd"/>
      <w:r>
        <w:rPr>
          <w:b w:val="0"/>
          <w:i w:val="0"/>
          <w:sz w:val="22"/>
          <w:szCs w:val="22"/>
        </w:rPr>
        <w:t xml:space="preserve"> na pracovišti Český Brod.</w:t>
      </w:r>
    </w:p>
    <w:p w14:paraId="1EE5E290" w14:textId="5639681C"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</w:t>
      </w:r>
      <w:proofErr w:type="spellStart"/>
      <w:r w:rsidR="00F0685E">
        <w:rPr>
          <w:b w:val="0"/>
          <w:i w:val="0"/>
          <w:sz w:val="22"/>
          <w:szCs w:val="22"/>
        </w:rPr>
        <w:t>Verbis</w:t>
      </w:r>
      <w:proofErr w:type="spellEnd"/>
      <w:r w:rsidR="00F0685E">
        <w:rPr>
          <w:b w:val="0"/>
          <w:i w:val="0"/>
          <w:sz w:val="22"/>
          <w:szCs w:val="22"/>
        </w:rPr>
        <w:t xml:space="preserve"> verze KV pro </w:t>
      </w:r>
      <w:r w:rsidR="00B86AC5">
        <w:rPr>
          <w:b w:val="0"/>
          <w:i w:val="0"/>
          <w:sz w:val="22"/>
          <w:szCs w:val="22"/>
        </w:rPr>
        <w:t>1</w:t>
      </w:r>
      <w:r w:rsidR="00F0685E">
        <w:rPr>
          <w:b w:val="0"/>
          <w:i w:val="0"/>
          <w:sz w:val="22"/>
          <w:szCs w:val="22"/>
        </w:rPr>
        <w:t xml:space="preserve"> uživatele</w:t>
      </w:r>
      <w:r w:rsidR="00B86AC5">
        <w:rPr>
          <w:b w:val="0"/>
          <w:i w:val="0"/>
          <w:sz w:val="22"/>
          <w:szCs w:val="22"/>
        </w:rPr>
        <w:t>, MKV II pro 1 uživatele</w:t>
      </w:r>
      <w:r w:rsidRPr="00517977">
        <w:rPr>
          <w:b w:val="0"/>
          <w:i w:val="0"/>
          <w:sz w:val="22"/>
          <w:szCs w:val="22"/>
        </w:rPr>
        <w:t xml:space="preserve"> a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Pr="00517977">
        <w:rPr>
          <w:b w:val="0"/>
          <w:i w:val="0"/>
          <w:sz w:val="22"/>
          <w:szCs w:val="22"/>
        </w:rPr>
        <w:t>.</w:t>
      </w:r>
    </w:p>
    <w:p w14:paraId="7431786A" w14:textId="77777777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Tyto požadavky se poté vyřizují s nejvyšší prioritou.</w:t>
      </w:r>
    </w:p>
    <w:p w14:paraId="28E56D00" w14:textId="4E39F7ED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04936176" w14:textId="77777777"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KP-SYS.</w:t>
      </w:r>
    </w:p>
    <w:p w14:paraId="250E91C8" w14:textId="77777777"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F0685E">
        <w:rPr>
          <w:rFonts w:cs="Arial"/>
          <w:bCs/>
          <w:iCs/>
          <w:color w:val="000000"/>
          <w:sz w:val="22"/>
          <w:szCs w:val="22"/>
        </w:rPr>
        <w:t>2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</w:p>
    <w:p w14:paraId="3AFB7C0D" w14:textId="77777777"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14:paraId="5CD2C2C2" w14:textId="77777777"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Pravidelné zálohy databáze na servery dodavatele.</w:t>
      </w:r>
    </w:p>
    <w:p w14:paraId="10E3C57A" w14:textId="77777777" w:rsidR="00546AB3" w:rsidRDefault="00546AB3" w:rsidP="00546AB3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rPr>
          <w:b w:val="0"/>
          <w:i w:val="0"/>
          <w:sz w:val="22"/>
          <w:szCs w:val="22"/>
        </w:rPr>
      </w:pPr>
    </w:p>
    <w:p w14:paraId="0D1B9617" w14:textId="77777777" w:rsidR="00546AB3" w:rsidRDefault="00546AB3" w:rsidP="00546AB3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rPr>
          <w:b w:val="0"/>
          <w:i w:val="0"/>
          <w:sz w:val="22"/>
          <w:szCs w:val="22"/>
        </w:rPr>
      </w:pPr>
    </w:p>
    <w:p w14:paraId="7659AFBE" w14:textId="77777777" w:rsidR="00546AB3" w:rsidRDefault="00546AB3" w:rsidP="00546AB3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rPr>
          <w:b w:val="0"/>
          <w:i w:val="0"/>
          <w:sz w:val="22"/>
          <w:szCs w:val="22"/>
        </w:rPr>
      </w:pPr>
    </w:p>
    <w:p w14:paraId="1C86639F" w14:textId="77777777" w:rsidR="00517977" w:rsidRDefault="00760737" w:rsidP="003C4E2F">
      <w:pPr>
        <w:pStyle w:val="Nadpis1"/>
        <w:spacing w:before="240" w:after="0"/>
      </w:pPr>
      <w:r>
        <w:lastRenderedPageBreak/>
        <w:t xml:space="preserve">Článek </w:t>
      </w:r>
      <w:r w:rsidR="00517977">
        <w:t>II.</w:t>
      </w:r>
    </w:p>
    <w:p w14:paraId="6AA887C0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5E6CCB68" w14:textId="3B79088C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proofErr w:type="gramStart"/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B86AC5">
        <w:rPr>
          <w:i w:val="0"/>
          <w:sz w:val="22"/>
          <w:szCs w:val="22"/>
        </w:rPr>
        <w:t>2</w:t>
      </w:r>
      <w:r w:rsidR="003D169B" w:rsidRPr="00517977">
        <w:rPr>
          <w:i w:val="0"/>
          <w:sz w:val="22"/>
          <w:szCs w:val="22"/>
        </w:rPr>
        <w:t>.20</w:t>
      </w:r>
      <w:r w:rsidR="00B86AC5">
        <w:rPr>
          <w:i w:val="0"/>
          <w:sz w:val="22"/>
          <w:szCs w:val="22"/>
        </w:rPr>
        <w:t>21</w:t>
      </w:r>
      <w:proofErr w:type="gramEnd"/>
      <w:r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B86AC5">
        <w:rPr>
          <w:i w:val="0"/>
          <w:sz w:val="22"/>
          <w:szCs w:val="22"/>
        </w:rPr>
        <w:t>01</w:t>
      </w:r>
      <w:r w:rsidR="00F0685E">
        <w:rPr>
          <w:i w:val="0"/>
          <w:sz w:val="22"/>
          <w:szCs w:val="22"/>
        </w:rPr>
        <w:t>.202</w:t>
      </w:r>
      <w:r w:rsidR="00B86AC5">
        <w:rPr>
          <w:i w:val="0"/>
          <w:sz w:val="22"/>
          <w:szCs w:val="22"/>
        </w:rPr>
        <w:t>4</w:t>
      </w:r>
    </w:p>
    <w:p w14:paraId="0EC43BE3" w14:textId="243C1326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pověřena</w:t>
      </w:r>
      <w:r w:rsidR="008D698E">
        <w:rPr>
          <w:i w:val="0"/>
          <w:sz w:val="22"/>
          <w:szCs w:val="22"/>
        </w:rPr>
        <w:t xml:space="preserve"> </w:t>
      </w:r>
      <w:proofErr w:type="gramStart"/>
      <w:r w:rsidR="008D698E">
        <w:rPr>
          <w:i w:val="0"/>
          <w:sz w:val="22"/>
          <w:szCs w:val="22"/>
        </w:rPr>
        <w:t xml:space="preserve">p. </w:t>
      </w:r>
      <w:r w:rsidR="003D169B" w:rsidRPr="00517977">
        <w:rPr>
          <w:i w:val="0"/>
          <w:sz w:val="22"/>
          <w:szCs w:val="22"/>
        </w:rPr>
        <w:t xml:space="preserve"> </w:t>
      </w:r>
      <w:r w:rsidR="008D698E" w:rsidRPr="008D698E">
        <w:rPr>
          <w:sz w:val="22"/>
          <w:szCs w:val="22"/>
        </w:rPr>
        <w:t>Gabriela</w:t>
      </w:r>
      <w:proofErr w:type="gramEnd"/>
      <w:r w:rsidR="008D698E" w:rsidRPr="008D698E">
        <w:rPr>
          <w:sz w:val="22"/>
          <w:szCs w:val="22"/>
        </w:rPr>
        <w:t xml:space="preserve"> Jiroudková</w:t>
      </w:r>
      <w:r w:rsidR="00517977">
        <w:rPr>
          <w:i w:val="0"/>
          <w:sz w:val="22"/>
          <w:szCs w:val="22"/>
        </w:rPr>
        <w:t>, telefon:</w:t>
      </w:r>
      <w:r w:rsidR="008D698E">
        <w:rPr>
          <w:i w:val="0"/>
          <w:sz w:val="22"/>
          <w:szCs w:val="22"/>
        </w:rPr>
        <w:t xml:space="preserve"> </w:t>
      </w:r>
      <w:r w:rsidR="008D698E" w:rsidRPr="008D698E">
        <w:rPr>
          <w:sz w:val="22"/>
          <w:szCs w:val="22"/>
        </w:rPr>
        <w:t>607 031 389</w:t>
      </w:r>
      <w:r w:rsidR="00517977">
        <w:rPr>
          <w:i w:val="0"/>
          <w:sz w:val="22"/>
          <w:szCs w:val="22"/>
        </w:rPr>
        <w:t>,</w:t>
      </w:r>
      <w:r w:rsidR="008D698E">
        <w:rPr>
          <w:i w:val="0"/>
          <w:sz w:val="22"/>
          <w:szCs w:val="22"/>
        </w:rPr>
        <w:t xml:space="preserve"> </w:t>
      </w:r>
      <w:r w:rsidR="00517977">
        <w:rPr>
          <w:i w:val="0"/>
          <w:sz w:val="22"/>
          <w:szCs w:val="22"/>
        </w:rPr>
        <w:t xml:space="preserve">email </w:t>
      </w:r>
      <w:r w:rsidR="008D698E" w:rsidRPr="00E350A8">
        <w:rPr>
          <w:sz w:val="22"/>
          <w:szCs w:val="22"/>
        </w:rPr>
        <w:t>knihovna@muzeumkoli.cz</w:t>
      </w:r>
    </w:p>
    <w:p w14:paraId="193A248C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V případě dokoupení dalších modulů, navýšení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6698C15C" w14:textId="77777777" w:rsidR="00760737" w:rsidRDefault="00760737" w:rsidP="00760737">
      <w:pPr>
        <w:pStyle w:val="Nadpis1"/>
        <w:spacing w:before="240" w:after="0"/>
      </w:pPr>
      <w:r>
        <w:t>Článek III.</w:t>
      </w:r>
    </w:p>
    <w:p w14:paraId="0D3ED099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3DD53FD2" w14:textId="33FD8E60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Celková cena</w:t>
      </w:r>
      <w:r w:rsidR="00B86AC5">
        <w:rPr>
          <w:i w:val="0"/>
          <w:sz w:val="22"/>
          <w:szCs w:val="22"/>
        </w:rPr>
        <w:t xml:space="preserve"> za předmět plnění dle </w:t>
      </w:r>
      <w:proofErr w:type="gramStart"/>
      <w:r w:rsidR="00B86AC5">
        <w:rPr>
          <w:i w:val="0"/>
          <w:sz w:val="22"/>
          <w:szCs w:val="22"/>
        </w:rPr>
        <w:t>bodu I.1,2</w:t>
      </w:r>
      <w:proofErr w:type="gramEnd"/>
      <w:r w:rsidRPr="00760737">
        <w:rPr>
          <w:i w:val="0"/>
          <w:sz w:val="22"/>
          <w:szCs w:val="22"/>
        </w:rPr>
        <w:t xml:space="preserve">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B86AC5">
        <w:rPr>
          <w:i w:val="0"/>
          <w:sz w:val="22"/>
          <w:szCs w:val="22"/>
        </w:rPr>
        <w:t>78 015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38FE24A5" w14:textId="77B47C29" w:rsidR="009A25A0" w:rsidRPr="00760737" w:rsidRDefault="009A25A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Cena za jeden r</w:t>
      </w:r>
      <w:r w:rsidR="00B000BA">
        <w:rPr>
          <w:i w:val="0"/>
          <w:sz w:val="22"/>
          <w:szCs w:val="22"/>
        </w:rPr>
        <w:t>ok platnosti smlouvy</w:t>
      </w:r>
      <w:r w:rsidR="00B86AC5">
        <w:rPr>
          <w:i w:val="0"/>
          <w:sz w:val="22"/>
          <w:szCs w:val="22"/>
        </w:rPr>
        <w:t xml:space="preserve"> dle </w:t>
      </w:r>
      <w:proofErr w:type="gramStart"/>
      <w:r w:rsidR="00B86AC5">
        <w:rPr>
          <w:i w:val="0"/>
          <w:sz w:val="22"/>
          <w:szCs w:val="22"/>
        </w:rPr>
        <w:t xml:space="preserve">bodu I.1 </w:t>
      </w:r>
      <w:r w:rsidR="00B000BA">
        <w:rPr>
          <w:i w:val="0"/>
          <w:sz w:val="22"/>
          <w:szCs w:val="22"/>
        </w:rPr>
        <w:t>činí</w:t>
      </w:r>
      <w:proofErr w:type="gramEnd"/>
      <w:r w:rsidR="00B000BA">
        <w:rPr>
          <w:i w:val="0"/>
          <w:sz w:val="22"/>
          <w:szCs w:val="22"/>
        </w:rPr>
        <w:t xml:space="preserve"> </w:t>
      </w:r>
      <w:r w:rsidR="00B86AC5">
        <w:rPr>
          <w:i w:val="0"/>
          <w:sz w:val="22"/>
          <w:szCs w:val="22"/>
        </w:rPr>
        <w:t>17 059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086B41C4" w14:textId="56502365" w:rsidR="00B86AC5" w:rsidRDefault="002E0A4F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Cena za jeden r</w:t>
      </w:r>
      <w:r>
        <w:rPr>
          <w:i w:val="0"/>
          <w:sz w:val="22"/>
          <w:szCs w:val="22"/>
        </w:rPr>
        <w:t xml:space="preserve">ok platnosti smlouvy dle </w:t>
      </w:r>
      <w:proofErr w:type="gramStart"/>
      <w:r>
        <w:rPr>
          <w:i w:val="0"/>
          <w:sz w:val="22"/>
          <w:szCs w:val="22"/>
        </w:rPr>
        <w:t>bodu I.2 činí</w:t>
      </w:r>
      <w:proofErr w:type="gramEnd"/>
      <w:r>
        <w:rPr>
          <w:i w:val="0"/>
          <w:sz w:val="22"/>
          <w:szCs w:val="22"/>
        </w:rPr>
        <w:t xml:space="preserve"> 8 946,- </w:t>
      </w:r>
      <w:r w:rsidRPr="00760737">
        <w:rPr>
          <w:i w:val="0"/>
          <w:sz w:val="22"/>
          <w:szCs w:val="22"/>
        </w:rPr>
        <w:t>Kč + DPH v zákonné výši</w:t>
      </w:r>
    </w:p>
    <w:p w14:paraId="08D0A11E" w14:textId="620C2EC6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363A6B">
        <w:rPr>
          <w:i w:val="0"/>
          <w:sz w:val="22"/>
          <w:szCs w:val="22"/>
        </w:rPr>
        <w:t>5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14:paraId="46C1A0D7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4420A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09A4E077" w14:textId="693FAC0B"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2</w:t>
      </w:r>
      <w:r w:rsidR="002E0A4F">
        <w:rPr>
          <w:i w:val="0"/>
          <w:sz w:val="22"/>
          <w:szCs w:val="22"/>
        </w:rPr>
        <w:t>,3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Dodavatel vystaví fakturu se lhůtou splatnosti 14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 xml:space="preserve">14 dnů od </w:t>
      </w:r>
      <w:r w:rsidR="00F02FCB">
        <w:rPr>
          <w:i w:val="0"/>
          <w:sz w:val="22"/>
          <w:szCs w:val="22"/>
        </w:rPr>
        <w:t>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 xml:space="preserve">. </w:t>
      </w:r>
      <w:r w:rsidR="009A25A0" w:rsidRPr="00760737">
        <w:rPr>
          <w:i w:val="0"/>
          <w:sz w:val="22"/>
          <w:szCs w:val="22"/>
        </w:rPr>
        <w:t>Další faktury pak dodavatel vystaví vždy ke dni výročí smlouvy.</w:t>
      </w:r>
    </w:p>
    <w:p w14:paraId="1543E124" w14:textId="77777777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14:paraId="6820E67C" w14:textId="164AD0F4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 </w:t>
      </w:r>
      <w:r w:rsidR="00E350A8" w:rsidRPr="00E350A8">
        <w:rPr>
          <w:b w:val="0"/>
          <w:bCs w:val="0"/>
          <w:color w:val="auto"/>
          <w:sz w:val="22"/>
          <w:szCs w:val="22"/>
        </w:rPr>
        <w:t>fakturace@muzeumkolin.cz</w:t>
      </w:r>
    </w:p>
    <w:p w14:paraId="51371D08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14:paraId="4A618AA8" w14:textId="77777777" w:rsidR="006039F7" w:rsidRDefault="006039F7" w:rsidP="003C4E2F">
      <w:pPr>
        <w:pStyle w:val="Nadpis1"/>
        <w:spacing w:before="240" w:after="0"/>
      </w:pPr>
    </w:p>
    <w:p w14:paraId="1B112534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7BCCEB04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7F610251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47A2E605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</w:p>
    <w:p w14:paraId="4F5F2CC0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1144A0E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14:paraId="10DDD85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lastRenderedPageBreak/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>. odst. 3</w:t>
      </w:r>
      <w:r w:rsidRPr="003C4E2F">
        <w:rPr>
          <w:i w:val="0"/>
          <w:sz w:val="22"/>
          <w:szCs w:val="22"/>
        </w:rPr>
        <w:t xml:space="preserve">. této smlouvy.  </w:t>
      </w:r>
    </w:p>
    <w:p w14:paraId="29C18FAC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14:paraId="01B17BF3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10ECD12D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14:paraId="68217228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14:paraId="66254BF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3FDFF7A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0E2BBE7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3F36D96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14:paraId="363F667D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394B9EFB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14:paraId="251EC74C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28D0665C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5DF3904A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63F361EA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0B003197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217B30B2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0E07D10B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CEB4532" w14:textId="3F8BBE62"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</w:t>
      </w:r>
      <w:r w:rsidR="00E350A8">
        <w:rPr>
          <w:i w:val="0"/>
          <w:sz w:val="22"/>
          <w:szCs w:val="22"/>
        </w:rPr>
        <w:t xml:space="preserve"> </w:t>
      </w:r>
      <w:r w:rsidR="00E350A8" w:rsidRPr="00E350A8">
        <w:rPr>
          <w:sz w:val="22"/>
          <w:szCs w:val="22"/>
        </w:rPr>
        <w:t>607 031 389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hyperlink r:id="rId6" w:history="1">
        <w:r w:rsidR="00E350A8" w:rsidRPr="00F62143">
          <w:rPr>
            <w:rStyle w:val="Hypertextovodkaz"/>
            <w:i w:val="0"/>
            <w:sz w:val="22"/>
            <w:szCs w:val="22"/>
          </w:rPr>
          <w:t>knihovna@muzeumkolin.cz</w:t>
        </w:r>
      </w:hyperlink>
      <w:r w:rsidR="00E350A8">
        <w:rPr>
          <w:i w:val="0"/>
          <w:sz w:val="22"/>
          <w:szCs w:val="22"/>
        </w:rPr>
        <w:t xml:space="preserve"> </w:t>
      </w:r>
      <w:r w:rsidR="00F5662C" w:rsidRPr="00F5662C">
        <w:rPr>
          <w:i w:val="0"/>
          <w:sz w:val="22"/>
          <w:szCs w:val="22"/>
        </w:rPr>
        <w:t xml:space="preserve"> V oznámení uvede veškeré informace dle čl. 33, odst. 3 Nařízení, které mu jsou známy. </w:t>
      </w:r>
    </w:p>
    <w:p w14:paraId="48CA83D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1C302EBD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7F7DD08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18B53936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7B609DC3" w14:textId="77777777" w:rsidR="00F5662C" w:rsidRDefault="00F5662C" w:rsidP="00F5662C">
      <w:pPr>
        <w:ind w:left="0"/>
      </w:pPr>
    </w:p>
    <w:p w14:paraId="4491372D" w14:textId="77777777"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14:paraId="11FEA493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70FC4C1A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A008433" w14:textId="77777777" w:rsidR="006818AD" w:rsidRDefault="006818AD" w:rsidP="00F5662C">
      <w:pPr>
        <w:pStyle w:val="Nadpis1"/>
        <w:spacing w:before="0" w:after="240"/>
      </w:pPr>
    </w:p>
    <w:p w14:paraId="20DC4AA8" w14:textId="77777777"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14:paraId="3E28D65D" w14:textId="77777777"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14:paraId="3FB484A1" w14:textId="77777777"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</w:t>
      </w:r>
      <w:proofErr w:type="gramStart"/>
      <w:r w:rsidRPr="006818AD">
        <w:rPr>
          <w:i w:val="0"/>
          <w:sz w:val="22"/>
          <w:szCs w:val="22"/>
        </w:rPr>
        <w:t>údajů jako</w:t>
      </w:r>
      <w:proofErr w:type="gramEnd"/>
      <w:r w:rsidRPr="006818AD">
        <w:rPr>
          <w:i w:val="0"/>
          <w:sz w:val="22"/>
          <w:szCs w:val="22"/>
        </w:rPr>
        <w:t xml:space="preserve">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14:paraId="0B50DBF9" w14:textId="77777777" w:rsidR="00F5662C" w:rsidRPr="00F5662C" w:rsidRDefault="00F5662C" w:rsidP="00F5662C"/>
    <w:p w14:paraId="38139DE0" w14:textId="77777777"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14:paraId="639C599D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0026C191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14:paraId="69DC8FDF" w14:textId="7E5D6558" w:rsidR="00F02FCB" w:rsidRPr="003C4E2F" w:rsidRDefault="00F02FCB" w:rsidP="00F02FCB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dnem jejího podpisu smluvními stranami</w:t>
      </w:r>
      <w:r>
        <w:rPr>
          <w:i w:val="0"/>
          <w:sz w:val="22"/>
          <w:szCs w:val="22"/>
        </w:rPr>
        <w:t xml:space="preserve"> a účinnosti dnem </w:t>
      </w:r>
      <w:proofErr w:type="gramStart"/>
      <w:r w:rsidR="002E0A4F">
        <w:rPr>
          <w:i w:val="0"/>
          <w:sz w:val="22"/>
          <w:szCs w:val="22"/>
        </w:rPr>
        <w:t>1.2.2021</w:t>
      </w:r>
      <w:proofErr w:type="gramEnd"/>
      <w:r w:rsidR="002E0A4F">
        <w:rPr>
          <w:i w:val="0"/>
          <w:sz w:val="22"/>
          <w:szCs w:val="22"/>
        </w:rPr>
        <w:t>.</w:t>
      </w:r>
    </w:p>
    <w:p w14:paraId="4D8840B1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je uzavírána na dobu určitou s možností jejího prodloužení. Prodloužení platnosti smlouvy bude v tomto případě předmětem písemného dodatku.</w:t>
      </w:r>
    </w:p>
    <w:p w14:paraId="7F26B6FD" w14:textId="77777777"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63A6B">
        <w:rPr>
          <w:i w:val="0"/>
          <w:sz w:val="22"/>
          <w:szCs w:val="22"/>
        </w:rPr>
        <w:t>dvou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201191">
        <w:rPr>
          <w:i w:val="0"/>
          <w:sz w:val="22"/>
          <w:szCs w:val="22"/>
        </w:rPr>
        <w:t>jedno</w:t>
      </w:r>
      <w:r w:rsid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vyhotovení.</w:t>
      </w:r>
    </w:p>
    <w:p w14:paraId="0B470F4F" w14:textId="77777777" w:rsidR="00B83512" w:rsidRDefault="00B83512">
      <w:pPr>
        <w:ind w:left="0"/>
        <w:rPr>
          <w:sz w:val="22"/>
          <w:szCs w:val="22"/>
        </w:rPr>
      </w:pPr>
    </w:p>
    <w:p w14:paraId="402305DE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AA4EA05" w14:textId="651570A9" w:rsidR="00B83512" w:rsidRDefault="00F02FC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 w:rsidR="009E1BD7">
        <w:rPr>
          <w:b w:val="0"/>
          <w:bCs w:val="0"/>
          <w:i w:val="0"/>
          <w:iCs w:val="0"/>
          <w:color w:val="auto"/>
          <w:sz w:val="22"/>
          <w:szCs w:val="22"/>
        </w:rPr>
        <w:t>25.1.2021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</w:t>
      </w:r>
      <w:r w:rsidR="002E0A4F">
        <w:rPr>
          <w:b w:val="0"/>
          <w:bCs w:val="0"/>
          <w:i w:val="0"/>
          <w:iCs w:val="0"/>
          <w:color w:val="auto"/>
          <w:sz w:val="22"/>
          <w:szCs w:val="22"/>
        </w:rPr>
        <w:t>Kolíně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  <w:r w:rsidR="009E1BD7">
        <w:rPr>
          <w:b w:val="0"/>
          <w:bCs w:val="0"/>
          <w:i w:val="0"/>
          <w:iCs w:val="0"/>
          <w:color w:val="auto"/>
          <w:sz w:val="22"/>
          <w:szCs w:val="22"/>
        </w:rPr>
        <w:t xml:space="preserve"> 25.1.2021</w:t>
      </w:r>
      <w:bookmarkStart w:id="1" w:name="_GoBack"/>
      <w:bookmarkEnd w:id="1"/>
    </w:p>
    <w:p w14:paraId="43B28986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352AD00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05C3B23E" w14:textId="77777777" w:rsidR="00363A6B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3F99B4D0" w14:textId="64B2805E"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AA419D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E350A8">
        <w:rPr>
          <w:b w:val="0"/>
          <w:bCs w:val="0"/>
          <w:i w:val="0"/>
          <w:iCs w:val="0"/>
          <w:color w:val="auto"/>
          <w:sz w:val="22"/>
          <w:szCs w:val="22"/>
        </w:rPr>
        <w:t xml:space="preserve">Mgr. Vladimír </w:t>
      </w:r>
      <w:proofErr w:type="spellStart"/>
      <w:r w:rsidR="00E350A8">
        <w:rPr>
          <w:b w:val="0"/>
          <w:bCs w:val="0"/>
          <w:i w:val="0"/>
          <w:iCs w:val="0"/>
          <w:color w:val="auto"/>
          <w:sz w:val="22"/>
          <w:szCs w:val="22"/>
        </w:rPr>
        <w:t>Rišlink</w:t>
      </w:r>
      <w:proofErr w:type="spellEnd"/>
    </w:p>
    <w:p w14:paraId="06BA6390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18"/>
    <w:rsid w:val="00092CED"/>
    <w:rsid w:val="0012562B"/>
    <w:rsid w:val="00125FC7"/>
    <w:rsid w:val="00127226"/>
    <w:rsid w:val="0019101A"/>
    <w:rsid w:val="001930BA"/>
    <w:rsid w:val="00201191"/>
    <w:rsid w:val="002734F6"/>
    <w:rsid w:val="00285EB6"/>
    <w:rsid w:val="002E0A4F"/>
    <w:rsid w:val="00306F8B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F5A2C"/>
    <w:rsid w:val="0041730B"/>
    <w:rsid w:val="0042377F"/>
    <w:rsid w:val="00466E2F"/>
    <w:rsid w:val="004A01EA"/>
    <w:rsid w:val="004D7F9A"/>
    <w:rsid w:val="004E4DA1"/>
    <w:rsid w:val="00517977"/>
    <w:rsid w:val="00541FA6"/>
    <w:rsid w:val="00546AB3"/>
    <w:rsid w:val="005A3CCE"/>
    <w:rsid w:val="005D27B7"/>
    <w:rsid w:val="005E1537"/>
    <w:rsid w:val="005F201A"/>
    <w:rsid w:val="006039F7"/>
    <w:rsid w:val="00676C3C"/>
    <w:rsid w:val="006818AD"/>
    <w:rsid w:val="00693642"/>
    <w:rsid w:val="006E5742"/>
    <w:rsid w:val="00717F58"/>
    <w:rsid w:val="00732CDE"/>
    <w:rsid w:val="00760737"/>
    <w:rsid w:val="007773DD"/>
    <w:rsid w:val="00813854"/>
    <w:rsid w:val="00850A7A"/>
    <w:rsid w:val="0085228C"/>
    <w:rsid w:val="00861B75"/>
    <w:rsid w:val="0087504A"/>
    <w:rsid w:val="008D698E"/>
    <w:rsid w:val="00986935"/>
    <w:rsid w:val="009A25A0"/>
    <w:rsid w:val="009E142A"/>
    <w:rsid w:val="009E1BD7"/>
    <w:rsid w:val="00A4344B"/>
    <w:rsid w:val="00A52BC1"/>
    <w:rsid w:val="00A972DD"/>
    <w:rsid w:val="00AA419D"/>
    <w:rsid w:val="00AC6FE6"/>
    <w:rsid w:val="00AE1231"/>
    <w:rsid w:val="00B000BA"/>
    <w:rsid w:val="00B36B3D"/>
    <w:rsid w:val="00B6642C"/>
    <w:rsid w:val="00B83512"/>
    <w:rsid w:val="00B86AC5"/>
    <w:rsid w:val="00BA460C"/>
    <w:rsid w:val="00C06DAA"/>
    <w:rsid w:val="00C75D1B"/>
    <w:rsid w:val="00CD480A"/>
    <w:rsid w:val="00D17062"/>
    <w:rsid w:val="00D20723"/>
    <w:rsid w:val="00D22D80"/>
    <w:rsid w:val="00D319AD"/>
    <w:rsid w:val="00D56518"/>
    <w:rsid w:val="00E24BE2"/>
    <w:rsid w:val="00E350A8"/>
    <w:rsid w:val="00E37A9E"/>
    <w:rsid w:val="00EF6B7C"/>
    <w:rsid w:val="00F02FCB"/>
    <w:rsid w:val="00F0685E"/>
    <w:rsid w:val="00F33682"/>
    <w:rsid w:val="00F5662C"/>
    <w:rsid w:val="00F65436"/>
    <w:rsid w:val="00F979E3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ihovna@muzeumkol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1571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ekonomka</cp:lastModifiedBy>
  <cp:revision>6</cp:revision>
  <cp:lastPrinted>2021-01-21T10:38:00Z</cp:lastPrinted>
  <dcterms:created xsi:type="dcterms:W3CDTF">2021-01-21T10:26:00Z</dcterms:created>
  <dcterms:modified xsi:type="dcterms:W3CDTF">2021-02-02T12:13:00Z</dcterms:modified>
</cp:coreProperties>
</file>