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B6" w:rsidRDefault="00E256B6">
      <w:pPr>
        <w:spacing w:line="1" w:lineRule="exact"/>
      </w:pPr>
    </w:p>
    <w:p w:rsidR="00E256B6" w:rsidRDefault="00E256B6">
      <w:pPr>
        <w:framePr w:wrap="none" w:vAnchor="page" w:hAnchor="page" w:x="1932" w:y="805"/>
        <w:rPr>
          <w:sz w:val="2"/>
          <w:szCs w:val="2"/>
        </w:rPr>
      </w:pPr>
    </w:p>
    <w:p w:rsidR="00E256B6" w:rsidRDefault="00E256B6">
      <w:pPr>
        <w:pStyle w:val="Jin0"/>
        <w:framePr w:wrap="none" w:vAnchor="page" w:hAnchor="page" w:x="6061" w:y="290"/>
        <w:shd w:val="clear" w:color="auto" w:fill="auto"/>
        <w:spacing w:after="0" w:line="240" w:lineRule="auto"/>
        <w:jc w:val="both"/>
        <w:rPr>
          <w:sz w:val="44"/>
          <w:szCs w:val="44"/>
        </w:rPr>
      </w:pPr>
    </w:p>
    <w:p w:rsidR="00E256B6" w:rsidRDefault="006730D3">
      <w:pPr>
        <w:pStyle w:val="Jin0"/>
        <w:framePr w:w="8773" w:h="1102" w:hRule="exact" w:wrap="none" w:vAnchor="page" w:hAnchor="page" w:x="1568" w:y="1360"/>
        <w:shd w:val="clear" w:color="auto" w:fill="auto"/>
        <w:spacing w:after="60" w:line="240" w:lineRule="auto"/>
        <w:ind w:left="624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 </w:t>
      </w:r>
      <w:proofErr w:type="spellStart"/>
      <w:r>
        <w:rPr>
          <w:b/>
          <w:bCs/>
          <w:sz w:val="32"/>
          <w:szCs w:val="32"/>
        </w:rPr>
        <w:t>Raiffeisen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E256B6" w:rsidRDefault="006730D3">
      <w:pPr>
        <w:pStyle w:val="Jin0"/>
        <w:framePr w:w="8773" w:h="1102" w:hRule="exact" w:wrap="none" w:vAnchor="page" w:hAnchor="page" w:x="1568" w:y="1360"/>
        <w:shd w:val="clear" w:color="auto" w:fill="auto"/>
        <w:spacing w:after="60" w:line="221" w:lineRule="auto"/>
        <w:ind w:left="6900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BANK</w:t>
      </w:r>
    </w:p>
    <w:p w:rsidR="00E256B6" w:rsidRDefault="006730D3">
      <w:pPr>
        <w:pStyle w:val="Jin0"/>
        <w:framePr w:w="8773" w:h="1102" w:hRule="exact" w:wrap="none" w:vAnchor="page" w:hAnchor="page" w:x="1568" w:y="1360"/>
        <w:shd w:val="clear" w:color="auto" w:fill="auto"/>
        <w:spacing w:after="0" w:line="240" w:lineRule="auto"/>
        <w:ind w:right="220"/>
        <w:jc w:val="right"/>
        <w:rPr>
          <w:sz w:val="20"/>
          <w:szCs w:val="20"/>
        </w:rPr>
      </w:pPr>
      <w:r>
        <w:rPr>
          <w:rFonts w:ascii="Constantia" w:eastAsia="Constantia" w:hAnsi="Constantia" w:cs="Constantia"/>
          <w:i/>
          <w:iCs/>
          <w:sz w:val="20"/>
          <w:szCs w:val="20"/>
        </w:rPr>
        <w:t>Banka inspirovaná klienty</w:t>
      </w:r>
    </w:p>
    <w:p w:rsidR="00E256B6" w:rsidRDefault="006730D3">
      <w:pPr>
        <w:pStyle w:val="Zkladntext1"/>
        <w:framePr w:w="8773" w:h="533" w:hRule="exact" w:wrap="none" w:vAnchor="page" w:hAnchor="page" w:x="1568" w:y="2674"/>
        <w:shd w:val="clear" w:color="auto" w:fill="auto"/>
        <w:spacing w:after="6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Smlouva</w:t>
      </w:r>
    </w:p>
    <w:p w:rsidR="00E256B6" w:rsidRDefault="006730D3">
      <w:pPr>
        <w:pStyle w:val="Zkladntext1"/>
        <w:framePr w:w="8773" w:h="533" w:hRule="exact" w:wrap="none" w:vAnchor="page" w:hAnchor="page" w:x="1568" w:y="2674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 zvýhodněném úročení zůstatku na úč</w:t>
      </w:r>
      <w:r>
        <w:rPr>
          <w:b/>
          <w:bCs/>
          <w:sz w:val="18"/>
          <w:szCs w:val="18"/>
        </w:rPr>
        <w:t>tu</w:t>
      </w:r>
    </w:p>
    <w:p w:rsidR="00E256B6" w:rsidRDefault="006730D3">
      <w:pPr>
        <w:pStyle w:val="Zkladntext1"/>
        <w:framePr w:wrap="none" w:vAnchor="page" w:hAnchor="page" w:x="1568" w:y="3469"/>
        <w:shd w:val="clear" w:color="auto" w:fill="auto"/>
        <w:spacing w:after="0" w:line="240" w:lineRule="auto"/>
      </w:pPr>
      <w:r>
        <w:t xml:space="preserve">uzavřená </w:t>
      </w:r>
      <w:proofErr w:type="gramStart"/>
      <w:r>
        <w:t>mezi</w:t>
      </w:r>
      <w:proofErr w:type="gramEnd"/>
    </w:p>
    <w:p w:rsidR="00E256B6" w:rsidRDefault="006730D3">
      <w:pPr>
        <w:pStyle w:val="Zkladntext1"/>
        <w:framePr w:w="8773" w:h="1336" w:hRule="exact" w:wrap="none" w:vAnchor="page" w:hAnchor="page" w:x="1568" w:y="3955"/>
        <w:shd w:val="clear" w:color="auto" w:fill="auto"/>
        <w:spacing w:after="0" w:line="295" w:lineRule="auto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Raiffeisenbank</w:t>
      </w:r>
      <w:proofErr w:type="spellEnd"/>
      <w:r>
        <w:rPr>
          <w:b/>
          <w:bCs/>
          <w:sz w:val="18"/>
          <w:szCs w:val="18"/>
        </w:rPr>
        <w:t xml:space="preserve"> a.s.,</w:t>
      </w:r>
    </w:p>
    <w:p w:rsidR="006730D3" w:rsidRDefault="006730D3">
      <w:pPr>
        <w:pStyle w:val="Zkladntext1"/>
        <w:framePr w:w="8773" w:h="1336" w:hRule="exact" w:wrap="none" w:vAnchor="page" w:hAnchor="page" w:x="1568" w:y="3955"/>
        <w:shd w:val="clear" w:color="auto" w:fill="auto"/>
        <w:spacing w:after="0" w:line="312" w:lineRule="auto"/>
      </w:pPr>
      <w:r>
        <w:t xml:space="preserve">se sídlem Hvězdová 1716/2b, Praha 4, PSČ </w:t>
      </w:r>
      <w:proofErr w:type="gramStart"/>
      <w:r>
        <w:t>140 78, !Č 49240901</w:t>
      </w:r>
      <w:proofErr w:type="gramEnd"/>
      <w:r>
        <w:t xml:space="preserve">, zapsaná v obchodním rejstříku vedeném </w:t>
      </w:r>
      <w:r>
        <w:t>Městským soudem v Praze, oddíl B, vložka 2051, kterou zastupují: XXX</w:t>
      </w:r>
    </w:p>
    <w:p w:rsidR="00E256B6" w:rsidRDefault="006730D3">
      <w:pPr>
        <w:pStyle w:val="Zkladntext1"/>
        <w:framePr w:w="8773" w:h="1336" w:hRule="exact" w:wrap="none" w:vAnchor="page" w:hAnchor="page" w:x="1568" w:y="3955"/>
        <w:shd w:val="clear" w:color="auto" w:fill="auto"/>
        <w:spacing w:after="0" w:line="312" w:lineRule="auto"/>
        <w:rPr>
          <w:sz w:val="18"/>
          <w:szCs w:val="18"/>
        </w:rPr>
      </w:pPr>
      <w:r>
        <w:t xml:space="preserve">(dále jen </w:t>
      </w:r>
      <w:r>
        <w:rPr>
          <w:b/>
          <w:bCs/>
          <w:sz w:val="18"/>
          <w:szCs w:val="18"/>
        </w:rPr>
        <w:t>"Banka"]</w:t>
      </w:r>
    </w:p>
    <w:p w:rsidR="00E256B6" w:rsidRDefault="006730D3">
      <w:pPr>
        <w:pStyle w:val="Zkladntext1"/>
        <w:framePr w:w="8773" w:h="2077" w:hRule="exact" w:wrap="none" w:vAnchor="page" w:hAnchor="page" w:x="1568" w:y="5507"/>
        <w:shd w:val="clear" w:color="auto" w:fill="auto"/>
        <w:spacing w:line="319" w:lineRule="auto"/>
      </w:pPr>
      <w:r>
        <w:t>a</w:t>
      </w:r>
    </w:p>
    <w:p w:rsidR="00E256B6" w:rsidRDefault="006730D3">
      <w:pPr>
        <w:pStyle w:val="Zkladntext1"/>
        <w:framePr w:w="8773" w:h="2077" w:hRule="exact" w:wrap="none" w:vAnchor="page" w:hAnchor="page" w:x="1568" w:y="5507"/>
        <w:shd w:val="clear" w:color="auto" w:fill="auto"/>
        <w:spacing w:after="0" w:line="30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DOPRAVNÍ PODNIK měst Mostu a Litvínova, a.s.</w:t>
      </w:r>
    </w:p>
    <w:p w:rsidR="00E256B6" w:rsidRDefault="006730D3">
      <w:pPr>
        <w:pStyle w:val="Zkladntext1"/>
        <w:framePr w:w="8773" w:h="2077" w:hRule="exact" w:wrap="none" w:vAnchor="page" w:hAnchor="page" w:x="1568" w:y="5507"/>
        <w:shd w:val="clear" w:color="auto" w:fill="auto"/>
        <w:spacing w:after="0" w:line="319" w:lineRule="auto"/>
      </w:pPr>
      <w:r>
        <w:t xml:space="preserve">se sídlem tř. Budovatelů 1395/23, Most, </w:t>
      </w:r>
      <w:r>
        <w:t>PSČ 43401, IČ 62242504</w:t>
      </w:r>
    </w:p>
    <w:p w:rsidR="006730D3" w:rsidRDefault="006730D3">
      <w:pPr>
        <w:pStyle w:val="Zkladntext1"/>
        <w:framePr w:w="8773" w:h="2077" w:hRule="exact" w:wrap="none" w:vAnchor="page" w:hAnchor="page" w:x="1568" w:y="5507"/>
        <w:shd w:val="clear" w:color="auto" w:fill="auto"/>
        <w:spacing w:after="0" w:line="319" w:lineRule="auto"/>
      </w:pPr>
      <w:r>
        <w:t xml:space="preserve">zapsaná v obchodním rejstříku vedeném Krajským soudem v Ústí nad Labem, oddíl B, vložka 660 </w:t>
      </w:r>
    </w:p>
    <w:p w:rsidR="006730D3" w:rsidRDefault="006730D3">
      <w:pPr>
        <w:pStyle w:val="Zkladntext1"/>
        <w:framePr w:w="8773" w:h="2077" w:hRule="exact" w:wrap="none" w:vAnchor="page" w:hAnchor="page" w:x="1568" w:y="5507"/>
        <w:shd w:val="clear" w:color="auto" w:fill="auto"/>
        <w:spacing w:after="0" w:line="319" w:lineRule="auto"/>
      </w:pPr>
      <w:r>
        <w:t xml:space="preserve">zastoupená MUDr. Sáša Štembera, předseda představenstva a Bc. Daniel </w:t>
      </w:r>
      <w:proofErr w:type="spellStart"/>
      <w:r>
        <w:t>Dunovský</w:t>
      </w:r>
      <w:proofErr w:type="spellEnd"/>
      <w:r>
        <w:t xml:space="preserve">, místopředseda </w:t>
      </w:r>
    </w:p>
    <w:p w:rsidR="00E256B6" w:rsidRDefault="006730D3">
      <w:pPr>
        <w:pStyle w:val="Zkladntext1"/>
        <w:framePr w:w="8773" w:h="2077" w:hRule="exact" w:wrap="none" w:vAnchor="page" w:hAnchor="page" w:x="1568" w:y="5507"/>
        <w:shd w:val="clear" w:color="auto" w:fill="auto"/>
        <w:spacing w:after="0" w:line="319" w:lineRule="auto"/>
      </w:pPr>
      <w:r>
        <w:t>představenstva</w:t>
      </w:r>
    </w:p>
    <w:p w:rsidR="00E256B6" w:rsidRDefault="006730D3">
      <w:pPr>
        <w:pStyle w:val="Zkladntext1"/>
        <w:framePr w:w="8773" w:h="2077" w:hRule="exact" w:wrap="none" w:vAnchor="page" w:hAnchor="page" w:x="1568" w:y="5507"/>
        <w:shd w:val="clear" w:color="auto" w:fill="auto"/>
        <w:spacing w:after="0" w:line="319" w:lineRule="auto"/>
      </w:pPr>
      <w:r>
        <w:t>(dále jen „Klient")</w:t>
      </w:r>
    </w:p>
    <w:p w:rsidR="00E256B6" w:rsidRDefault="006730D3">
      <w:pPr>
        <w:pStyle w:val="Zkladntext1"/>
        <w:framePr w:w="8773" w:h="5148" w:hRule="exact" w:wrap="none" w:vAnchor="page" w:hAnchor="page" w:x="1568" w:y="8020"/>
        <w:numPr>
          <w:ilvl w:val="0"/>
          <w:numId w:val="1"/>
        </w:numPr>
        <w:shd w:val="clear" w:color="auto" w:fill="auto"/>
        <w:tabs>
          <w:tab w:val="left" w:pos="330"/>
        </w:tabs>
        <w:spacing w:line="305" w:lineRule="auto"/>
        <w:ind w:left="280" w:hanging="280"/>
        <w:rPr>
          <w:sz w:val="18"/>
          <w:szCs w:val="18"/>
        </w:rPr>
      </w:pPr>
      <w:r>
        <w:t>Klient a Bank</w:t>
      </w:r>
      <w:r>
        <w:t xml:space="preserve">a uzavřeli dne </w:t>
      </w:r>
      <w:proofErr w:type="gramStart"/>
      <w:r>
        <w:t>5.1.2012</w:t>
      </w:r>
      <w:proofErr w:type="gramEnd"/>
      <w:r>
        <w:t xml:space="preserve"> smlouvu na jejímž základě Banka pro Klienta zřídila a dosud vede Účet č. 62262209/5500 (dále jen </w:t>
      </w:r>
      <w:r>
        <w:rPr>
          <w:b/>
          <w:bCs/>
          <w:sz w:val="18"/>
          <w:szCs w:val="18"/>
        </w:rPr>
        <w:t xml:space="preserve">„Účet" </w:t>
      </w:r>
      <w:r>
        <w:t xml:space="preserve">a </w:t>
      </w:r>
      <w:r>
        <w:rPr>
          <w:b/>
          <w:bCs/>
          <w:sz w:val="18"/>
          <w:szCs w:val="18"/>
        </w:rPr>
        <w:t xml:space="preserve">„Smlouva </w:t>
      </w:r>
      <w:r>
        <w:rPr>
          <w:b/>
          <w:bCs/>
          <w:i/>
          <w:iCs/>
          <w:sz w:val="18"/>
          <w:szCs w:val="18"/>
        </w:rPr>
        <w:t>o účtu").</w:t>
      </w:r>
    </w:p>
    <w:p w:rsidR="006730D3" w:rsidRDefault="006730D3">
      <w:pPr>
        <w:pStyle w:val="Zkladntext1"/>
        <w:framePr w:w="8773" w:h="5148" w:hRule="exact" w:wrap="none" w:vAnchor="page" w:hAnchor="page" w:x="1568" w:y="8020"/>
        <w:numPr>
          <w:ilvl w:val="0"/>
          <w:numId w:val="1"/>
        </w:numPr>
        <w:shd w:val="clear" w:color="auto" w:fill="auto"/>
        <w:tabs>
          <w:tab w:val="left" w:pos="358"/>
        </w:tabs>
        <w:spacing w:line="319" w:lineRule="auto"/>
      </w:pPr>
      <w:r>
        <w:t xml:space="preserve">Tato Smlouva o zvýhodněném úročení zůstatku na účtu (dále jen </w:t>
      </w:r>
      <w:r>
        <w:rPr>
          <w:b/>
          <w:bCs/>
          <w:sz w:val="18"/>
          <w:szCs w:val="18"/>
        </w:rPr>
        <w:t xml:space="preserve">„Smlouva") </w:t>
      </w:r>
      <w:r>
        <w:t xml:space="preserve">stanoví pravidla pro </w:t>
      </w:r>
    </w:p>
    <w:p w:rsidR="00E256B6" w:rsidRDefault="006730D3" w:rsidP="006730D3">
      <w:pPr>
        <w:pStyle w:val="Zkladntext1"/>
        <w:framePr w:w="8773" w:h="5148" w:hRule="exact" w:wrap="none" w:vAnchor="page" w:hAnchor="page" w:x="1568" w:y="8020"/>
        <w:shd w:val="clear" w:color="auto" w:fill="auto"/>
        <w:tabs>
          <w:tab w:val="left" w:pos="358"/>
        </w:tabs>
        <w:spacing w:line="319" w:lineRule="auto"/>
      </w:pPr>
      <w:r>
        <w:t xml:space="preserve">         </w:t>
      </w:r>
      <w:r>
        <w:t>zvýhodněné</w:t>
      </w:r>
      <w:r>
        <w:t xml:space="preserve"> úročení zůstatku Účtu.</w:t>
      </w:r>
    </w:p>
    <w:p w:rsidR="00E256B6" w:rsidRDefault="006730D3">
      <w:pPr>
        <w:pStyle w:val="Zkladntext1"/>
        <w:framePr w:w="8773" w:h="5148" w:hRule="exact" w:wrap="none" w:vAnchor="page" w:hAnchor="page" w:x="1568" w:y="8020"/>
        <w:numPr>
          <w:ilvl w:val="0"/>
          <w:numId w:val="1"/>
        </w:numPr>
        <w:shd w:val="clear" w:color="auto" w:fill="auto"/>
        <w:tabs>
          <w:tab w:val="left" w:pos="358"/>
        </w:tabs>
        <w:spacing w:line="310" w:lineRule="auto"/>
        <w:ind w:left="280" w:hanging="280"/>
      </w:pPr>
      <w:r>
        <w:t xml:space="preserve">Ode dne </w:t>
      </w:r>
      <w:proofErr w:type="gramStart"/>
      <w:r>
        <w:t>15.12.2020</w:t>
      </w:r>
      <w:proofErr w:type="gramEnd"/>
      <w:r>
        <w:t xml:space="preserve"> bude Banka úročit zůstatek níže uvedených měnových složek Účtu za použití sjednaných úrokových sazeb takto:</w:t>
      </w:r>
    </w:p>
    <w:p w:rsidR="00E256B6" w:rsidRDefault="006730D3">
      <w:pPr>
        <w:pStyle w:val="Zkladntext1"/>
        <w:framePr w:w="8773" w:h="5148" w:hRule="exact" w:wrap="none" w:vAnchor="page" w:hAnchor="page" w:x="1568" w:y="8020"/>
        <w:shd w:val="clear" w:color="auto" w:fill="auto"/>
        <w:spacing w:line="312" w:lineRule="auto"/>
        <w:ind w:left="1060"/>
      </w:pPr>
      <w:r>
        <w:t xml:space="preserve">XXX%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 xml:space="preserve"> z kladného zůstatku měnové složky CZK.</w:t>
      </w:r>
    </w:p>
    <w:p w:rsidR="00E256B6" w:rsidRDefault="006730D3">
      <w:pPr>
        <w:pStyle w:val="Zkladntext1"/>
        <w:framePr w:w="8773" w:h="5148" w:hRule="exact" w:wrap="none" w:vAnchor="page" w:hAnchor="page" w:x="1568" w:y="8020"/>
        <w:shd w:val="clear" w:color="auto" w:fill="auto"/>
        <w:spacing w:line="312" w:lineRule="auto"/>
        <w:ind w:left="280" w:firstLine="20"/>
        <w:jc w:val="both"/>
      </w:pPr>
      <w:r>
        <w:t xml:space="preserve">Po skončení účinnosti této Smlouvy bude Banka úročit </w:t>
      </w:r>
      <w:r>
        <w:t>zůstatek Účtu v souladu se Smlouvou o účtu a Produktovými podmínkami k účtům a vkladům (dále jen „Produktové podmínky"), konkrétně v souladu s čl. 3.3 Produktových podmínek, případně v souladu s ustanovením, které tento článek v budoucnu nahradí. Není-li p</w:t>
      </w:r>
      <w:r>
        <w:t>ro některou měnovou složku úroková sazba v této Smlouvě sjednána, bude Banka úročit zůstatek takové měnové složky v souladu se Smlouvou o účtu a Produktovými podmínkami, tak jak je uvedeno v předchozí větě.</w:t>
      </w:r>
    </w:p>
    <w:p w:rsidR="00E256B6" w:rsidRDefault="006730D3">
      <w:pPr>
        <w:pStyle w:val="Zkladntext1"/>
        <w:framePr w:w="8773" w:h="5148" w:hRule="exact" w:wrap="none" w:vAnchor="page" w:hAnchor="page" w:x="1568" w:y="8020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ind w:left="280" w:hanging="280"/>
      </w:pPr>
      <w:r>
        <w:t>Banka je oprávněná výši úrokových sazeb sjednanýc</w:t>
      </w:r>
      <w:r>
        <w:t>h touto Smlouvou změnit jednostranným oznámením Klientovi. Oznámení o změně úrokových sazeb zašle Banka Klientovi na e-mailovou adresu,</w:t>
      </w:r>
    </w:p>
    <w:p w:rsidR="00E256B6" w:rsidRDefault="006730D3">
      <w:pPr>
        <w:pStyle w:val="Zhlavnebozpat0"/>
        <w:framePr w:wrap="none" w:vAnchor="page" w:hAnchor="page" w:x="8905" w:y="15742"/>
        <w:shd w:val="clear" w:color="auto" w:fill="auto"/>
        <w:tabs>
          <w:tab w:val="left" w:pos="1217"/>
        </w:tabs>
      </w:pPr>
      <w:r>
        <w:t>ZUBU HAT</w:t>
      </w:r>
      <w:r>
        <w:tab/>
        <w:t>091</w:t>
      </w:r>
    </w:p>
    <w:p w:rsidR="00E256B6" w:rsidRDefault="00E256B6">
      <w:pPr>
        <w:spacing w:line="1" w:lineRule="exact"/>
        <w:sectPr w:rsidR="00E256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6B6" w:rsidRDefault="00E256B6">
      <w:pPr>
        <w:spacing w:line="1" w:lineRule="exact"/>
      </w:pPr>
    </w:p>
    <w:p w:rsidR="00E256B6" w:rsidRDefault="006730D3">
      <w:pPr>
        <w:pStyle w:val="Jin0"/>
        <w:framePr w:wrap="none" w:vAnchor="page" w:hAnchor="page" w:x="317" w:y="931"/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:rsidR="00E256B6" w:rsidRDefault="006730D3">
      <w:pPr>
        <w:pStyle w:val="Jin0"/>
        <w:framePr w:wrap="none" w:vAnchor="page" w:hAnchor="page" w:x="18" w:y="1255"/>
        <w:shd w:val="clear" w:color="auto" w:fill="auto"/>
        <w:spacing w:after="0" w:line="240" w:lineRule="auto"/>
        <w:jc w:val="both"/>
        <w:rPr>
          <w:sz w:val="84"/>
          <w:szCs w:val="84"/>
        </w:rPr>
      </w:pPr>
      <w:r>
        <w:rPr>
          <w:sz w:val="84"/>
          <w:szCs w:val="84"/>
        </w:rPr>
        <w:t>/</w:t>
      </w:r>
    </w:p>
    <w:p w:rsidR="00E256B6" w:rsidRDefault="006730D3">
      <w:pPr>
        <w:pStyle w:val="Zkladntext1"/>
        <w:framePr w:w="8838" w:h="1580" w:hRule="exact" w:wrap="none" w:vAnchor="page" w:hAnchor="page" w:x="1509" w:y="1849"/>
        <w:shd w:val="clear" w:color="auto" w:fill="auto"/>
        <w:ind w:left="340" w:firstLine="20"/>
        <w:jc w:val="both"/>
      </w:pPr>
      <w:r>
        <w:t>kterou jí Klient za tímto účelem sdělil, případně prostřednictvím Elektronické</w:t>
      </w:r>
      <w:r>
        <w:t xml:space="preserve"> schránky služeb přímého bankovnictví, a to nejméně 3 Bankovní pracovní dny před nabytím účinnosti takové změny.</w:t>
      </w:r>
    </w:p>
    <w:p w:rsidR="00E256B6" w:rsidRDefault="006730D3">
      <w:pPr>
        <w:pStyle w:val="Zkladntext1"/>
        <w:framePr w:w="8838" w:h="1580" w:hRule="exact" w:wrap="none" w:vAnchor="page" w:hAnchor="page" w:x="1509" w:y="1849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12" w:lineRule="auto"/>
        <w:ind w:left="340" w:hanging="340"/>
        <w:jc w:val="both"/>
      </w:pPr>
      <w:r>
        <w:t xml:space="preserve">Tato Smlouva nahrazuje veškeré doposud platné ujednání stran, kterými byla sjednána výše úrokové sazby zůstatku Účtu, a to v rozsahu měnových </w:t>
      </w:r>
      <w:r>
        <w:t>složek uvedených v této Smlouvě. Banka bude dále zůstatek Účtu na měnových složkách uvedených výše úročit podle podmínek uvedených v této Smlouvě.</w:t>
      </w:r>
    </w:p>
    <w:p w:rsidR="00E256B6" w:rsidRDefault="006730D3">
      <w:pPr>
        <w:pStyle w:val="Zkladntext1"/>
        <w:framePr w:w="8838" w:h="1087" w:hRule="exact" w:wrap="none" w:vAnchor="page" w:hAnchor="page" w:x="1509" w:y="3620"/>
        <w:shd w:val="clear" w:color="auto" w:fill="auto"/>
        <w:spacing w:after="0"/>
        <w:ind w:left="340" w:hanging="340"/>
        <w:jc w:val="both"/>
      </w:pPr>
      <w:r>
        <w:t xml:space="preserve">ó. Kterákoliv smluvní strana je oprávněna tuto Smlouvu písemně vypovědět. Výpověď nabude účinnosti uplynutím </w:t>
      </w:r>
      <w:r>
        <w:t xml:space="preserve">pátého Bankovního pracovního dne od doručení výpovědi druhé smluvní straně. Po uplynutí výpovědní lhůty bude Banka úročit zůstatek Účtu v souladu se Smlouvou o účtu a Produktovými podmínkami, tak jak je uvedeno v čl. 3 </w:t>
      </w:r>
      <w:proofErr w:type="gramStart"/>
      <w:r>
        <w:t>této</w:t>
      </w:r>
      <w:proofErr w:type="gramEnd"/>
      <w:r>
        <w:t xml:space="preserve"> Smlouvy.</w:t>
      </w:r>
    </w:p>
    <w:p w:rsidR="00E256B6" w:rsidRDefault="006730D3">
      <w:pPr>
        <w:pStyle w:val="Zkladntext1"/>
        <w:framePr w:w="8838" w:h="1343" w:hRule="exact" w:wrap="none" w:vAnchor="page" w:hAnchor="page" w:x="1509" w:y="4884"/>
        <w:numPr>
          <w:ilvl w:val="0"/>
          <w:numId w:val="2"/>
        </w:numPr>
        <w:shd w:val="clear" w:color="auto" w:fill="auto"/>
        <w:tabs>
          <w:tab w:val="left" w:pos="291"/>
        </w:tabs>
        <w:spacing w:after="0"/>
        <w:ind w:left="340" w:hanging="340"/>
        <w:jc w:val="both"/>
      </w:pPr>
      <w:r>
        <w:t xml:space="preserve">Nedílnou součástí této </w:t>
      </w:r>
      <w:r>
        <w:t xml:space="preserve">Smlouvy jsou Všeobecné obchodní podmínky </w:t>
      </w:r>
      <w:proofErr w:type="spellStart"/>
      <w:r>
        <w:t>Raiffeisenbank</w:t>
      </w:r>
      <w:proofErr w:type="spellEnd"/>
      <w:r>
        <w:t xml:space="preserve"> a.s. (dále jen „VOP"}. Pojmy, které začínají velkým písmenem a nejsou v této Smlouvě vysvětleny, jsou vyloženy ve VOP. Podpisem této Smlouvy Klient stvrzuje, že účinné VOP před podepsáním Smlouvy přev</w:t>
      </w:r>
      <w:r>
        <w:t>zal, seznámil se s nimi, porozuměl jejich obsahu a souhlasí s nimi. Klient prohlašuje, že se výslovně seznámil, porozuměl obsahu a souhlasí s následujícími ustanoveními VOP:</w:t>
      </w:r>
    </w:p>
    <w:p w:rsidR="00E256B6" w:rsidRDefault="006730D3">
      <w:pPr>
        <w:framePr w:wrap="none" w:vAnchor="page" w:hAnchor="page" w:x="1591" w:y="71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8750" cy="2317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87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B6" w:rsidRDefault="006730D3">
      <w:pPr>
        <w:pStyle w:val="Zkladntext1"/>
        <w:framePr w:w="8838" w:h="2099" w:hRule="exact" w:wrap="none" w:vAnchor="page" w:hAnchor="page" w:x="1509" w:y="6403"/>
        <w:shd w:val="clear" w:color="auto" w:fill="auto"/>
        <w:spacing w:after="0" w:line="312" w:lineRule="auto"/>
        <w:ind w:left="321" w:right="39" w:firstLine="360"/>
        <w:jc w:val="both"/>
      </w:pPr>
      <w:r>
        <w:t xml:space="preserve">(i) čl. 1.5 až 1.7 upravujícími postup při změnách smluvních podmínek ze strany </w:t>
      </w:r>
      <w:r>
        <w:t>Banky, (</w:t>
      </w:r>
      <w:proofErr w:type="spellStart"/>
      <w:r>
        <w:t>ii</w:t>
      </w:r>
      <w:proofErr w:type="spellEnd"/>
      <w:r>
        <w:t>) čl. 2.4</w:t>
      </w:r>
      <w:r>
        <w:br/>
        <w:t>týkajícím se informační povinnosti Klienta v případě, že je politicky exponovanou osobou dle vymezení</w:t>
      </w:r>
      <w:r>
        <w:br/>
        <w:t>v tomto ustanovení, (</w:t>
      </w:r>
      <w:proofErr w:type="spellStart"/>
      <w:r>
        <w:t>iii</w:t>
      </w:r>
      <w:proofErr w:type="spellEnd"/>
      <w:r>
        <w:t>) čl. 12.3 určujícím pravidla pro pořadí splácení splatných dluhů Klienta v případě,</w:t>
      </w:r>
    </w:p>
    <w:p w:rsidR="00E256B6" w:rsidRDefault="006730D3">
      <w:pPr>
        <w:pStyle w:val="Zkladntext1"/>
        <w:framePr w:w="8838" w:h="2099" w:hRule="exact" w:wrap="none" w:vAnchor="page" w:hAnchor="page" w:x="1509" w:y="6403"/>
        <w:shd w:val="clear" w:color="auto" w:fill="auto"/>
        <w:spacing w:after="0" w:line="312" w:lineRule="auto"/>
        <w:ind w:left="328" w:right="39"/>
        <w:jc w:val="both"/>
      </w:pPr>
      <w:r>
        <w:t xml:space="preserve">kdy poskytnuté plnění </w:t>
      </w:r>
      <w:r>
        <w:t>nepostačuje zcela k jejich úhradě, (</w:t>
      </w:r>
      <w:proofErr w:type="spellStart"/>
      <w:r>
        <w:t>iv</w:t>
      </w:r>
      <w:proofErr w:type="spellEnd"/>
      <w:r>
        <w:t>) čl. 12.4, jenž zakazuje postoupit</w:t>
      </w:r>
      <w:r>
        <w:br/>
        <w:t>pohledávky z jakýchkoliv Účtů a vkladů za Bankou a neumožňuje pohledávky z Účtů a vkladů za</w:t>
      </w:r>
      <w:r>
        <w:br/>
        <w:t>Bankou zastavit bez písemného souhlasu Banky, (v) čl. 16.2 podpůrně určujícím výši úroku p</w:t>
      </w:r>
      <w:r>
        <w:t>ři sjednání</w:t>
      </w:r>
      <w:r>
        <w:br/>
        <w:t>úvěru, (ví) definicí pojmu Nepovolený záporný zůstatek, který pro případ překročení dostupných</w:t>
      </w:r>
      <w:r>
        <w:br/>
        <w:t>Prostředků na Účtu stanoví splatnost takové pohledávky Banky za Klientem;</w:t>
      </w:r>
    </w:p>
    <w:p w:rsidR="00E256B6" w:rsidRDefault="006730D3">
      <w:pPr>
        <w:pStyle w:val="Zkladntext1"/>
        <w:framePr w:wrap="none" w:vAnchor="page" w:hAnchor="page" w:x="1509" w:y="8707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</w:pPr>
      <w:r>
        <w:t>Tato Smlouva se uzavírá na dobu neurčitou.</w:t>
      </w:r>
    </w:p>
    <w:p w:rsidR="00E256B6" w:rsidRDefault="006730D3">
      <w:pPr>
        <w:pStyle w:val="Zkladntext1"/>
        <w:framePr w:wrap="none" w:vAnchor="page" w:hAnchor="page" w:x="1509" w:y="9208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</w:pPr>
      <w:r>
        <w:t>Tato Smlouva byla podepsána ve d</w:t>
      </w:r>
      <w:r>
        <w:t>vou exemplářích.</w:t>
      </w:r>
    </w:p>
    <w:p w:rsidR="00E256B6" w:rsidRDefault="006730D3">
      <w:pPr>
        <w:framePr w:wrap="none" w:vAnchor="page" w:hAnchor="page" w:x="1599" w:y="97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43455" cy="128016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24345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B6" w:rsidRDefault="006730D3">
      <w:pPr>
        <w:pStyle w:val="Titulekobrzku0"/>
        <w:framePr w:wrap="none" w:vAnchor="page" w:hAnchor="page" w:x="5508" w:y="9715"/>
        <w:shd w:val="clear" w:color="auto" w:fill="auto"/>
        <w:ind w:right="18"/>
      </w:pPr>
      <w:r>
        <w:t xml:space="preserve">V Mostě </w:t>
      </w:r>
      <w:proofErr w:type="spellStart"/>
      <w:r>
        <w:t>dn</w:t>
      </w:r>
      <w:proofErr w:type="spellEnd"/>
    </w:p>
    <w:p w:rsidR="00E256B6" w:rsidRDefault="006730D3">
      <w:pPr>
        <w:pStyle w:val="Zkladntext1"/>
        <w:framePr w:w="3924" w:h="511" w:hRule="exact" w:wrap="none" w:vAnchor="page" w:hAnchor="page" w:x="5559" w:y="10741"/>
        <w:shd w:val="clear" w:color="auto" w:fill="auto"/>
        <w:spacing w:after="40" w:line="240" w:lineRule="auto"/>
        <w:ind w:left="7" w:right="3776"/>
      </w:pPr>
      <w:r>
        <w:t>K</w:t>
      </w:r>
    </w:p>
    <w:p w:rsidR="00E256B6" w:rsidRDefault="006730D3">
      <w:pPr>
        <w:pStyle w:val="Zkladntext1"/>
        <w:framePr w:w="3924" w:h="511" w:hRule="exact" w:wrap="none" w:vAnchor="page" w:hAnchor="page" w:x="5559" w:y="10741"/>
        <w:shd w:val="clear" w:color="auto" w:fill="auto"/>
        <w:spacing w:after="0" w:line="240" w:lineRule="auto"/>
        <w:ind w:left="7" w:right="39"/>
      </w:pPr>
      <w:r>
        <w:t xml:space="preserve">MUDr. Sáša </w:t>
      </w:r>
      <w:proofErr w:type="spellStart"/>
      <w:r>
        <w:t>Stembera</w:t>
      </w:r>
      <w:proofErr w:type="spellEnd"/>
      <w:r>
        <w:t xml:space="preserve"> Bc. Daniel </w:t>
      </w:r>
      <w:proofErr w:type="spellStart"/>
      <w:r>
        <w:t>Dunov</w:t>
      </w:r>
      <w:proofErr w:type="spellEnd"/>
      <w:r>
        <w:t>/</w:t>
      </w:r>
      <w:proofErr w:type="spellStart"/>
      <w:r>
        <w:t>ký</w:t>
      </w:r>
      <w:proofErr w:type="spellEnd"/>
    </w:p>
    <w:p w:rsidR="00E256B6" w:rsidRDefault="006730D3">
      <w:pPr>
        <w:pStyle w:val="Zkladntext1"/>
        <w:framePr w:w="4518" w:h="493" w:hRule="exact" w:wrap="none" w:vAnchor="page" w:hAnchor="page" w:x="5605" w:y="11231"/>
        <w:shd w:val="clear" w:color="auto" w:fill="auto"/>
        <w:spacing w:after="0" w:line="240" w:lineRule="auto"/>
        <w:ind w:left="11" w:right="40"/>
        <w:jc w:val="right"/>
      </w:pPr>
      <w:r>
        <w:t>předseda před^venstvu^ístopFedsedajsíeckfajíeDSt</w:t>
      </w:r>
      <w:r>
        <w:rPr>
          <w:vertAlign w:val="superscript"/>
        </w:rPr>
        <w:t>1</w:t>
      </w:r>
    </w:p>
    <w:p w:rsidR="00E256B6" w:rsidRDefault="006730D3">
      <w:pPr>
        <w:pStyle w:val="Jin0"/>
        <w:framePr w:w="4518" w:h="493" w:hRule="exact" w:wrap="none" w:vAnchor="page" w:hAnchor="page" w:x="5605" w:y="11231"/>
        <w:shd w:val="clear" w:color="auto" w:fill="auto"/>
        <w:spacing w:after="0" w:line="180" w:lineRule="auto"/>
        <w:ind w:left="11" w:right="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DOPRAVNÍ PODNIK ©</w:t>
      </w:r>
    </w:p>
    <w:p w:rsidR="00E256B6" w:rsidRDefault="006730D3">
      <w:pPr>
        <w:pStyle w:val="Jin0"/>
        <w:framePr w:w="3157" w:h="968" w:hRule="exact" w:wrap="none" w:vAnchor="page" w:hAnchor="page" w:x="6761" w:y="11612"/>
        <w:shd w:val="clear" w:color="auto" w:fill="auto"/>
        <w:spacing w:after="0" w:line="197" w:lineRule="auto"/>
        <w:ind w:left="18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mest Mostu </w:t>
      </w:r>
      <w:r>
        <w:rPr>
          <w:rFonts w:ascii="Constantia" w:eastAsia="Constantia" w:hAnsi="Constantia" w:cs="Constantia"/>
          <w:i/>
          <w:i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Litvínova, a.s.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Budovatelů 1395/23, MOST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Palatino Linotype" w:eastAsia="Palatino Linotype" w:hAnsi="Palatino Linotype" w:cs="Palatino Linotype"/>
          <w:sz w:val="18"/>
          <w:szCs w:val="18"/>
        </w:rPr>
        <w:t>476 702 430 Fax: 476 702 585</w:t>
      </w:r>
      <w:r>
        <w:rPr>
          <w:rFonts w:ascii="Palatino Linotype" w:eastAsia="Palatino Linotype" w:hAnsi="Palatino Linotype" w:cs="Palatino Linotype"/>
          <w:sz w:val="18"/>
          <w:szCs w:val="18"/>
        </w:rPr>
        <w:br/>
      </w:r>
      <w:r>
        <w:rPr>
          <w:rFonts w:ascii="Palatino Linotype" w:eastAsia="Palatino Linotype" w:hAnsi="Palatino Linotype" w:cs="Palatino Linotype"/>
          <w:sz w:val="18"/>
          <w:szCs w:val="18"/>
          <w:u w:val="single"/>
        </w:rPr>
        <w:t>Lig: 62242504 DIČ: CZ62242504</w:t>
      </w:r>
    </w:p>
    <w:p w:rsidR="00E256B6" w:rsidRDefault="006730D3">
      <w:pPr>
        <w:spacing w:line="1" w:lineRule="exact"/>
        <w:sectPr w:rsidR="00E256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6047740</wp:posOffset>
                </wp:positionV>
                <wp:extent cx="6448425" cy="18383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37.5pt;margin-top:476.2pt;width:507.7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3622675</wp:posOffset>
            </wp:positionH>
            <wp:positionV relativeFrom="page">
              <wp:posOffset>6088380</wp:posOffset>
            </wp:positionV>
            <wp:extent cx="956945" cy="85344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5694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5243830</wp:posOffset>
            </wp:positionH>
            <wp:positionV relativeFrom="page">
              <wp:posOffset>6408420</wp:posOffset>
            </wp:positionV>
            <wp:extent cx="1286510" cy="87757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8651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6B6" w:rsidRDefault="00E256B6">
      <w:pPr>
        <w:spacing w:line="1" w:lineRule="exact"/>
      </w:pPr>
    </w:p>
    <w:p w:rsidR="00E256B6" w:rsidRDefault="00E256B6">
      <w:pPr>
        <w:pStyle w:val="Jin0"/>
        <w:framePr w:wrap="none" w:vAnchor="page" w:hAnchor="page" w:x="9508" w:y="832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E256B6" w:rsidRDefault="006730D3">
      <w:pPr>
        <w:framePr w:wrap="none" w:vAnchor="page" w:hAnchor="page" w:x="62" w:y="13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7010" cy="43307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0701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B6" w:rsidRDefault="006730D3">
      <w:pPr>
        <w:pStyle w:val="Nadpis20"/>
        <w:framePr w:w="10188" w:h="814" w:hRule="exact" w:wrap="none" w:vAnchor="page" w:hAnchor="page" w:x="1009" w:y="1379"/>
        <w:shd w:val="clear" w:color="auto" w:fill="auto"/>
        <w:spacing w:line="180" w:lineRule="auto"/>
      </w:pPr>
      <w:bookmarkStart w:id="0" w:name="bookmark0"/>
      <w:bookmarkStart w:id="1" w:name="bookmark1"/>
      <w:proofErr w:type="spellStart"/>
      <w:r>
        <w:t>Raiffeisen</w:t>
      </w:r>
      <w:bookmarkEnd w:id="0"/>
      <w:bookmarkEnd w:id="1"/>
      <w:proofErr w:type="spellEnd"/>
    </w:p>
    <w:p w:rsidR="00E256B6" w:rsidRDefault="006730D3">
      <w:pPr>
        <w:pStyle w:val="Jin0"/>
        <w:framePr w:w="10188" w:h="814" w:hRule="exact" w:wrap="none" w:vAnchor="page" w:hAnchor="page" w:x="1009" w:y="1379"/>
        <w:shd w:val="clear" w:color="auto" w:fill="auto"/>
        <w:spacing w:after="60" w:line="180" w:lineRule="auto"/>
        <w:jc w:val="right"/>
        <w:rPr>
          <w:sz w:val="34"/>
          <w:szCs w:val="34"/>
        </w:rPr>
      </w:pPr>
      <w:r>
        <w:rPr>
          <w:rFonts w:ascii="Times New Roman" w:eastAsia="Times New Roman" w:hAnsi="Times New Roman" w:cs="Times New Roman"/>
          <w:smallCaps/>
          <w:sz w:val="34"/>
          <w:szCs w:val="34"/>
        </w:rPr>
        <w:t>bank</w:t>
      </w:r>
    </w:p>
    <w:p w:rsidR="00E256B6" w:rsidRDefault="006730D3">
      <w:pPr>
        <w:pStyle w:val="Nadpis10"/>
        <w:framePr w:w="10188" w:h="1429" w:hRule="exact" w:wrap="none" w:vAnchor="page" w:hAnchor="page" w:x="1009" w:y="2632"/>
        <w:shd w:val="clear" w:color="auto" w:fill="auto"/>
        <w:spacing w:after="0" w:line="226" w:lineRule="auto"/>
      </w:pPr>
      <w:bookmarkStart w:id="2" w:name="bookmark2"/>
      <w:bookmarkStart w:id="3" w:name="bookmark3"/>
      <w:r>
        <w:t>SOUHLAS S POŘÍZENÍM KOPIE DOKLADU A SE ZPRACOVÁNÍM OSOBNÍCH ÚDAJŮ</w:t>
      </w:r>
      <w:bookmarkEnd w:id="2"/>
      <w:bookmarkEnd w:id="3"/>
    </w:p>
    <w:p w:rsidR="00E256B6" w:rsidRDefault="006730D3">
      <w:pPr>
        <w:pStyle w:val="Zkladntext1"/>
        <w:framePr w:w="10188" w:h="3546" w:hRule="exact" w:wrap="none" w:vAnchor="page" w:hAnchor="page" w:x="1009" w:y="4432"/>
        <w:shd w:val="clear" w:color="auto" w:fill="auto"/>
        <w:spacing w:after="260" w:line="360" w:lineRule="auto"/>
        <w:jc w:val="both"/>
      </w:pPr>
      <w:r>
        <w:t xml:space="preserve">Souhlasím s pořízením kopie mého dokladu ze strany </w:t>
      </w:r>
      <w:proofErr w:type="spellStart"/>
      <w:r>
        <w:t>Raiífeisenbank</w:t>
      </w:r>
      <w:proofErr w:type="spellEnd"/>
      <w:r>
        <w:t xml:space="preserve"> a.s., IČO 49240901 (dále jen „Banka*) a s tím, </w:t>
      </w:r>
      <w:r>
        <w:t xml:space="preserve">že Banka může pořízenou kopii včetně všech údajů v ní obsažených dále zpracovávat pro účely předcházení či šetření podvodů, jimž může být vystavena Banka, její klienti či třetí </w:t>
      </w:r>
      <w:proofErr w:type="gramStart"/>
      <w:r>
        <w:t>osoby, .a pro</w:t>
      </w:r>
      <w:proofErr w:type="gramEnd"/>
      <w:r>
        <w:t xml:space="preserve"> účely plnění povinností dle zákona o některých opatřeních proti l</w:t>
      </w:r>
      <w:r>
        <w:t>egalizaci výnosů z trestné činnosti a financování terorismu. Výslovně souhlasím, že je Banka pro uvedené účely oprávněna zpracovávat i mou fotografii, která je součástí kopírovaného dokladu.</w:t>
      </w:r>
    </w:p>
    <w:p w:rsidR="00E256B6" w:rsidRDefault="006730D3">
      <w:pPr>
        <w:pStyle w:val="Zkladntext1"/>
        <w:framePr w:w="10188" w:h="3546" w:hRule="exact" w:wrap="none" w:vAnchor="page" w:hAnchor="page" w:x="1009" w:y="4432"/>
        <w:shd w:val="clear" w:color="auto" w:fill="auto"/>
        <w:spacing w:after="260" w:line="360" w:lineRule="auto"/>
        <w:jc w:val="both"/>
      </w:pPr>
      <w:r>
        <w:t>Beru na vědomí, že jsem oprávněn/a souhlas kdykoliv písemně odvol</w:t>
      </w:r>
      <w:r>
        <w:t>at; odvoláním souhlasu však není dotčena zákonnost zpracování vycházející ze souhlasu uděleného před jeho odvoláním a odvolání souhlasu nemá vliv na zpracování údajů, které Banka zpracovává nebo může zpracovávat na základě jiného právního důvodu.</w:t>
      </w:r>
    </w:p>
    <w:p w:rsidR="00E256B6" w:rsidRDefault="006730D3">
      <w:pPr>
        <w:pStyle w:val="Zkladntext1"/>
        <w:framePr w:w="10188" w:h="3546" w:hRule="exact" w:wrap="none" w:vAnchor="page" w:hAnchor="page" w:x="1009" w:y="4432"/>
        <w:shd w:val="clear" w:color="auto" w:fill="auto"/>
        <w:spacing w:after="0" w:line="360" w:lineRule="auto"/>
        <w:jc w:val="both"/>
      </w:pPr>
      <w:r>
        <w:t>Potvrzuj?</w:t>
      </w:r>
      <w:r>
        <w:t xml:space="preserve">, že jsem se seznámil/a s Informačním memorandem zpracování osobních údajů klientů </w:t>
      </w:r>
      <w:proofErr w:type="spellStart"/>
      <w:r>
        <w:t>Raiífeisenbank</w:t>
      </w:r>
      <w:proofErr w:type="spellEnd"/>
      <w:r>
        <w:t>-a.s., které obsahuje další informace, včetně mých práv, související se zpracováním mých osobních údajů Bankou.</w:t>
      </w:r>
    </w:p>
    <w:p w:rsidR="00E256B6" w:rsidRDefault="006730D3">
      <w:pPr>
        <w:pStyle w:val="Jin0"/>
        <w:framePr w:wrap="none" w:vAnchor="page" w:hAnchor="page" w:x="1016" w:y="8795"/>
        <w:shd w:val="clear" w:color="auto" w:fill="auto"/>
        <w:spacing w:after="0" w:line="240" w:lineRule="auto"/>
        <w:ind w:left="7" w:right="7"/>
        <w:jc w:val="both"/>
      </w:pPr>
      <w:r>
        <w:t>V</w:t>
      </w:r>
    </w:p>
    <w:p w:rsidR="00E256B6" w:rsidRDefault="006730D3">
      <w:pPr>
        <w:pStyle w:val="Zkladntext1"/>
        <w:framePr w:wrap="none" w:vAnchor="page" w:hAnchor="page" w:x="1009" w:y="8788"/>
        <w:shd w:val="clear" w:color="auto" w:fill="auto"/>
        <w:spacing w:after="0" w:line="240" w:lineRule="auto"/>
        <w:ind w:left="2765" w:right="7070"/>
      </w:pPr>
      <w:r>
        <w:t>dne</w:t>
      </w:r>
    </w:p>
    <w:p w:rsidR="00E256B6" w:rsidRDefault="006730D3">
      <w:pPr>
        <w:framePr w:wrap="none" w:vAnchor="page" w:hAnchor="page" w:x="7744" w:y="86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44370" cy="112776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4437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B6" w:rsidRDefault="006730D3">
      <w:pPr>
        <w:pStyle w:val="Zhlavnebozpat0"/>
        <w:framePr w:wrap="none" w:vAnchor="page" w:hAnchor="page" w:x="966" w:y="15794"/>
        <w:shd w:val="clear" w:color="auto" w:fill="auto"/>
      </w:pPr>
      <w:r>
        <w:t>♦r</w:t>
      </w:r>
    </w:p>
    <w:p w:rsidR="00E256B6" w:rsidRDefault="00E256B6">
      <w:pPr>
        <w:framePr w:wrap="none" w:vAnchor="page" w:hAnchor="page" w:x="3799" w:y="15772"/>
      </w:pPr>
    </w:p>
    <w:p w:rsidR="00E256B6" w:rsidRDefault="006730D3">
      <w:pPr>
        <w:pStyle w:val="Zhlavnebozpat0"/>
        <w:framePr w:wrap="none" w:vAnchor="page" w:hAnchor="page" w:x="4814" w:y="15801"/>
        <w:shd w:val="clear" w:color="auto" w:fill="auto"/>
      </w:pPr>
      <w:r>
        <w:t>J *1</w:t>
      </w:r>
    </w:p>
    <w:p w:rsidR="00E256B6" w:rsidRDefault="00E256B6">
      <w:pPr>
        <w:framePr w:wrap="none" w:vAnchor="page" w:hAnchor="page" w:x="6312" w:y="15805"/>
      </w:pPr>
    </w:p>
    <w:p w:rsidR="00E256B6" w:rsidRDefault="006730D3">
      <w:pPr>
        <w:pStyle w:val="Zhlavnebozpat0"/>
        <w:framePr w:wrap="none" w:vAnchor="page" w:hAnchor="page" w:x="8572" w:y="15761"/>
        <w:shd w:val="clear" w:color="auto" w:fill="auto"/>
      </w:pPr>
      <w:r>
        <w:t>í</w:t>
      </w:r>
    </w:p>
    <w:p w:rsidR="00E256B6" w:rsidRDefault="006730D3">
      <w:pPr>
        <w:spacing w:line="1" w:lineRule="exact"/>
        <w:sectPr w:rsidR="00E256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5180965</wp:posOffset>
                </wp:positionV>
                <wp:extent cx="2400300" cy="9429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348pt;margin-top:407.95pt;width:189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" fillcolor="black [3200]" strokecolor="black [1600]" strokeweight="2pt"/>
            </w:pict>
          </mc:Fallback>
        </mc:AlternateContent>
      </w:r>
    </w:p>
    <w:p w:rsidR="00E256B6" w:rsidRDefault="00E256B6">
      <w:pPr>
        <w:spacing w:line="1" w:lineRule="exact"/>
      </w:pPr>
    </w:p>
    <w:p w:rsidR="00E256B6" w:rsidRDefault="006730D3">
      <w:pPr>
        <w:pStyle w:val="Jin0"/>
        <w:framePr w:wrap="none" w:vAnchor="page" w:hAnchor="page" w:x="9485" w:y="859"/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</w:p>
    <w:p w:rsidR="00E256B6" w:rsidRDefault="006730D3">
      <w:pPr>
        <w:framePr w:wrap="none" w:vAnchor="page" w:hAnchor="page" w:x="31" w:y="14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4945" cy="46926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9494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B6" w:rsidRDefault="006730D3">
      <w:pPr>
        <w:pStyle w:val="Nadpis20"/>
        <w:framePr w:w="10206" w:h="810" w:hRule="exact" w:wrap="none" w:vAnchor="page" w:hAnchor="page" w:x="1039" w:y="1493"/>
        <w:shd w:val="clear" w:color="auto" w:fill="auto"/>
        <w:spacing w:line="190" w:lineRule="auto"/>
      </w:pPr>
      <w:bookmarkStart w:id="4" w:name="bookmark4"/>
      <w:bookmarkStart w:id="5" w:name="bookmark5"/>
      <w:proofErr w:type="spellStart"/>
      <w:r>
        <w:t>Raiffeisen</w:t>
      </w:r>
      <w:bookmarkEnd w:id="4"/>
      <w:bookmarkEnd w:id="5"/>
      <w:proofErr w:type="spellEnd"/>
    </w:p>
    <w:p w:rsidR="00E256B6" w:rsidRDefault="006730D3">
      <w:pPr>
        <w:pStyle w:val="Jin0"/>
        <w:framePr w:w="10206" w:h="810" w:hRule="exact" w:wrap="none" w:vAnchor="page" w:hAnchor="page" w:x="1039" w:y="1493"/>
        <w:shd w:val="clear" w:color="auto" w:fill="auto"/>
        <w:spacing w:after="40" w:line="190" w:lineRule="auto"/>
        <w:ind w:left="8440"/>
        <w:rPr>
          <w:sz w:val="32"/>
          <w:szCs w:val="32"/>
        </w:rPr>
      </w:pPr>
      <w:r>
        <w:rPr>
          <w:i/>
          <w:iCs/>
          <w:smallCaps/>
          <w:sz w:val="32"/>
          <w:szCs w:val="32"/>
        </w:rPr>
        <w:t xml:space="preserve">           </w:t>
      </w:r>
      <w:r>
        <w:rPr>
          <w:i/>
          <w:iCs/>
          <w:smallCaps/>
          <w:sz w:val="32"/>
          <w:szCs w:val="32"/>
        </w:rPr>
        <w:t>bank</w:t>
      </w:r>
    </w:p>
    <w:p w:rsidR="00E256B6" w:rsidRDefault="006730D3">
      <w:pPr>
        <w:pStyle w:val="Jin0"/>
        <w:framePr w:w="10206" w:h="810" w:hRule="exact" w:wrap="none" w:vAnchor="page" w:hAnchor="page" w:x="1039" w:y="1493"/>
        <w:shd w:val="clear" w:color="auto" w:fill="auto"/>
        <w:spacing w:after="0" w:line="240" w:lineRule="auto"/>
        <w:jc w:val="right"/>
        <w:rPr>
          <w:sz w:val="13"/>
          <w:szCs w:val="13"/>
        </w:rPr>
      </w:pPr>
      <w:r>
        <w:rPr>
          <w:b/>
          <w:bCs/>
          <w:i/>
          <w:iCs/>
          <w:sz w:val="13"/>
          <w:szCs w:val="13"/>
        </w:rPr>
        <w:t>Banka inspirovaná klienty</w:t>
      </w:r>
    </w:p>
    <w:p w:rsidR="00E256B6" w:rsidRDefault="006730D3">
      <w:pPr>
        <w:pStyle w:val="Nadpis10"/>
        <w:framePr w:w="10206" w:h="1436" w:hRule="exact" w:wrap="none" w:vAnchor="page" w:hAnchor="page" w:x="1039" w:y="2720"/>
        <w:shd w:val="clear" w:color="auto" w:fill="auto"/>
        <w:spacing w:after="0"/>
      </w:pPr>
      <w:bookmarkStart w:id="6" w:name="bookmark6"/>
      <w:bookmarkStart w:id="7" w:name="bookmark7"/>
      <w:r>
        <w:t>SOUHLAS S POŘÍZENÍM KOPIE DOKLADU A SE ZPRACOVÁNÍM OSOBNÍCH ÚDAJŮ</w:t>
      </w:r>
      <w:bookmarkEnd w:id="6"/>
      <w:bookmarkEnd w:id="7"/>
    </w:p>
    <w:p w:rsidR="00E256B6" w:rsidRDefault="006730D3">
      <w:pPr>
        <w:pStyle w:val="Zkladntext1"/>
        <w:framePr w:w="10206" w:h="3535" w:hRule="exact" w:wrap="none" w:vAnchor="page" w:hAnchor="page" w:x="1039" w:y="4531"/>
        <w:shd w:val="clear" w:color="auto" w:fill="auto"/>
        <w:spacing w:after="280" w:line="353" w:lineRule="auto"/>
      </w:pPr>
      <w:r>
        <w:t xml:space="preserve">Souhlasím s pořízením kopie mého dokladu ze strany </w:t>
      </w:r>
      <w:proofErr w:type="spellStart"/>
      <w:r>
        <w:t>Raifíeisenbank</w:t>
      </w:r>
      <w:proofErr w:type="spellEnd"/>
      <w:r>
        <w:t xml:space="preserve"> a.s., IČO 49240901 (dále jen „Banka“) a s tím, že Banka může pořízenou kopii </w:t>
      </w:r>
      <w:r>
        <w:t>včetně všech údajů v ní obsažených dále zpracovávat pro účely předcházení či šetření podvodů, jimž může být vystavena Banka, její klienti Či třetí osoby, á pro účely plnění povinností dle zákona o některých opatřeních proti legalizaci výnosů z trestné činn</w:t>
      </w:r>
      <w:r>
        <w:t>osti a financování terorismu. Výslovně souhlasím, že je Banka pro uvedené účely oprávněna zpracovávat i mou fotografii, která je součástí kopírovaného dokladu.</w:t>
      </w:r>
    </w:p>
    <w:p w:rsidR="00E256B6" w:rsidRDefault="006730D3">
      <w:pPr>
        <w:pStyle w:val="Zkladntext1"/>
        <w:framePr w:w="10206" w:h="3535" w:hRule="exact" w:wrap="none" w:vAnchor="page" w:hAnchor="page" w:x="1039" w:y="4531"/>
        <w:shd w:val="clear" w:color="auto" w:fill="auto"/>
        <w:spacing w:after="280" w:line="353" w:lineRule="auto"/>
      </w:pPr>
      <w:r>
        <w:t>Beru na vědomí, že jsem oprávněn/a souhlas kdykoliv písemně odvolat; odvoláním souhlasu však nen</w:t>
      </w:r>
      <w:r>
        <w:t>í dotčena zákonnost zpracování vycházející ze souhlasu uděleného před jeho odvoláním a odvolání souhlasu nemá vliv na zpracování údajů, které Banka zpracovává nebo může zpracovávat na základě jiného právního důvodu.</w:t>
      </w:r>
    </w:p>
    <w:p w:rsidR="00E256B6" w:rsidRDefault="006730D3">
      <w:pPr>
        <w:pStyle w:val="Zkladntext1"/>
        <w:framePr w:w="10206" w:h="3535" w:hRule="exact" w:wrap="none" w:vAnchor="page" w:hAnchor="page" w:x="1039" w:y="4531"/>
        <w:shd w:val="clear" w:color="auto" w:fill="auto"/>
        <w:spacing w:after="0" w:line="350" w:lineRule="auto"/>
      </w:pPr>
      <w:r>
        <w:t xml:space="preserve">Potvrzuji; že jsem se seznámil/a s </w:t>
      </w:r>
      <w:r>
        <w:t xml:space="preserve">Informačním memorandem zpracování osobních údajů klientů </w:t>
      </w:r>
      <w:proofErr w:type="spellStart"/>
      <w:r>
        <w:t>Raifíeisenbank</w:t>
      </w:r>
      <w:proofErr w:type="spellEnd"/>
      <w:r>
        <w:t xml:space="preserve"> a.s., které obsahuje další informace, včetně mých práv, související se zpracováním mých osobních údajů Bankou.</w:t>
      </w:r>
    </w:p>
    <w:p w:rsidR="00E256B6" w:rsidRDefault="006730D3">
      <w:pPr>
        <w:pStyle w:val="Jin0"/>
        <w:framePr w:wrap="none" w:vAnchor="page" w:hAnchor="page" w:x="1028" w:y="8884"/>
        <w:shd w:val="clear" w:color="auto" w:fill="auto"/>
        <w:spacing w:after="0" w:line="240" w:lineRule="auto"/>
        <w:ind w:left="7" w:right="7"/>
        <w:jc w:val="both"/>
      </w:pPr>
      <w:r>
        <w:t>V</w:t>
      </w:r>
    </w:p>
    <w:p w:rsidR="00E256B6" w:rsidRDefault="006730D3">
      <w:pPr>
        <w:pStyle w:val="Zkladntext1"/>
        <w:framePr w:wrap="none" w:vAnchor="page" w:hAnchor="page" w:x="1039" w:y="8876"/>
        <w:shd w:val="clear" w:color="auto" w:fill="auto"/>
        <w:spacing w:after="0" w:line="240" w:lineRule="auto"/>
        <w:ind w:left="2762" w:right="70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88900</wp:posOffset>
                </wp:positionV>
                <wp:extent cx="2552700" cy="80010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314.85pt;margin-top:7pt;width:20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" fillcolor="black [3200]" strokecolor="black [1600]" strokeweight="2pt"/>
            </w:pict>
          </mc:Fallback>
        </mc:AlternateContent>
      </w:r>
      <w:r>
        <w:t>dne</w:t>
      </w:r>
    </w:p>
    <w:p w:rsidR="00E256B6" w:rsidRDefault="006730D3">
      <w:pPr>
        <w:framePr w:wrap="none" w:vAnchor="page" w:hAnchor="page" w:x="7760" w:y="93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38655" cy="100584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93865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B6" w:rsidRDefault="006730D3">
      <w:pPr>
        <w:pStyle w:val="Zhlavnebozpat0"/>
        <w:framePr w:wrap="none" w:vAnchor="page" w:hAnchor="page" w:x="1439" w:y="15886"/>
        <w:shd w:val="clear" w:color="auto" w:fill="auto"/>
      </w:pPr>
      <w:r>
        <w:t>! 1</w:t>
      </w:r>
    </w:p>
    <w:p w:rsidR="00E256B6" w:rsidRDefault="006730D3">
      <w:pPr>
        <w:pStyle w:val="Zhlavnebozpat0"/>
        <w:framePr w:wrap="none" w:vAnchor="page" w:hAnchor="page" w:x="4815" w:y="15900"/>
        <w:shd w:val="clear" w:color="auto" w:fill="auto"/>
      </w:pPr>
      <w:r>
        <w:t>4 J</w:t>
      </w:r>
    </w:p>
    <w:p w:rsidR="00E256B6" w:rsidRDefault="006730D3">
      <w:pPr>
        <w:pStyle w:val="Zhlavnebozpat0"/>
        <w:framePr w:wrap="none" w:vAnchor="page" w:hAnchor="page" w:x="8300" w:y="15868"/>
        <w:shd w:val="clear" w:color="auto" w:fill="auto"/>
      </w:pPr>
      <w:r>
        <w:t>'j' - f</w:t>
      </w:r>
    </w:p>
    <w:p w:rsidR="00E256B6" w:rsidRDefault="00E256B6">
      <w:pPr>
        <w:spacing w:line="1" w:lineRule="exact"/>
        <w:sectPr w:rsidR="00E256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6B6" w:rsidRDefault="00E256B6">
      <w:pPr>
        <w:spacing w:line="1" w:lineRule="exact"/>
      </w:pPr>
      <w:bookmarkStart w:id="8" w:name="_GoBack"/>
      <w:bookmarkEnd w:id="8"/>
    </w:p>
    <w:p w:rsidR="00E256B6" w:rsidRDefault="006730D3">
      <w:pPr>
        <w:pStyle w:val="Jin0"/>
        <w:framePr w:wrap="none" w:vAnchor="page" w:hAnchor="page" w:x="2308" w:y="335"/>
        <w:shd w:val="clear" w:color="auto" w:fill="auto"/>
        <w:spacing w:after="0" w:line="240" w:lineRule="auto"/>
        <w:jc w:val="both"/>
        <w:rPr>
          <w:sz w:val="8"/>
          <w:szCs w:val="8"/>
        </w:rPr>
      </w:pPr>
      <w:r>
        <w:rPr>
          <w:sz w:val="8"/>
          <w:szCs w:val="8"/>
        </w:rPr>
        <w:t>f</w:t>
      </w:r>
    </w:p>
    <w:p w:rsidR="00E256B6" w:rsidRDefault="006730D3">
      <w:pPr>
        <w:pStyle w:val="Titulektabulky0"/>
        <w:framePr w:wrap="none" w:vAnchor="page" w:hAnchor="page" w:x="1033" w:y="1354"/>
        <w:shd w:val="clear" w:color="auto" w:fill="auto"/>
      </w:pPr>
      <w:r>
        <w:t>Zpracovatel smlouvy:</w:t>
      </w:r>
    </w:p>
    <w:p w:rsidR="00E256B6" w:rsidRDefault="006730D3">
      <w:pPr>
        <w:pStyle w:val="Titulektabulky0"/>
        <w:framePr w:wrap="none" w:vAnchor="page" w:hAnchor="page" w:x="4410" w:y="1358"/>
        <w:shd w:val="clear" w:color="auto" w:fill="auto"/>
      </w:pPr>
      <w:proofErr w:type="spellStart"/>
      <w:r>
        <w:rPr>
          <w:b/>
          <w:bCs/>
        </w:rPr>
        <w:t>DPmML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a.s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1238"/>
        <w:gridCol w:w="2002"/>
        <w:gridCol w:w="1411"/>
        <w:gridCol w:w="1660"/>
      </w:tblGrid>
      <w:tr w:rsidR="00E256B6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ind w:firstLine="3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Funkce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Podpis</w:t>
            </w:r>
          </w:p>
        </w:tc>
      </w:tr>
      <w:tr w:rsidR="00E256B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Vypracoval: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</w:p>
        </w:tc>
      </w:tr>
      <w:tr w:rsidR="00E256B6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Ekonomické posouzení: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Ing. Jarošová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ind w:firstLine="440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EON ;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</w:tr>
      <w:tr w:rsidR="00E256B6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Obchodní posouzení: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Raušerová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NSR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</w:tr>
      <w:tr w:rsidR="00E256B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Právní posouzení: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Mgr. Vaněk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ind w:firstLine="3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právník |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 7</w:t>
            </w:r>
          </w:p>
        </w:tc>
      </w:tr>
      <w:tr w:rsidR="00E256B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Vyjádření ŘAS: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tabs>
                <w:tab w:val="left" w:pos="544"/>
              </w:tabs>
              <w:spacing w:after="0" w:line="240" w:lineRule="auto"/>
              <w:ind w:right="5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ab/>
              <w:t>■' ú (</w:t>
            </w:r>
          </w:p>
        </w:tc>
      </w:tr>
      <w:tr w:rsidR="00E256B6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Platnost smlouvy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Archivace: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</w:tr>
      <w:tr w:rsidR="00E256B6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6B6" w:rsidRDefault="006730D3">
            <w:pPr>
              <w:pStyle w:val="Jin0"/>
              <w:framePr w:w="9702" w:h="3128" w:wrap="none" w:vAnchor="page" w:hAnchor="page" w:x="997" w:y="208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Datum předání do odd.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registru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smluv: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B6" w:rsidRDefault="00E256B6">
            <w:pPr>
              <w:framePr w:w="9702" w:h="3128" w:wrap="none" w:vAnchor="page" w:hAnchor="page" w:x="997" w:y="2089"/>
              <w:rPr>
                <w:sz w:val="10"/>
                <w:szCs w:val="10"/>
              </w:rPr>
            </w:pPr>
          </w:p>
        </w:tc>
      </w:tr>
    </w:tbl>
    <w:p w:rsidR="00E256B6" w:rsidRDefault="006730D3">
      <w:pPr>
        <w:pStyle w:val="Titulektabulky0"/>
        <w:framePr w:wrap="none" w:vAnchor="page" w:hAnchor="page" w:x="2218" w:y="5228"/>
        <w:shd w:val="clear" w:color="auto" w:fill="auto"/>
        <w:jc w:val="both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J</w:t>
      </w:r>
    </w:p>
    <w:p w:rsidR="00E256B6" w:rsidRDefault="006730D3">
      <w:pPr>
        <w:framePr w:wrap="none" w:vAnchor="page" w:hAnchor="page" w:x="1588" w:y="72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9710" cy="21971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B6" w:rsidRDefault="006730D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-143510</wp:posOffset>
                </wp:positionV>
                <wp:extent cx="7381875" cy="47148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471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-9.75pt;margin-top:-11.3pt;width:581.25pt;height:3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" fillcolor="white [3212]" strokecolor="white [3212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5986780</wp:posOffset>
            </wp:positionH>
            <wp:positionV relativeFrom="page">
              <wp:posOffset>171450</wp:posOffset>
            </wp:positionV>
            <wp:extent cx="1499870" cy="215773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49987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56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30D3">
      <w:r>
        <w:separator/>
      </w:r>
    </w:p>
  </w:endnote>
  <w:endnote w:type="continuationSeparator" w:id="0">
    <w:p w:rsidR="00000000" w:rsidRDefault="0067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B6" w:rsidRDefault="00E256B6"/>
  </w:footnote>
  <w:footnote w:type="continuationSeparator" w:id="0">
    <w:p w:rsidR="00E256B6" w:rsidRDefault="00E256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F"/>
    <w:multiLevelType w:val="multilevel"/>
    <w:tmpl w:val="6CB03E62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31272"/>
    <w:multiLevelType w:val="multilevel"/>
    <w:tmpl w:val="84CAD6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256B6"/>
    <w:rsid w:val="006730D3"/>
    <w:rsid w:val="00E2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314" w:lineRule="auto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314" w:lineRule="auto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5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223" w:lineRule="auto"/>
      <w:outlineLvl w:val="0"/>
    </w:pPr>
    <w:rPr>
      <w:rFonts w:ascii="Lucida Sans Unicode" w:eastAsia="Lucida Sans Unicode" w:hAnsi="Lucida Sans Unicode" w:cs="Lucida Sans Unicode"/>
      <w:sz w:val="48"/>
      <w:szCs w:val="4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0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314" w:lineRule="auto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314" w:lineRule="auto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5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223" w:lineRule="auto"/>
      <w:outlineLvl w:val="0"/>
    </w:pPr>
    <w:rPr>
      <w:rFonts w:ascii="Lucida Sans Unicode" w:eastAsia="Lucida Sans Unicode" w:hAnsi="Lucida Sans Unicode" w:cs="Lucida Sans Unicode"/>
      <w:sz w:val="48"/>
      <w:szCs w:val="4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0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2021-02-02T10:38:00Z</dcterms:created>
  <dcterms:modified xsi:type="dcterms:W3CDTF">2021-02-02T10:38:00Z</dcterms:modified>
</cp:coreProperties>
</file>