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E8E19" w14:textId="77777777" w:rsidR="00776452" w:rsidRPr="008F21B0" w:rsidRDefault="00776452" w:rsidP="00776452">
      <w:pPr>
        <w:spacing w:after="0"/>
        <w:rPr>
          <w:rFonts w:ascii="Calibri" w:hAnsi="Calibri"/>
        </w:rPr>
        <w:sectPr w:rsidR="00776452" w:rsidRPr="008F21B0" w:rsidSect="00630784">
          <w:headerReference w:type="default" r:id="rId8"/>
          <w:footerReference w:type="default" r:id="rId9"/>
          <w:headerReference w:type="first" r:id="rId10"/>
          <w:footerReference w:type="first" r:id="rId11"/>
          <w:type w:val="continuous"/>
          <w:pgSz w:w="11906" w:h="16838" w:code="9"/>
          <w:pgMar w:top="2268" w:right="1701" w:bottom="1588" w:left="1701" w:header="567" w:footer="1134" w:gutter="0"/>
          <w:cols w:space="708"/>
          <w:titlePg/>
          <w:docGrid w:linePitch="360"/>
        </w:sectPr>
      </w:pPr>
    </w:p>
    <w:p w14:paraId="471E2D92" w14:textId="77777777" w:rsidR="00776452" w:rsidRPr="008049C9" w:rsidRDefault="00776452" w:rsidP="00776452">
      <w:pPr>
        <w:widowControl w:val="0"/>
        <w:tabs>
          <w:tab w:val="left" w:pos="720"/>
        </w:tabs>
        <w:suppressAutoHyphens/>
        <w:spacing w:line="240" w:lineRule="auto"/>
        <w:jc w:val="center"/>
        <w:rPr>
          <w:rFonts w:ascii="Calibri" w:eastAsia="Lucida Sans Unicode" w:hAnsi="Calibri" w:cs="Times New Roman"/>
          <w:b/>
          <w:bCs/>
          <w:kern w:val="1"/>
          <w:sz w:val="40"/>
          <w:szCs w:val="40"/>
          <w:lang w:eastAsia="ar-SA"/>
        </w:rPr>
      </w:pPr>
      <w:r w:rsidRPr="008049C9">
        <w:rPr>
          <w:rFonts w:ascii="Calibri" w:eastAsia="Lucida Sans Unicode" w:hAnsi="Calibri" w:cs="Times New Roman"/>
          <w:b/>
          <w:bCs/>
          <w:kern w:val="1"/>
          <w:sz w:val="40"/>
          <w:szCs w:val="40"/>
          <w:lang w:eastAsia="ar-SA"/>
        </w:rPr>
        <w:t>Smlouva o využití výsledků výzkumu a vývoje</w:t>
      </w:r>
    </w:p>
    <w:p w14:paraId="6BC727BB" w14:textId="77777777" w:rsidR="00776452" w:rsidRPr="008049C9" w:rsidRDefault="00776452" w:rsidP="00776452">
      <w:pPr>
        <w:widowControl w:val="0"/>
        <w:pBdr>
          <w:bottom w:val="single" w:sz="4" w:space="1" w:color="auto"/>
        </w:pBdr>
        <w:tabs>
          <w:tab w:val="left" w:pos="720"/>
        </w:tabs>
        <w:suppressAutoHyphens/>
        <w:spacing w:line="240" w:lineRule="auto"/>
        <w:ind w:right="-284"/>
        <w:jc w:val="center"/>
        <w:rPr>
          <w:rFonts w:ascii="Calibri" w:eastAsia="Lucida Sans Unicode" w:hAnsi="Calibri" w:cs="Times New Roman"/>
          <w:bCs/>
          <w:i/>
          <w:kern w:val="1"/>
          <w:sz w:val="24"/>
          <w:szCs w:val="24"/>
          <w:lang w:eastAsia="ar-SA"/>
        </w:rPr>
      </w:pPr>
      <w:r w:rsidRPr="008049C9">
        <w:rPr>
          <w:rFonts w:ascii="Calibri" w:eastAsia="Lucida Sans Unicode" w:hAnsi="Calibri" w:cs="Times New Roman"/>
          <w:bCs/>
          <w:i/>
          <w:kern w:val="1"/>
          <w:sz w:val="24"/>
          <w:szCs w:val="24"/>
          <w:lang w:eastAsia="ar-SA"/>
        </w:rPr>
        <w:t>uzavřená podle § 1746 odst. 2 zákona č. 89/2012 Sb., občanský zákoník, ve znění pozdějších předpisů a ve smyslu ustanovení § 16 zákona č.130/2002 Sb., o podpoře výzkumu, experimentálního vývoje a inovací z veřejných prostředků a o změně některých souvisejících zákonů („ZPVV“)</w:t>
      </w:r>
    </w:p>
    <w:p w14:paraId="524C2E23"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t>Smluvní strany:</w:t>
      </w:r>
    </w:p>
    <w:p w14:paraId="4F92E2A2"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kern w:val="1"/>
          <w:lang w:eastAsia="ar-SA"/>
        </w:rPr>
      </w:pPr>
    </w:p>
    <w:p w14:paraId="510D4C99"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t>České vysoké učení technické v Praze</w:t>
      </w:r>
    </w:p>
    <w:p w14:paraId="06406B11"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se sídlem: Jugoslávských partyzánů 1580/3, 160 00 Praha 6 – Dejvice</w:t>
      </w:r>
    </w:p>
    <w:p w14:paraId="70582AB6"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IČO: 68407700</w:t>
      </w:r>
      <w:r w:rsidRPr="008049C9">
        <w:rPr>
          <w:rFonts w:ascii="Calibri" w:eastAsia="Lucida Sans Unicode" w:hAnsi="Calibri" w:cs="Times New Roman"/>
          <w:bCs/>
          <w:kern w:val="1"/>
          <w:lang w:eastAsia="ar-SA"/>
        </w:rPr>
        <w:tab/>
      </w:r>
    </w:p>
    <w:p w14:paraId="016B8986"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DIČ: CZ68407700</w:t>
      </w:r>
      <w:r w:rsidRPr="008049C9">
        <w:rPr>
          <w:rFonts w:ascii="Calibri" w:eastAsia="Lucida Sans Unicode" w:hAnsi="Calibri" w:cs="Times New Roman"/>
          <w:bCs/>
          <w:kern w:val="1"/>
          <w:lang w:eastAsia="ar-SA"/>
        </w:rPr>
        <w:tab/>
      </w:r>
    </w:p>
    <w:p w14:paraId="15878178"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Zřízeno dle zák. č. 111/1998 Sb., o vysokých školách, nezapisuje se do OR</w:t>
      </w:r>
    </w:p>
    <w:p w14:paraId="0A7E9D62"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Statutární zástupce: doc. RNDr. Vojtěch Petráček, CSc., rektor</w:t>
      </w:r>
    </w:p>
    <w:p w14:paraId="36686DD7"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 xml:space="preserve">Řešitelské pracoviště: </w:t>
      </w:r>
      <w:r w:rsidRPr="008049C9">
        <w:rPr>
          <w:rFonts w:ascii="Calibri" w:eastAsia="Lucida Sans Unicode" w:hAnsi="Calibri" w:cs="Times New Roman"/>
          <w:bCs/>
          <w:kern w:val="1"/>
          <w:lang w:eastAsia="ar-SA"/>
        </w:rPr>
        <w:tab/>
        <w:t>Univerzitní centrum energeticky efektivních budov ČVUT v Praze</w:t>
      </w:r>
    </w:p>
    <w:p w14:paraId="5F4A99E6"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ab/>
        <w:t xml:space="preserve">       </w:t>
      </w:r>
      <w:r w:rsidRPr="008049C9">
        <w:rPr>
          <w:rFonts w:ascii="Calibri" w:eastAsia="Lucida Sans Unicode" w:hAnsi="Calibri" w:cs="Times New Roman"/>
          <w:bCs/>
          <w:kern w:val="1"/>
          <w:lang w:eastAsia="ar-SA"/>
        </w:rPr>
        <w:tab/>
      </w:r>
      <w:r w:rsidRPr="008049C9">
        <w:rPr>
          <w:rFonts w:ascii="Calibri" w:eastAsia="Lucida Sans Unicode" w:hAnsi="Calibri" w:cs="Times New Roman"/>
          <w:bCs/>
          <w:kern w:val="1"/>
          <w:lang w:eastAsia="ar-SA"/>
        </w:rPr>
        <w:tab/>
        <w:t>Třinecká 1024, 273 43 Buštěhrad</w:t>
      </w:r>
    </w:p>
    <w:p w14:paraId="4BFEE4F8"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 xml:space="preserve">Zastoupené: </w:t>
      </w:r>
      <w:r w:rsidRPr="008049C9">
        <w:rPr>
          <w:rFonts w:ascii="Calibri" w:eastAsia="Lucida Sans Unicode" w:hAnsi="Calibri" w:cs="Times New Roman"/>
          <w:bCs/>
          <w:kern w:val="1"/>
          <w:lang w:eastAsia="ar-SA"/>
        </w:rPr>
        <w:tab/>
      </w:r>
      <w:r w:rsidRPr="008049C9">
        <w:rPr>
          <w:rFonts w:ascii="Calibri" w:eastAsia="Lucida Sans Unicode" w:hAnsi="Calibri" w:cs="Times New Roman"/>
          <w:bCs/>
          <w:kern w:val="1"/>
          <w:lang w:eastAsia="ar-SA"/>
        </w:rPr>
        <w:tab/>
        <w:t>ředitelem UCEEB doc. Ing. Lukášem Ferklem, Ph.D. na základě rektorova zmocnění</w:t>
      </w:r>
    </w:p>
    <w:p w14:paraId="0CA2E4D3" w14:textId="1262CDC5"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 xml:space="preserve">Bankovní spojení, č. účtu: </w:t>
      </w:r>
      <w:r w:rsidR="00EB1ED3">
        <w:rPr>
          <w:rFonts w:ascii="Calibri" w:eastAsia="Lucida Sans Unicode" w:hAnsi="Calibri" w:cs="Times New Roman"/>
          <w:bCs/>
          <w:kern w:val="1"/>
          <w:lang w:eastAsia="ar-SA"/>
        </w:rPr>
        <w:t>XXXXXXXXXXXXXXXXXXX</w:t>
      </w:r>
    </w:p>
    <w:p w14:paraId="60312740"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i/>
          <w:kern w:val="1"/>
          <w:lang w:eastAsia="ar-SA"/>
        </w:rPr>
      </w:pPr>
      <w:r w:rsidRPr="008049C9">
        <w:rPr>
          <w:rFonts w:ascii="Calibri" w:eastAsia="Lucida Sans Unicode" w:hAnsi="Calibri" w:cs="Times New Roman"/>
          <w:b/>
          <w:bCs/>
          <w:i/>
          <w:kern w:val="1"/>
          <w:lang w:eastAsia="ar-SA"/>
        </w:rPr>
        <w:t>jakožto Hlavní příjemce (dále jen „Příjemce”)</w:t>
      </w:r>
    </w:p>
    <w:p w14:paraId="58BBAFB8"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p>
    <w:p w14:paraId="33510E25"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t>a</w:t>
      </w:r>
    </w:p>
    <w:p w14:paraId="47987549"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kern w:val="1"/>
          <w:lang w:eastAsia="ar-SA"/>
        </w:rPr>
      </w:pPr>
    </w:p>
    <w:p w14:paraId="3ED8552D"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t>Ing. Miroslav Šamata</w:t>
      </w:r>
    </w:p>
    <w:p w14:paraId="0C486928"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se sídlem: Vitějovice 87, 384 27 Vitějovice</w:t>
      </w:r>
    </w:p>
    <w:p w14:paraId="50F6D3C9"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IČO: 74139827</w:t>
      </w:r>
      <w:r w:rsidRPr="008049C9">
        <w:rPr>
          <w:rFonts w:ascii="Calibri" w:eastAsia="Lucida Sans Unicode" w:hAnsi="Calibri" w:cs="Times New Roman"/>
          <w:bCs/>
          <w:kern w:val="1"/>
          <w:lang w:eastAsia="ar-SA"/>
        </w:rPr>
        <w:tab/>
      </w:r>
    </w:p>
    <w:p w14:paraId="28279EF6"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DIČ: CZ8001221657</w:t>
      </w:r>
      <w:r w:rsidRPr="008049C9">
        <w:rPr>
          <w:rFonts w:ascii="Calibri" w:eastAsia="Lucida Sans Unicode" w:hAnsi="Calibri" w:cs="Times New Roman"/>
          <w:bCs/>
          <w:kern w:val="1"/>
          <w:lang w:eastAsia="ar-SA"/>
        </w:rPr>
        <w:tab/>
      </w:r>
    </w:p>
    <w:p w14:paraId="130A0E26"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 xml:space="preserve">Registrován:  úřad příslušný podle §71 odst. 2  živnostenského zákona: Městský úřad Prachatice </w:t>
      </w:r>
    </w:p>
    <w:p w14:paraId="03CD85ED"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Statutární zástupce: Ing. Miroslav Šamata</w:t>
      </w:r>
    </w:p>
    <w:p w14:paraId="7E977876" w14:textId="371254F4"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 xml:space="preserve">Číslo bankovního účtu: </w:t>
      </w:r>
      <w:r w:rsidR="00EB1ED3">
        <w:rPr>
          <w:rFonts w:ascii="Calibri" w:eastAsia="Lucida Sans Unicode" w:hAnsi="Calibri" w:cs="Times New Roman"/>
          <w:bCs/>
          <w:kern w:val="1"/>
          <w:lang w:eastAsia="ar-SA"/>
        </w:rPr>
        <w:t>XXXXXXXXXXXXXX</w:t>
      </w:r>
    </w:p>
    <w:p w14:paraId="13F53CE2"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i/>
          <w:kern w:val="1"/>
          <w:lang w:eastAsia="ar-SA"/>
        </w:rPr>
      </w:pPr>
      <w:r w:rsidRPr="008049C9">
        <w:rPr>
          <w:rFonts w:ascii="Calibri" w:eastAsia="Lucida Sans Unicode" w:hAnsi="Calibri" w:cs="Times New Roman"/>
          <w:b/>
          <w:bCs/>
          <w:i/>
          <w:kern w:val="1"/>
          <w:lang w:eastAsia="ar-SA"/>
        </w:rPr>
        <w:t>jakožto Další účastník (dále jen „Další účastník č. 1” nebo „Další účastník”)</w:t>
      </w:r>
    </w:p>
    <w:p w14:paraId="422D60E0"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kern w:val="1"/>
          <w:lang w:eastAsia="ar-SA"/>
        </w:rPr>
      </w:pPr>
    </w:p>
    <w:p w14:paraId="61EA42BF"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t>a</w:t>
      </w:r>
    </w:p>
    <w:p w14:paraId="730F7D43"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kern w:val="1"/>
          <w:lang w:eastAsia="ar-SA"/>
        </w:rPr>
      </w:pPr>
    </w:p>
    <w:p w14:paraId="3445786A"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t>BHC Jílové s.r.o.</w:t>
      </w:r>
    </w:p>
    <w:p w14:paraId="682944C2"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se sídlem: Kamenný Přívoz 291, 252 82</w:t>
      </w:r>
    </w:p>
    <w:p w14:paraId="123FC6E8"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IČO: 27211746</w:t>
      </w:r>
      <w:r w:rsidRPr="008049C9">
        <w:rPr>
          <w:rFonts w:ascii="Calibri" w:eastAsia="Lucida Sans Unicode" w:hAnsi="Calibri" w:cs="Times New Roman"/>
          <w:bCs/>
          <w:kern w:val="1"/>
          <w:lang w:eastAsia="ar-SA"/>
        </w:rPr>
        <w:tab/>
      </w:r>
    </w:p>
    <w:p w14:paraId="33BE727F"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DIČ: CZ27211746</w:t>
      </w:r>
      <w:r w:rsidRPr="008049C9">
        <w:rPr>
          <w:rFonts w:ascii="Calibri" w:eastAsia="Lucida Sans Unicode" w:hAnsi="Calibri" w:cs="Times New Roman"/>
          <w:bCs/>
          <w:kern w:val="1"/>
          <w:lang w:eastAsia="ar-SA"/>
        </w:rPr>
        <w:tab/>
      </w:r>
    </w:p>
    <w:p w14:paraId="2C3B3F2A"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Registrováno: v OR u Městského soudu v Praze, oddíl C, vložka 104796</w:t>
      </w:r>
    </w:p>
    <w:p w14:paraId="77F2FD9B"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 xml:space="preserve">Statutární zástupce: </w:t>
      </w:r>
      <w:r>
        <w:rPr>
          <w:rFonts w:ascii="Calibri" w:eastAsia="Lucida Sans Unicode" w:hAnsi="Calibri" w:cs="Times New Roman"/>
          <w:bCs/>
          <w:kern w:val="1"/>
          <w:lang w:eastAsia="ar-SA"/>
        </w:rPr>
        <w:t>Eva</w:t>
      </w:r>
      <w:r w:rsidRPr="008049C9">
        <w:rPr>
          <w:rFonts w:ascii="Calibri" w:eastAsia="Lucida Sans Unicode" w:hAnsi="Calibri" w:cs="Times New Roman"/>
          <w:bCs/>
          <w:kern w:val="1"/>
          <w:lang w:eastAsia="ar-SA"/>
        </w:rPr>
        <w:t xml:space="preserve"> Behr, jednatel</w:t>
      </w:r>
    </w:p>
    <w:p w14:paraId="3FF80ADC" w14:textId="3CD605C3"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 xml:space="preserve">Číslo bankovního účtu: </w:t>
      </w:r>
      <w:r w:rsidR="00EB1ED3">
        <w:rPr>
          <w:rFonts w:ascii="Calibri" w:eastAsia="Lucida Sans Unicode" w:hAnsi="Calibri" w:cs="Times New Roman"/>
          <w:bCs/>
          <w:kern w:val="1"/>
          <w:lang w:eastAsia="ar-SA"/>
        </w:rPr>
        <w:t>XXXXXXXXXXXXXX</w:t>
      </w:r>
    </w:p>
    <w:p w14:paraId="29C574F6"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i/>
          <w:kern w:val="1"/>
          <w:lang w:eastAsia="ar-SA"/>
        </w:rPr>
      </w:pPr>
      <w:r w:rsidRPr="008049C9">
        <w:rPr>
          <w:rFonts w:ascii="Calibri" w:eastAsia="Lucida Sans Unicode" w:hAnsi="Calibri" w:cs="Times New Roman"/>
          <w:b/>
          <w:bCs/>
          <w:i/>
          <w:kern w:val="1"/>
          <w:lang w:eastAsia="ar-SA"/>
        </w:rPr>
        <w:t>jakožto Další účastník (dále jen „Další účastník č. 2” nebo „Další účastník”)</w:t>
      </w:r>
    </w:p>
    <w:p w14:paraId="1724CF72"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i/>
          <w:kern w:val="1"/>
          <w:lang w:eastAsia="ar-SA"/>
        </w:rPr>
      </w:pPr>
    </w:p>
    <w:p w14:paraId="7A37063A"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t>(dále společně také jako „Smluvní strany“)</w:t>
      </w:r>
    </w:p>
    <w:p w14:paraId="2BF6D9A8" w14:textId="77777777" w:rsidR="00776452" w:rsidRPr="008049C9" w:rsidRDefault="00776452" w:rsidP="00776452">
      <w:pPr>
        <w:widowControl w:val="0"/>
        <w:tabs>
          <w:tab w:val="left" w:pos="720"/>
        </w:tabs>
        <w:suppressAutoHyphens/>
        <w:spacing w:after="0" w:line="240" w:lineRule="auto"/>
        <w:jc w:val="left"/>
        <w:rPr>
          <w:rFonts w:ascii="Calibri" w:eastAsia="Lucida Sans Unicode" w:hAnsi="Calibri" w:cs="Times New Roman"/>
          <w:b/>
          <w:bCs/>
          <w:kern w:val="1"/>
          <w:lang w:eastAsia="ar-SA"/>
        </w:rPr>
      </w:pPr>
    </w:p>
    <w:p w14:paraId="3808BBCD" w14:textId="77777777" w:rsidR="00776452" w:rsidRPr="008049C9" w:rsidRDefault="00776452" w:rsidP="00776452">
      <w:pPr>
        <w:spacing w:after="160" w:line="259" w:lineRule="auto"/>
        <w:jc w:val="left"/>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br w:type="page"/>
      </w:r>
    </w:p>
    <w:p w14:paraId="42198309" w14:textId="77777777" w:rsidR="00776452" w:rsidRPr="008049C9" w:rsidRDefault="00776452" w:rsidP="00776452">
      <w:pPr>
        <w:widowControl w:val="0"/>
        <w:tabs>
          <w:tab w:val="left" w:pos="720"/>
        </w:tabs>
        <w:suppressAutoHyphens/>
        <w:spacing w:after="0" w:line="240" w:lineRule="auto"/>
        <w:jc w:val="center"/>
        <w:rPr>
          <w:rFonts w:ascii="Calibri" w:eastAsia="Lucida Sans Unicode" w:hAnsi="Calibri" w:cs="Times New Roman"/>
          <w:b/>
          <w:bCs/>
          <w:kern w:val="1"/>
          <w:lang w:eastAsia="ar-SA"/>
        </w:rPr>
      </w:pPr>
    </w:p>
    <w:p w14:paraId="67C4C8C2" w14:textId="77777777" w:rsidR="00776452" w:rsidRPr="008049C9" w:rsidRDefault="00776452" w:rsidP="00776452">
      <w:pPr>
        <w:widowControl w:val="0"/>
        <w:tabs>
          <w:tab w:val="left" w:pos="720"/>
        </w:tabs>
        <w:suppressAutoHyphens/>
        <w:spacing w:after="0" w:line="240" w:lineRule="auto"/>
        <w:jc w:val="center"/>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t>I.</w:t>
      </w:r>
    </w:p>
    <w:p w14:paraId="0356A82D" w14:textId="77777777" w:rsidR="00776452" w:rsidRPr="008049C9" w:rsidRDefault="00776452" w:rsidP="00776452">
      <w:pPr>
        <w:widowControl w:val="0"/>
        <w:tabs>
          <w:tab w:val="left" w:pos="720"/>
        </w:tabs>
        <w:suppressAutoHyphens/>
        <w:spacing w:after="0" w:line="240" w:lineRule="auto"/>
        <w:jc w:val="center"/>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t>Účel a předmět Smlouvy, vymezení výsledků</w:t>
      </w:r>
    </w:p>
    <w:p w14:paraId="2E7E76D4" w14:textId="4F90F920" w:rsidR="00776452" w:rsidRDefault="00776452" w:rsidP="00776452">
      <w:pPr>
        <w:widowControl w:val="0"/>
        <w:numPr>
          <w:ilvl w:val="0"/>
          <w:numId w:val="15"/>
        </w:numPr>
        <w:tabs>
          <w:tab w:val="left" w:pos="720"/>
        </w:tabs>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Times New Roman"/>
        </w:rPr>
        <w:t xml:space="preserve">Účelem a předmětem této Smlouvy o využití výsledků dosažených v projektu výzkumu a vývoje č. TK01020061 (dále jen „Smlouva“) je upravit způsob využití výsledků projektu s názvem </w:t>
      </w:r>
      <w:r w:rsidR="00750371">
        <w:rPr>
          <w:rFonts w:ascii="Calibri" w:eastAsia="Calibri" w:hAnsi="Calibri" w:cs="Times New Roman"/>
        </w:rPr>
        <w:br/>
      </w:r>
      <w:r w:rsidRPr="008049C9">
        <w:rPr>
          <w:rFonts w:ascii="Calibri" w:eastAsia="Calibri" w:hAnsi="Calibri" w:cs="Times New Roman"/>
        </w:rPr>
        <w:t xml:space="preserve">„Kogenerační jednotka o tepelném výkonu 120kW na dřevní štěpku v kontejnerovém provedení“, identifikační číslo projektu: TK01020061 (dále jen „Projekt“) v souladu se Smlouvou o účasti na řešení projektu ze dne </w:t>
      </w:r>
      <w:r>
        <w:rPr>
          <w:rFonts w:ascii="Calibri" w:eastAsia="Calibri" w:hAnsi="Calibri" w:cs="Times New Roman"/>
        </w:rPr>
        <w:t>6. 8. 2018</w:t>
      </w:r>
      <w:r w:rsidRPr="008049C9">
        <w:rPr>
          <w:rFonts w:ascii="Calibri" w:eastAsia="Calibri" w:hAnsi="Calibri" w:cs="Times New Roman"/>
        </w:rPr>
        <w:t xml:space="preserve"> (dále jen „Smlouva o spolupráci“), Smlouvou o poskytnutí </w:t>
      </w:r>
      <w:r w:rsidR="00750371">
        <w:rPr>
          <w:rFonts w:ascii="Calibri" w:eastAsia="Calibri" w:hAnsi="Calibri" w:cs="Times New Roman"/>
        </w:rPr>
        <w:br/>
      </w:r>
      <w:r w:rsidRPr="008049C9">
        <w:rPr>
          <w:rFonts w:ascii="Calibri" w:eastAsia="Calibri" w:hAnsi="Calibri" w:cs="Times New Roman"/>
        </w:rPr>
        <w:t xml:space="preserve">podpory č. 2018TK01020061 ze dne </w:t>
      </w:r>
      <w:r w:rsidR="009D0F2A">
        <w:rPr>
          <w:rFonts w:ascii="Calibri" w:eastAsia="Calibri" w:hAnsi="Calibri" w:cs="Times New Roman"/>
        </w:rPr>
        <w:t>6</w:t>
      </w:r>
      <w:r w:rsidRPr="008049C9">
        <w:rPr>
          <w:rFonts w:ascii="Calibri" w:eastAsia="Calibri" w:hAnsi="Calibri" w:cs="Times New Roman"/>
        </w:rPr>
        <w:t xml:space="preserve">.8.2018 včetně jejích příloh a dodatků (dále jen „Smlouva o poskytnutí podpory“), vydané poskytovatelem podpory Technologickou agenturou České Republiky (dále jen „Poskytovatel“) v rámci Programu na podporu aplikovaného výzkumu THÉTA, 1. veřejná soutěž (dále jen „Program podpory“). </w:t>
      </w:r>
    </w:p>
    <w:p w14:paraId="44A16A7F" w14:textId="77777777" w:rsidR="00776452" w:rsidRPr="008049C9" w:rsidRDefault="00776452" w:rsidP="00776452">
      <w:pPr>
        <w:widowControl w:val="0"/>
        <w:tabs>
          <w:tab w:val="left" w:pos="720"/>
        </w:tabs>
        <w:suppressAutoHyphens/>
        <w:spacing w:before="240" w:after="0" w:line="240" w:lineRule="auto"/>
        <w:contextualSpacing/>
        <w:rPr>
          <w:rFonts w:ascii="Calibri" w:eastAsia="Calibri" w:hAnsi="Calibri" w:cs="Times New Roman"/>
        </w:rPr>
      </w:pPr>
    </w:p>
    <w:p w14:paraId="7F7F6EE9" w14:textId="77777777" w:rsidR="00776452" w:rsidRPr="008049C9" w:rsidRDefault="00776452" w:rsidP="00776452">
      <w:pPr>
        <w:widowControl w:val="0"/>
        <w:numPr>
          <w:ilvl w:val="0"/>
          <w:numId w:val="15"/>
        </w:numPr>
        <w:tabs>
          <w:tab w:val="left" w:pos="720"/>
        </w:tabs>
        <w:suppressAutoHyphens/>
        <w:spacing w:before="240" w:after="0" w:line="240" w:lineRule="auto"/>
        <w:ind w:left="0" w:hanging="284"/>
        <w:contextualSpacing/>
        <w:rPr>
          <w:rFonts w:ascii="Calibri" w:eastAsia="Calibri" w:hAnsi="Calibri" w:cs="Times New Roman"/>
        </w:rPr>
      </w:pPr>
      <w:r w:rsidRPr="00670B90">
        <w:rPr>
          <w:rFonts w:ascii="Calibri" w:hAnsi="Calibri"/>
        </w:rPr>
        <w:t>Výsledky dosažené v rámci Projektu (dále jen „Výsledky“) a podíl</w:t>
      </w:r>
      <w:r>
        <w:rPr>
          <w:rFonts w:ascii="Calibri" w:hAnsi="Calibri"/>
        </w:rPr>
        <w:t>y</w:t>
      </w:r>
      <w:r w:rsidRPr="00670B90">
        <w:rPr>
          <w:rFonts w:ascii="Calibri" w:hAnsi="Calibri"/>
        </w:rPr>
        <w:t xml:space="preserve"> Smluvních stran jsou vymezeny v Příloze č. 1 a 2 Smlouvy</w:t>
      </w:r>
      <w:r>
        <w:rPr>
          <w:rFonts w:ascii="Calibri" w:hAnsi="Calibri"/>
        </w:rPr>
        <w:t xml:space="preserve">. </w:t>
      </w:r>
    </w:p>
    <w:p w14:paraId="56CEEC9C" w14:textId="77777777" w:rsidR="00776452" w:rsidRPr="008049C9" w:rsidRDefault="00776452" w:rsidP="00776452">
      <w:pPr>
        <w:widowControl w:val="0"/>
        <w:suppressAutoHyphens/>
        <w:spacing w:after="0" w:line="240" w:lineRule="auto"/>
        <w:rPr>
          <w:rFonts w:ascii="Calibri" w:eastAsia="Lucida Sans Unicode" w:hAnsi="Calibri" w:cs="Times New Roman"/>
          <w:b/>
          <w:bCs/>
          <w:kern w:val="1"/>
          <w:lang w:eastAsia="ar-SA"/>
        </w:rPr>
      </w:pPr>
    </w:p>
    <w:p w14:paraId="5B580233" w14:textId="77777777" w:rsidR="00776452" w:rsidRPr="008049C9" w:rsidRDefault="00776452" w:rsidP="00776452">
      <w:pPr>
        <w:widowControl w:val="0"/>
        <w:tabs>
          <w:tab w:val="left" w:pos="720"/>
        </w:tabs>
        <w:suppressAutoHyphens/>
        <w:spacing w:after="0" w:line="240" w:lineRule="auto"/>
        <w:jc w:val="center"/>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t>II.</w:t>
      </w:r>
    </w:p>
    <w:p w14:paraId="5A593D16" w14:textId="77777777" w:rsidR="00776452" w:rsidRPr="008049C9" w:rsidRDefault="00776452" w:rsidP="00776452">
      <w:pPr>
        <w:widowControl w:val="0"/>
        <w:tabs>
          <w:tab w:val="left" w:pos="720"/>
        </w:tabs>
        <w:suppressAutoHyphens/>
        <w:spacing w:after="0" w:line="240" w:lineRule="auto"/>
        <w:jc w:val="center"/>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t>Výklad pojmů</w:t>
      </w:r>
    </w:p>
    <w:p w14:paraId="2C8957AD" w14:textId="77777777" w:rsidR="00776452" w:rsidRDefault="00776452" w:rsidP="00776452">
      <w:pPr>
        <w:widowControl w:val="0"/>
        <w:numPr>
          <w:ilvl w:val="0"/>
          <w:numId w:val="17"/>
        </w:numPr>
        <w:suppressAutoHyphens/>
        <w:spacing w:before="240" w:after="0" w:line="240" w:lineRule="auto"/>
        <w:ind w:left="0" w:hanging="426"/>
        <w:contextualSpacing/>
        <w:rPr>
          <w:rFonts w:ascii="Calibri" w:eastAsia="Calibri" w:hAnsi="Calibri" w:cs="Times New Roman"/>
        </w:rPr>
      </w:pPr>
      <w:r w:rsidRPr="008049C9">
        <w:rPr>
          <w:rFonts w:ascii="Calibri" w:eastAsia="Calibri" w:hAnsi="Calibri" w:cs="Times New Roman"/>
        </w:rPr>
        <w:t xml:space="preserve">Za </w:t>
      </w:r>
      <w:r w:rsidRPr="008049C9">
        <w:rPr>
          <w:rFonts w:ascii="Calibri" w:eastAsia="Calibri" w:hAnsi="Calibri" w:cs="Times New Roman"/>
          <w:b/>
        </w:rPr>
        <w:t>Následující období</w:t>
      </w:r>
      <w:r w:rsidRPr="008049C9">
        <w:rPr>
          <w:rFonts w:ascii="Calibri" w:eastAsia="Calibri" w:hAnsi="Calibri" w:cs="Times New Roman"/>
        </w:rPr>
        <w:t xml:space="preserve"> se považuje období v délce </w:t>
      </w:r>
      <w:r w:rsidRPr="00954EDD">
        <w:rPr>
          <w:rFonts w:ascii="Calibri" w:eastAsia="Calibri" w:hAnsi="Calibri" w:cs="Times New Roman"/>
          <w:b/>
        </w:rPr>
        <w:t>3 let</w:t>
      </w:r>
      <w:r w:rsidRPr="008049C9">
        <w:rPr>
          <w:rFonts w:ascii="Calibri" w:eastAsia="Calibri" w:hAnsi="Calibri" w:cs="Times New Roman"/>
        </w:rPr>
        <w:t xml:space="preserve"> po skončení projektu – </w:t>
      </w:r>
      <w:r w:rsidRPr="008049C9">
        <w:rPr>
          <w:rFonts w:ascii="Calibri" w:eastAsia="Calibri" w:hAnsi="Calibri" w:cs="Times New Roman"/>
          <w:b/>
        </w:rPr>
        <w:t>tzv. doba udržitelnosti projektu</w:t>
      </w:r>
      <w:r w:rsidRPr="008049C9">
        <w:rPr>
          <w:rFonts w:ascii="Calibri" w:eastAsia="Calibri" w:hAnsi="Calibri" w:cs="Times New Roman"/>
        </w:rPr>
        <w:t>, ve kterém Poskytovatel provádí vyhodnocení výsledků řešení projektu, vypořádání poskytnuté podpory a monitoring implementace výsledků v praxi. Za tím účelem je z</w:t>
      </w:r>
      <w:r>
        <w:rPr>
          <w:rFonts w:ascii="Calibri" w:eastAsia="Calibri" w:hAnsi="Calibri" w:cs="Times New Roman"/>
        </w:rPr>
        <w:t>avázán Příjemce i Další účastníci</w:t>
      </w:r>
      <w:r w:rsidRPr="008049C9">
        <w:rPr>
          <w:rFonts w:ascii="Calibri" w:eastAsia="Calibri" w:hAnsi="Calibri" w:cs="Times New Roman"/>
        </w:rPr>
        <w:t xml:space="preserve"> k součinnosti při provádění těchto činností.</w:t>
      </w:r>
    </w:p>
    <w:p w14:paraId="2BF543CB" w14:textId="77777777" w:rsidR="00776452" w:rsidRDefault="00776452" w:rsidP="00776452">
      <w:pPr>
        <w:widowControl w:val="0"/>
        <w:suppressAutoHyphens/>
        <w:spacing w:before="240" w:after="0" w:line="240" w:lineRule="auto"/>
        <w:contextualSpacing/>
        <w:rPr>
          <w:rFonts w:ascii="Calibri" w:eastAsia="Calibri" w:hAnsi="Calibri" w:cs="Times New Roman"/>
        </w:rPr>
      </w:pPr>
    </w:p>
    <w:p w14:paraId="7B368235" w14:textId="77777777" w:rsidR="00776452" w:rsidRPr="008049C9" w:rsidRDefault="00776452" w:rsidP="00776452">
      <w:pPr>
        <w:widowControl w:val="0"/>
        <w:numPr>
          <w:ilvl w:val="0"/>
          <w:numId w:val="17"/>
        </w:numPr>
        <w:suppressAutoHyphens/>
        <w:spacing w:before="240" w:after="0" w:line="240" w:lineRule="auto"/>
        <w:ind w:left="0" w:hanging="426"/>
        <w:contextualSpacing/>
        <w:rPr>
          <w:rFonts w:ascii="Calibri" w:eastAsia="Calibri" w:hAnsi="Calibri" w:cs="Times New Roman"/>
        </w:rPr>
      </w:pPr>
      <w:r w:rsidRPr="008049C9">
        <w:rPr>
          <w:rFonts w:ascii="Calibri" w:eastAsia="Calibri" w:hAnsi="Calibri" w:cs="Times New Roman"/>
          <w:b/>
        </w:rPr>
        <w:t>Dnem ukončení projektu</w:t>
      </w:r>
      <w:r w:rsidRPr="008049C9">
        <w:rPr>
          <w:rFonts w:ascii="Calibri" w:eastAsia="Calibri" w:hAnsi="Calibri" w:cs="Times New Roman"/>
        </w:rPr>
        <w:t xml:space="preserve"> se rozumí datum </w:t>
      </w:r>
      <w:r>
        <w:rPr>
          <w:rFonts w:ascii="Calibri" w:eastAsia="Calibri" w:hAnsi="Calibri" w:cs="Times New Roman"/>
        </w:rPr>
        <w:t>31. 12. 2020.</w:t>
      </w:r>
    </w:p>
    <w:p w14:paraId="752E25AF" w14:textId="77777777" w:rsidR="00776452" w:rsidRPr="008049C9" w:rsidRDefault="00776452" w:rsidP="00776452">
      <w:pPr>
        <w:autoSpaceDE w:val="0"/>
        <w:autoSpaceDN w:val="0"/>
        <w:adjustRightInd w:val="0"/>
        <w:spacing w:after="200" w:line="240" w:lineRule="auto"/>
        <w:contextualSpacing/>
        <w:rPr>
          <w:rFonts w:ascii="Calibri" w:eastAsia="Calibri" w:hAnsi="Calibri" w:cs="Times New Roman"/>
        </w:rPr>
      </w:pPr>
    </w:p>
    <w:p w14:paraId="0668A34A" w14:textId="77777777" w:rsidR="00776452" w:rsidRPr="0053480D" w:rsidRDefault="00776452" w:rsidP="00776452">
      <w:pPr>
        <w:widowControl w:val="0"/>
        <w:numPr>
          <w:ilvl w:val="0"/>
          <w:numId w:val="17"/>
        </w:numPr>
        <w:suppressAutoHyphens/>
        <w:autoSpaceDE w:val="0"/>
        <w:autoSpaceDN w:val="0"/>
        <w:adjustRightInd w:val="0"/>
        <w:spacing w:before="240" w:after="200" w:line="240" w:lineRule="auto"/>
        <w:ind w:left="0" w:hanging="426"/>
        <w:contextualSpacing/>
        <w:rPr>
          <w:rFonts w:ascii="Calibri" w:eastAsia="Calibri" w:hAnsi="Calibri" w:cs="Times New Roman"/>
        </w:rPr>
      </w:pPr>
      <w:r w:rsidRPr="008049C9">
        <w:rPr>
          <w:rFonts w:ascii="Calibri" w:eastAsia="Calibri" w:hAnsi="Calibri" w:cs="Arial"/>
          <w:b/>
        </w:rPr>
        <w:t>Předmětem duševního vlastnictví</w:t>
      </w:r>
      <w:r w:rsidRPr="008049C9">
        <w:rPr>
          <w:rFonts w:ascii="Calibri" w:eastAsia="Calibri" w:hAnsi="Calibri" w:cs="Arial"/>
        </w:rPr>
        <w:t xml:space="preserve"> se pro účely Smlouvy rozumí jakýkoli výsledek duševní činnosti, na jehož základě vznikne nehmotný statek, který je objektivně zachytitelný. Jedná se zejména o vynálezy, technická řešení chráněná užitným vzorem, průmyslové vzory, zlepšovací návrhy, biotechnologické vynálezy, ochranné známky, díla podle práva autorského, know-how, a další výsledky duševní činnosti.</w:t>
      </w:r>
    </w:p>
    <w:p w14:paraId="774CF2F8" w14:textId="77777777" w:rsidR="00776452" w:rsidRPr="0053480D" w:rsidRDefault="00776452" w:rsidP="00776452">
      <w:pPr>
        <w:widowControl w:val="0"/>
        <w:suppressAutoHyphens/>
        <w:autoSpaceDE w:val="0"/>
        <w:autoSpaceDN w:val="0"/>
        <w:adjustRightInd w:val="0"/>
        <w:spacing w:before="240" w:after="200" w:line="240" w:lineRule="auto"/>
        <w:contextualSpacing/>
        <w:rPr>
          <w:rFonts w:ascii="Calibri" w:eastAsia="Calibri" w:hAnsi="Calibri" w:cs="Times New Roman"/>
        </w:rPr>
      </w:pPr>
    </w:p>
    <w:p w14:paraId="5E1210EC" w14:textId="77777777" w:rsidR="00776452" w:rsidRPr="00194ABE" w:rsidRDefault="00776452" w:rsidP="00776452">
      <w:pPr>
        <w:widowControl w:val="0"/>
        <w:numPr>
          <w:ilvl w:val="0"/>
          <w:numId w:val="17"/>
        </w:numPr>
        <w:suppressAutoHyphens/>
        <w:autoSpaceDE w:val="0"/>
        <w:autoSpaceDN w:val="0"/>
        <w:adjustRightInd w:val="0"/>
        <w:spacing w:before="240" w:after="200" w:line="240" w:lineRule="auto"/>
        <w:ind w:left="0" w:hanging="426"/>
        <w:contextualSpacing/>
        <w:rPr>
          <w:rFonts w:ascii="Calibri" w:eastAsia="Calibri" w:hAnsi="Calibri" w:cs="Times New Roman"/>
        </w:rPr>
      </w:pPr>
      <w:r w:rsidRPr="00194ABE">
        <w:rPr>
          <w:rFonts w:ascii="Calibri" w:eastAsia="Calibri" w:hAnsi="Calibri" w:cs="Times New Roman"/>
          <w:b/>
        </w:rPr>
        <w:t>Aplikačním garantem</w:t>
      </w:r>
      <w:r w:rsidRPr="00194ABE">
        <w:rPr>
          <w:rFonts w:ascii="Calibri" w:eastAsia="Calibri" w:hAnsi="Calibri" w:cs="Times New Roman"/>
        </w:rPr>
        <w:t xml:space="preserve"> je</w:t>
      </w:r>
      <w:r>
        <w:rPr>
          <w:rFonts w:ascii="Calibri" w:eastAsia="Calibri" w:hAnsi="Calibri" w:cs="Times New Roman"/>
        </w:rPr>
        <w:t xml:space="preserve"> organizace uvedená</w:t>
      </w:r>
      <w:r w:rsidRPr="00194ABE">
        <w:rPr>
          <w:rFonts w:ascii="Calibri" w:eastAsia="Calibri" w:hAnsi="Calibri" w:cs="Times New Roman"/>
        </w:rPr>
        <w:t xml:space="preserve"> ve schváleném návrhu Projektu, </w:t>
      </w:r>
      <w:r>
        <w:rPr>
          <w:rFonts w:ascii="Calibri" w:eastAsia="Calibri" w:hAnsi="Calibri" w:cs="Times New Roman"/>
        </w:rPr>
        <w:t>která má</w:t>
      </w:r>
      <w:r w:rsidRPr="00194ABE">
        <w:rPr>
          <w:rFonts w:ascii="Calibri" w:eastAsia="Calibri" w:hAnsi="Calibri" w:cs="Times New Roman"/>
        </w:rPr>
        <w:t xml:space="preserve"> zájem na uplatnění a využití plánovaných výstupů Projektu v</w:t>
      </w:r>
      <w:r>
        <w:rPr>
          <w:rFonts w:ascii="Calibri" w:eastAsia="Calibri" w:hAnsi="Calibri" w:cs="Times New Roman"/>
        </w:rPr>
        <w:t xml:space="preserve"> praxi a její identifikaci </w:t>
      </w:r>
      <w:r w:rsidRPr="00194ABE">
        <w:rPr>
          <w:rFonts w:ascii="Calibri" w:eastAsia="Calibri" w:hAnsi="Calibri" w:cs="Times New Roman"/>
        </w:rPr>
        <w:t>obsahuje seznam aplikačních garantů</w:t>
      </w:r>
      <w:r>
        <w:rPr>
          <w:rFonts w:ascii="Calibri" w:eastAsia="Calibri" w:hAnsi="Calibri" w:cs="Times New Roman"/>
        </w:rPr>
        <w:t xml:space="preserve"> ve schváleném návrhu projektu jako druhého v pořadí.</w:t>
      </w:r>
    </w:p>
    <w:p w14:paraId="76201F3F" w14:textId="77777777" w:rsidR="00776452" w:rsidRPr="00194ABE" w:rsidRDefault="00776452" w:rsidP="00776452">
      <w:pPr>
        <w:widowControl w:val="0"/>
        <w:suppressAutoHyphens/>
        <w:autoSpaceDE w:val="0"/>
        <w:autoSpaceDN w:val="0"/>
        <w:adjustRightInd w:val="0"/>
        <w:spacing w:before="240" w:after="200" w:line="240" w:lineRule="auto"/>
        <w:contextualSpacing/>
        <w:rPr>
          <w:rFonts w:ascii="Calibri" w:eastAsia="Calibri" w:hAnsi="Calibri" w:cs="Times New Roman"/>
        </w:rPr>
      </w:pPr>
    </w:p>
    <w:p w14:paraId="495BBB35" w14:textId="77777777" w:rsidR="00776452" w:rsidRPr="00194ABE" w:rsidRDefault="00776452" w:rsidP="00776452">
      <w:pPr>
        <w:widowControl w:val="0"/>
        <w:numPr>
          <w:ilvl w:val="0"/>
          <w:numId w:val="17"/>
        </w:numPr>
        <w:suppressAutoHyphens/>
        <w:autoSpaceDE w:val="0"/>
        <w:autoSpaceDN w:val="0"/>
        <w:adjustRightInd w:val="0"/>
        <w:spacing w:before="240" w:after="200" w:line="240" w:lineRule="auto"/>
        <w:ind w:left="0" w:hanging="426"/>
        <w:contextualSpacing/>
        <w:rPr>
          <w:rFonts w:ascii="Calibri" w:eastAsia="Calibri" w:hAnsi="Calibri" w:cs="Times New Roman"/>
        </w:rPr>
      </w:pPr>
      <w:r w:rsidRPr="00194ABE">
        <w:rPr>
          <w:rFonts w:ascii="Calibri" w:eastAsia="Calibri" w:hAnsi="Calibri" w:cs="Times New Roman"/>
        </w:rPr>
        <w:t xml:space="preserve">Dosažené </w:t>
      </w:r>
      <w:r w:rsidRPr="00194ABE">
        <w:rPr>
          <w:rFonts w:ascii="Calibri" w:eastAsia="Calibri" w:hAnsi="Calibri" w:cs="Times New Roman"/>
          <w:b/>
        </w:rPr>
        <w:t>výsledky Projektu</w:t>
      </w:r>
      <w:r w:rsidRPr="00194ABE">
        <w:rPr>
          <w:rFonts w:ascii="Calibri" w:eastAsia="Calibri" w:hAnsi="Calibri" w:cs="Times New Roman"/>
        </w:rPr>
        <w:t xml:space="preserve"> (dále „Výsledky“) v kategoriích Prototyp, Užitný vzor a Ostatní výsledky v celkovém počtu čtyři (V1 – V4) specifikuje příloha č. 1 a 2 Smlouvy, přičemž výsledek V1 je označován pro účely Smlouvy za hlavní (dále „Hlavní výsledek) a výsledky V2 – V4 jako výsledky další (dále „Další výsledky“).</w:t>
      </w:r>
    </w:p>
    <w:p w14:paraId="5F29BBE4" w14:textId="77777777" w:rsidR="00776452" w:rsidRPr="00194ABE" w:rsidRDefault="00776452" w:rsidP="00776452">
      <w:pPr>
        <w:spacing w:after="0" w:line="240" w:lineRule="auto"/>
        <w:contextualSpacing/>
        <w:rPr>
          <w:rFonts w:ascii="Calibri" w:eastAsia="Calibri" w:hAnsi="Calibri" w:cs="Times New Roman"/>
        </w:rPr>
      </w:pPr>
    </w:p>
    <w:p w14:paraId="5F19F949" w14:textId="77777777" w:rsidR="00776452" w:rsidRPr="008049C9" w:rsidRDefault="00776452" w:rsidP="00776452">
      <w:pPr>
        <w:spacing w:after="0" w:line="240" w:lineRule="auto"/>
        <w:contextualSpacing/>
        <w:jc w:val="center"/>
        <w:rPr>
          <w:rFonts w:ascii="Calibri" w:eastAsia="Calibri" w:hAnsi="Calibri" w:cs="Times New Roman"/>
          <w:b/>
        </w:rPr>
      </w:pPr>
      <w:r w:rsidRPr="00194ABE">
        <w:rPr>
          <w:rFonts w:ascii="Calibri" w:eastAsia="Calibri" w:hAnsi="Calibri" w:cs="Times New Roman"/>
          <w:b/>
        </w:rPr>
        <w:t>III.</w:t>
      </w:r>
    </w:p>
    <w:p w14:paraId="027D4F19" w14:textId="77777777" w:rsidR="00776452" w:rsidRPr="008049C9" w:rsidRDefault="00776452" w:rsidP="00776452">
      <w:pPr>
        <w:spacing w:after="0" w:line="240" w:lineRule="auto"/>
        <w:contextualSpacing/>
        <w:jc w:val="center"/>
        <w:rPr>
          <w:rFonts w:ascii="Calibri" w:eastAsia="Calibri" w:hAnsi="Calibri" w:cs="Times New Roman"/>
          <w:b/>
        </w:rPr>
      </w:pPr>
      <w:r w:rsidRPr="008049C9">
        <w:rPr>
          <w:rFonts w:ascii="Calibri" w:eastAsia="Calibri" w:hAnsi="Calibri" w:cs="Times New Roman"/>
          <w:b/>
        </w:rPr>
        <w:t xml:space="preserve">Úprava vlastnických a užívacích práv k Výsledkům </w:t>
      </w:r>
    </w:p>
    <w:p w14:paraId="1C5022F0" w14:textId="77777777" w:rsidR="00776452" w:rsidRPr="008049C9" w:rsidRDefault="00776452" w:rsidP="00776452">
      <w:pPr>
        <w:widowControl w:val="0"/>
        <w:numPr>
          <w:ilvl w:val="0"/>
          <w:numId w:val="16"/>
        </w:numPr>
        <w:tabs>
          <w:tab w:val="left" w:pos="720"/>
        </w:tabs>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Times New Roman"/>
        </w:rPr>
        <w:t>V souladu s ustanoveními uzavřené Smlouvy o spolupráci všechna majetková práva k Výsledků</w:t>
      </w:r>
      <w:r>
        <w:rPr>
          <w:rFonts w:ascii="Calibri" w:eastAsia="Calibri" w:hAnsi="Calibri" w:cs="Times New Roman"/>
        </w:rPr>
        <w:t>m definovaným v příloze</w:t>
      </w:r>
      <w:r w:rsidRPr="008049C9">
        <w:rPr>
          <w:rFonts w:ascii="Calibri" w:eastAsia="Calibri" w:hAnsi="Calibri" w:cs="Times New Roman"/>
        </w:rPr>
        <w:t xml:space="preserve"> 1</w:t>
      </w:r>
      <w:r>
        <w:rPr>
          <w:rFonts w:ascii="Calibri" w:eastAsia="Calibri" w:hAnsi="Calibri" w:cs="Times New Roman"/>
        </w:rPr>
        <w:t xml:space="preserve"> a</w:t>
      </w:r>
      <w:r w:rsidRPr="008049C9">
        <w:rPr>
          <w:rFonts w:ascii="Calibri" w:eastAsia="Calibri" w:hAnsi="Calibri" w:cs="Times New Roman"/>
        </w:rPr>
        <w:t xml:space="preserve"> 2 </w:t>
      </w:r>
      <w:r>
        <w:rPr>
          <w:rFonts w:ascii="Calibri" w:eastAsia="Calibri" w:hAnsi="Calibri" w:cs="Times New Roman"/>
        </w:rPr>
        <w:t>Smlouvy patří Příjemci a Dalším účastníkům</w:t>
      </w:r>
      <w:r w:rsidRPr="008049C9">
        <w:rPr>
          <w:rFonts w:ascii="Calibri" w:eastAsia="Calibri" w:hAnsi="Calibri" w:cs="Times New Roman"/>
        </w:rPr>
        <w:t xml:space="preserve"> jako výsledkům výzkumu dosažených činnost</w:t>
      </w:r>
      <w:r>
        <w:rPr>
          <w:rFonts w:ascii="Calibri" w:eastAsia="Calibri" w:hAnsi="Calibri" w:cs="Times New Roman"/>
        </w:rPr>
        <w:t>í zaměstnanců Příjemce a Dalších účastníků</w:t>
      </w:r>
      <w:r w:rsidRPr="008049C9">
        <w:rPr>
          <w:rFonts w:ascii="Calibri" w:eastAsia="Calibri" w:hAnsi="Calibri" w:cs="Times New Roman"/>
        </w:rPr>
        <w:t>.</w:t>
      </w:r>
    </w:p>
    <w:p w14:paraId="49591526" w14:textId="77777777" w:rsidR="00776452" w:rsidRPr="008049C9" w:rsidRDefault="00776452" w:rsidP="00776452">
      <w:pPr>
        <w:spacing w:after="0" w:line="240" w:lineRule="auto"/>
        <w:contextualSpacing/>
        <w:rPr>
          <w:rFonts w:ascii="Calibri" w:eastAsia="Calibri" w:hAnsi="Calibri" w:cs="Times New Roman"/>
        </w:rPr>
      </w:pPr>
    </w:p>
    <w:p w14:paraId="798D39FA" w14:textId="17D7EBDD" w:rsidR="00776452" w:rsidRPr="0030276E" w:rsidRDefault="00776452" w:rsidP="00776452">
      <w:pPr>
        <w:widowControl w:val="0"/>
        <w:numPr>
          <w:ilvl w:val="0"/>
          <w:numId w:val="16"/>
        </w:numPr>
        <w:tabs>
          <w:tab w:val="left" w:pos="720"/>
        </w:tabs>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Times New Roman"/>
        </w:rPr>
        <w:t xml:space="preserve">Smluvní strany prohlašují, že vlastnictví Výsledků a přístupová a užívací práva k Výsledkům vytvořeným v </w:t>
      </w:r>
      <w:r>
        <w:rPr>
          <w:rFonts w:ascii="Calibri" w:eastAsia="Calibri" w:hAnsi="Calibri" w:cs="Times New Roman"/>
        </w:rPr>
        <w:t xml:space="preserve">rámci Projektu společně Smluvními stranami </w:t>
      </w:r>
      <w:r w:rsidRPr="008049C9">
        <w:rPr>
          <w:rFonts w:ascii="Calibri" w:eastAsia="Calibri" w:hAnsi="Calibri" w:cs="Times New Roman"/>
        </w:rPr>
        <w:t xml:space="preserve">jsou upravena v souladu se Smlouvou o </w:t>
      </w:r>
      <w:r w:rsidRPr="008049C9">
        <w:rPr>
          <w:rFonts w:ascii="Calibri" w:eastAsia="Calibri" w:hAnsi="Calibri" w:cs="Times New Roman"/>
        </w:rPr>
        <w:lastRenderedPageBreak/>
        <w:t xml:space="preserve">spolupráci. </w:t>
      </w:r>
      <w:r w:rsidRPr="00C652D5">
        <w:rPr>
          <w:rFonts w:ascii="Calibri" w:eastAsia="Calibri" w:hAnsi="Calibri" w:cs="Times New Roman"/>
        </w:rPr>
        <w:t xml:space="preserve">V souladu s ujednáním Smlouvy o spolupráci, duševní vlastnictví vzniklé při plnění </w:t>
      </w:r>
      <w:r w:rsidR="00BB43A7">
        <w:rPr>
          <w:rFonts w:ascii="Calibri" w:eastAsia="Calibri" w:hAnsi="Calibri" w:cs="Times New Roman"/>
        </w:rPr>
        <w:t xml:space="preserve">    </w:t>
      </w:r>
      <w:r w:rsidRPr="00C652D5">
        <w:rPr>
          <w:rFonts w:ascii="Calibri" w:eastAsia="Calibri" w:hAnsi="Calibri" w:cs="Times New Roman"/>
        </w:rPr>
        <w:t xml:space="preserve">úkolů v rámci Projektu patří té Smluvní straně, jejíž pracovníci duševní vlastnictví vytvořili. </w:t>
      </w:r>
      <w:r w:rsidR="00EF5E82">
        <w:rPr>
          <w:rFonts w:ascii="Calibri" w:eastAsia="Calibri" w:hAnsi="Calibri" w:cs="Times New Roman"/>
        </w:rPr>
        <w:t xml:space="preserve">     </w:t>
      </w:r>
      <w:r w:rsidRPr="00C652D5">
        <w:rPr>
          <w:rFonts w:ascii="Calibri" w:eastAsia="Calibri" w:hAnsi="Calibri" w:cs="Times New Roman"/>
        </w:rPr>
        <w:t>Výsledky Projektu, které byly dosaženy při plnění úkolů v rámci Projektu prokazatelně spoluprací pracovníků obou Smluvních stran, jsou ve spoluvlastnictví Smluvních stran nebo k nim Smluvní strany společně vykonávají majetková práva („</w:t>
      </w:r>
      <w:r w:rsidRPr="00C652D5">
        <w:rPr>
          <w:rFonts w:ascii="Calibri" w:eastAsia="Calibri" w:hAnsi="Calibri" w:cs="Times New Roman"/>
          <w:b/>
          <w:bCs/>
        </w:rPr>
        <w:t>Společné výsledky</w:t>
      </w:r>
      <w:r w:rsidRPr="00C652D5">
        <w:rPr>
          <w:rFonts w:ascii="Calibri" w:eastAsia="Calibri" w:hAnsi="Calibri" w:cs="Times New Roman"/>
        </w:rPr>
        <w:t>“), a to v poměru v jakém se na vytvoření duševního vlastnictví podíleli pracovníci každé ze Smluvních stran a při zohlednění zejména rozsahu činností, finančních, vědeckých i technologických rizik a celkové koncepce Projektu</w:t>
      </w:r>
      <w:r>
        <w:rPr>
          <w:rFonts w:ascii="Calibri" w:eastAsia="Calibri" w:hAnsi="Calibri" w:cs="Times New Roman"/>
        </w:rPr>
        <w:t>.</w:t>
      </w:r>
    </w:p>
    <w:p w14:paraId="39F63098" w14:textId="77777777" w:rsidR="00776452" w:rsidRPr="008049C9" w:rsidRDefault="00776452" w:rsidP="00776452">
      <w:pPr>
        <w:spacing w:after="0" w:line="240" w:lineRule="auto"/>
        <w:contextualSpacing/>
        <w:rPr>
          <w:rFonts w:ascii="Calibri" w:eastAsia="Calibri" w:hAnsi="Calibri" w:cs="Times New Roman"/>
        </w:rPr>
      </w:pPr>
      <w:r w:rsidRPr="008049C9">
        <w:rPr>
          <w:rFonts w:ascii="Calibri" w:eastAsia="Calibri" w:hAnsi="Calibri" w:cs="Times New Roman"/>
        </w:rPr>
        <w:t xml:space="preserve"> </w:t>
      </w:r>
    </w:p>
    <w:p w14:paraId="34B30BF7" w14:textId="77777777" w:rsidR="00776452" w:rsidRPr="008049C9" w:rsidRDefault="00776452" w:rsidP="00776452">
      <w:pPr>
        <w:widowControl w:val="0"/>
        <w:numPr>
          <w:ilvl w:val="0"/>
          <w:numId w:val="16"/>
        </w:numPr>
        <w:tabs>
          <w:tab w:val="left" w:pos="720"/>
        </w:tabs>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Times New Roman"/>
        </w:rPr>
        <w:t xml:space="preserve">Smluvní strany jsou oprávněny samostatně a bez souhlasu </w:t>
      </w:r>
      <w:r>
        <w:rPr>
          <w:rFonts w:ascii="Calibri" w:eastAsia="Calibri" w:hAnsi="Calibri" w:cs="Times New Roman"/>
        </w:rPr>
        <w:t>zbylých</w:t>
      </w:r>
      <w:r w:rsidRPr="008049C9">
        <w:rPr>
          <w:rFonts w:ascii="Calibri" w:eastAsia="Calibri" w:hAnsi="Calibri" w:cs="Times New Roman"/>
        </w:rPr>
        <w:t xml:space="preserve"> Smluvní</w:t>
      </w:r>
      <w:r>
        <w:rPr>
          <w:rFonts w:ascii="Calibri" w:eastAsia="Calibri" w:hAnsi="Calibri" w:cs="Times New Roman"/>
        </w:rPr>
        <w:t>ch stran</w:t>
      </w:r>
      <w:r w:rsidRPr="008049C9">
        <w:rPr>
          <w:rFonts w:ascii="Calibri" w:eastAsia="Calibri" w:hAnsi="Calibri" w:cs="Times New Roman"/>
        </w:rPr>
        <w:t xml:space="preserve"> využívat know-how </w:t>
      </w:r>
      <w:r>
        <w:rPr>
          <w:rFonts w:ascii="Calibri" w:eastAsia="Calibri" w:hAnsi="Calibri" w:cs="Times New Roman"/>
        </w:rPr>
        <w:t xml:space="preserve">jimi </w:t>
      </w:r>
      <w:r w:rsidRPr="008049C9">
        <w:rPr>
          <w:rFonts w:ascii="Calibri" w:eastAsia="Calibri" w:hAnsi="Calibri" w:cs="Times New Roman"/>
        </w:rPr>
        <w:t>získané při provádění Projektu a přenést výsledky tohoto know-how do praxe.</w:t>
      </w:r>
    </w:p>
    <w:p w14:paraId="53DEC6EA" w14:textId="77777777" w:rsidR="00776452" w:rsidRPr="008049C9" w:rsidRDefault="00776452" w:rsidP="00776452">
      <w:pPr>
        <w:spacing w:after="0" w:line="240" w:lineRule="auto"/>
        <w:contextualSpacing/>
        <w:rPr>
          <w:rFonts w:ascii="Calibri" w:eastAsia="Calibri" w:hAnsi="Calibri" w:cs="Times New Roman"/>
        </w:rPr>
      </w:pPr>
    </w:p>
    <w:p w14:paraId="2481E417" w14:textId="77777777" w:rsidR="00776452" w:rsidRPr="008049C9" w:rsidRDefault="00776452" w:rsidP="00776452">
      <w:pPr>
        <w:widowControl w:val="0"/>
        <w:numPr>
          <w:ilvl w:val="0"/>
          <w:numId w:val="16"/>
        </w:numPr>
        <w:tabs>
          <w:tab w:val="left" w:pos="720"/>
        </w:tabs>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Times New Roman"/>
        </w:rPr>
        <w:t>Smluvní strany prohlašují, že jsou oprávněny dostát závazkům vyplývajícím z této Smlouvy.</w:t>
      </w:r>
      <w:r>
        <w:rPr>
          <w:rFonts w:ascii="Calibri" w:eastAsia="Calibri" w:hAnsi="Calibri" w:cs="Times New Roman"/>
        </w:rPr>
        <w:t xml:space="preserve"> </w:t>
      </w:r>
      <w:r w:rsidRPr="00C652D5">
        <w:rPr>
          <w:rFonts w:ascii="Calibri" w:eastAsia="Calibri" w:hAnsi="Calibri" w:cs="Times New Roman"/>
        </w:rPr>
        <w:t xml:space="preserve">Podíl na Výsledcích je podrobněji vymezen v Příloze č. 1 </w:t>
      </w:r>
      <w:r>
        <w:rPr>
          <w:rFonts w:ascii="Calibri" w:eastAsia="Calibri" w:hAnsi="Calibri" w:cs="Times New Roman"/>
        </w:rPr>
        <w:t xml:space="preserve">a 2 </w:t>
      </w:r>
      <w:r w:rsidRPr="00C652D5">
        <w:rPr>
          <w:rFonts w:ascii="Calibri" w:eastAsia="Calibri" w:hAnsi="Calibri" w:cs="Times New Roman"/>
        </w:rPr>
        <w:t>Smlouvy.</w:t>
      </w:r>
    </w:p>
    <w:p w14:paraId="2617FB1B" w14:textId="77777777" w:rsidR="00776452" w:rsidRPr="008049C9" w:rsidRDefault="00776452" w:rsidP="00776452">
      <w:pPr>
        <w:spacing w:after="0" w:line="240" w:lineRule="auto"/>
        <w:contextualSpacing/>
        <w:rPr>
          <w:rFonts w:ascii="Calibri" w:eastAsia="Calibri" w:hAnsi="Calibri" w:cs="Times New Roman"/>
        </w:rPr>
      </w:pPr>
    </w:p>
    <w:p w14:paraId="01090FDB" w14:textId="77777777" w:rsidR="00776452" w:rsidRPr="008049C9" w:rsidRDefault="00776452" w:rsidP="00776452">
      <w:pPr>
        <w:widowControl w:val="0"/>
        <w:numPr>
          <w:ilvl w:val="0"/>
          <w:numId w:val="16"/>
        </w:numPr>
        <w:tabs>
          <w:tab w:val="left" w:pos="720"/>
        </w:tabs>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Times New Roman"/>
        </w:rPr>
        <w:t>Mohou-li si u Smluvních stran činit nároky na práva k veškerým výsledkům řešení Projektu třetí osoby, jsou Smluvní strany povinny provést taková opatření nebo uzavřít takové smlouvy, aby tato práva byla vykonávána v souladu s jejich vlastními závazky vyplývajícími ze Smlouvy o spolupráci.</w:t>
      </w:r>
    </w:p>
    <w:p w14:paraId="53B1FE41" w14:textId="77777777" w:rsidR="00776452" w:rsidRPr="008049C9" w:rsidRDefault="00776452" w:rsidP="00776452">
      <w:pPr>
        <w:tabs>
          <w:tab w:val="left" w:pos="993"/>
        </w:tabs>
        <w:spacing w:after="0" w:line="240" w:lineRule="auto"/>
        <w:ind w:hanging="284"/>
        <w:contextualSpacing/>
        <w:rPr>
          <w:rFonts w:ascii="Calibri" w:eastAsia="Calibri" w:hAnsi="Calibri" w:cs="Times New Roman"/>
        </w:rPr>
      </w:pPr>
    </w:p>
    <w:p w14:paraId="6E73D835" w14:textId="77777777" w:rsidR="00776452" w:rsidRPr="008049C9" w:rsidRDefault="00776452" w:rsidP="00776452">
      <w:pPr>
        <w:widowControl w:val="0"/>
        <w:numPr>
          <w:ilvl w:val="0"/>
          <w:numId w:val="16"/>
        </w:numPr>
        <w:tabs>
          <w:tab w:val="left" w:pos="720"/>
          <w:tab w:val="left" w:pos="993"/>
        </w:tabs>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Times New Roman"/>
        </w:rPr>
        <w:t>Smluvní strany prohlašují, že jim nejsou známy žádné skutečnosti, které by nasvědčovaly tomu, že by jakékoliv využití Výsledků v ČR či v zahraničí mohlo představovat zásah do práv jiných osob z průmyslového nebo jiného duševního vlastnictví.</w:t>
      </w:r>
    </w:p>
    <w:p w14:paraId="6D3A5154" w14:textId="77777777" w:rsidR="00776452" w:rsidRPr="008049C9" w:rsidRDefault="00776452" w:rsidP="00776452">
      <w:pPr>
        <w:tabs>
          <w:tab w:val="left" w:pos="993"/>
        </w:tabs>
        <w:spacing w:after="0" w:line="240" w:lineRule="auto"/>
        <w:ind w:hanging="284"/>
        <w:contextualSpacing/>
        <w:rPr>
          <w:rFonts w:ascii="Calibri" w:eastAsia="Calibri" w:hAnsi="Calibri" w:cs="Times New Roman"/>
        </w:rPr>
      </w:pPr>
    </w:p>
    <w:p w14:paraId="714EE8E4" w14:textId="60D66143" w:rsidR="00776452" w:rsidRPr="008049C9" w:rsidRDefault="00776452" w:rsidP="00776452">
      <w:pPr>
        <w:widowControl w:val="0"/>
        <w:numPr>
          <w:ilvl w:val="0"/>
          <w:numId w:val="16"/>
        </w:numPr>
        <w:tabs>
          <w:tab w:val="left" w:pos="720"/>
          <w:tab w:val="left" w:pos="993"/>
        </w:tabs>
        <w:suppressAutoHyphens/>
        <w:spacing w:before="240" w:after="200" w:line="240" w:lineRule="auto"/>
        <w:ind w:left="0" w:hanging="284"/>
        <w:contextualSpacing/>
        <w:rPr>
          <w:rFonts w:ascii="Calibri" w:eastAsia="Calibri" w:hAnsi="Calibri" w:cs="Times New Roman"/>
        </w:rPr>
      </w:pPr>
      <w:r w:rsidRPr="008049C9">
        <w:rPr>
          <w:rFonts w:ascii="Calibri" w:eastAsia="Calibri" w:hAnsi="Calibri" w:cs="Times New Roman"/>
        </w:rPr>
        <w:t>Jakékoliv budoucí postoupení práv k Výsledkům bude provedeno tak, aby byla dodržena pravidla vyplývající ze Smlouvy o spolupráci, z ustanovení § 16 ZPVV a pravidla veřejné podpory ve smyslu Nařízení Komise (EU) č. 651/2014 ze dne 17. června 2014, kterým se v souladu s články 107 a 108 Smlouvy prohlašují určité kategorie podpory za slučitelné s vnitřním trhem - Úřední věstník</w:t>
      </w:r>
      <w:r w:rsidR="00C730D8">
        <w:rPr>
          <w:rFonts w:ascii="Calibri" w:eastAsia="Calibri" w:hAnsi="Calibri" w:cs="Times New Roman"/>
        </w:rPr>
        <w:t xml:space="preserve">  </w:t>
      </w:r>
      <w:r w:rsidRPr="008049C9">
        <w:rPr>
          <w:rFonts w:ascii="Calibri" w:eastAsia="Calibri" w:hAnsi="Calibri" w:cs="Times New Roman"/>
        </w:rPr>
        <w:t xml:space="preserve"> Evropské unie L 187, 26. června 2014 (dále jen „Nařízení“), zejm. čl. 25, 28 a 29; a ve smyslu Rámce pro státní podporu výzkumu, vývoje a inovací – Úřední věstník Evropské unie C 198, 27. června</w:t>
      </w:r>
      <w:r w:rsidR="00C730D8">
        <w:rPr>
          <w:rFonts w:ascii="Calibri" w:eastAsia="Calibri" w:hAnsi="Calibri" w:cs="Times New Roman"/>
        </w:rPr>
        <w:t xml:space="preserve">    </w:t>
      </w:r>
      <w:r w:rsidRPr="008049C9">
        <w:rPr>
          <w:rFonts w:ascii="Calibri" w:eastAsia="Calibri" w:hAnsi="Calibri" w:cs="Times New Roman"/>
        </w:rPr>
        <w:t xml:space="preserve"> 2014 č. 2014/C 198/01 (dále jen „Rámec“).</w:t>
      </w:r>
    </w:p>
    <w:p w14:paraId="7B4969E3" w14:textId="77777777" w:rsidR="00776452" w:rsidRPr="008049C9" w:rsidRDefault="00776452" w:rsidP="00776452">
      <w:pPr>
        <w:tabs>
          <w:tab w:val="left" w:pos="993"/>
        </w:tabs>
        <w:spacing w:after="200" w:line="240" w:lineRule="auto"/>
        <w:ind w:hanging="284"/>
        <w:contextualSpacing/>
        <w:rPr>
          <w:rFonts w:ascii="Calibri" w:eastAsia="Calibri" w:hAnsi="Calibri" w:cs="Times New Roman"/>
        </w:rPr>
      </w:pPr>
    </w:p>
    <w:p w14:paraId="4A701B6E" w14:textId="77777777" w:rsidR="00776452" w:rsidRPr="008049C9" w:rsidRDefault="00776452" w:rsidP="00776452">
      <w:pPr>
        <w:widowControl w:val="0"/>
        <w:numPr>
          <w:ilvl w:val="0"/>
          <w:numId w:val="16"/>
        </w:numPr>
        <w:tabs>
          <w:tab w:val="left" w:pos="720"/>
          <w:tab w:val="left" w:pos="993"/>
        </w:tabs>
        <w:suppressAutoHyphens/>
        <w:spacing w:before="240" w:after="200" w:line="240" w:lineRule="auto"/>
        <w:ind w:left="0" w:hanging="284"/>
        <w:contextualSpacing/>
        <w:rPr>
          <w:rFonts w:ascii="Calibri" w:eastAsia="Calibri" w:hAnsi="Calibri" w:cs="Times New Roman"/>
        </w:rPr>
      </w:pPr>
      <w:r w:rsidRPr="008049C9">
        <w:rPr>
          <w:rFonts w:ascii="Calibri" w:eastAsia="Calibri" w:hAnsi="Calibri" w:cs="Times New Roman"/>
        </w:rPr>
        <w:t>Smluvní strany mohou zveřejnit informace o Výsledcích, ke kterým mají majetková práva, pokud jejich zveřejněním není dotčena jejich ochrana a pokud o svém záměru zveřejnění v dostateč</w:t>
      </w:r>
      <w:r>
        <w:rPr>
          <w:rFonts w:ascii="Calibri" w:eastAsia="Calibri" w:hAnsi="Calibri" w:cs="Times New Roman"/>
        </w:rPr>
        <w:t>ném předstihu informovali zbylé Smluvní strany</w:t>
      </w:r>
      <w:r w:rsidRPr="008049C9">
        <w:rPr>
          <w:rFonts w:ascii="Calibri" w:eastAsia="Calibri" w:hAnsi="Calibri" w:cs="Times New Roman"/>
        </w:rPr>
        <w:t xml:space="preserve">. Smluvní strany při zveřejnění jsou povinny postupovat </w:t>
      </w:r>
      <w:r>
        <w:rPr>
          <w:rFonts w:ascii="Calibri" w:eastAsia="Calibri" w:hAnsi="Calibri" w:cs="Times New Roman"/>
        </w:rPr>
        <w:t>v souladu s Pravidly pro publicitu projektů podpořených z prostředků Poskytovatele. Výs</w:t>
      </w:r>
      <w:r w:rsidRPr="008049C9">
        <w:rPr>
          <w:rFonts w:ascii="Calibri" w:eastAsia="Calibri" w:hAnsi="Calibri" w:cs="Times New Roman"/>
        </w:rPr>
        <w:t>ledky, zveřejňované v tištěné formě, ve formě vědeckých či odborných publikací nebo ve formě prezentací, musí obsahovat informaci o tom, že jich bylo dosaženo řešením Projektu podporovaného z veřejných prostředků prostřednictvím Poskytovatele.</w:t>
      </w:r>
    </w:p>
    <w:p w14:paraId="49D92F71" w14:textId="77777777" w:rsidR="00776452" w:rsidRPr="008049C9" w:rsidRDefault="00776452" w:rsidP="00776452">
      <w:pPr>
        <w:spacing w:after="0" w:line="240" w:lineRule="auto"/>
        <w:contextualSpacing/>
        <w:rPr>
          <w:rFonts w:ascii="Calibri" w:eastAsia="Calibri" w:hAnsi="Calibri" w:cs="Times New Roman"/>
        </w:rPr>
      </w:pPr>
    </w:p>
    <w:p w14:paraId="2BFDCBC8" w14:textId="77777777" w:rsidR="00776452" w:rsidRPr="008049C9" w:rsidRDefault="00776452" w:rsidP="00776452">
      <w:pPr>
        <w:spacing w:after="0" w:line="240" w:lineRule="auto"/>
        <w:contextualSpacing/>
        <w:jc w:val="center"/>
        <w:rPr>
          <w:rFonts w:ascii="Calibri" w:eastAsia="Calibri" w:hAnsi="Calibri" w:cs="Times New Roman"/>
          <w:b/>
        </w:rPr>
      </w:pPr>
    </w:p>
    <w:p w14:paraId="427F874E" w14:textId="77777777" w:rsidR="00776452" w:rsidRPr="008049C9" w:rsidRDefault="00776452" w:rsidP="00776452">
      <w:pPr>
        <w:spacing w:after="0" w:line="240" w:lineRule="auto"/>
        <w:contextualSpacing/>
        <w:jc w:val="center"/>
        <w:rPr>
          <w:rFonts w:ascii="Calibri" w:eastAsia="Calibri" w:hAnsi="Calibri" w:cs="Times New Roman"/>
          <w:b/>
        </w:rPr>
      </w:pPr>
      <w:r w:rsidRPr="008049C9">
        <w:rPr>
          <w:rFonts w:ascii="Calibri" w:eastAsia="Calibri" w:hAnsi="Calibri" w:cs="Times New Roman"/>
          <w:b/>
        </w:rPr>
        <w:t>IV.</w:t>
      </w:r>
    </w:p>
    <w:p w14:paraId="31769866" w14:textId="77777777" w:rsidR="00776452" w:rsidRPr="008049C9" w:rsidRDefault="00776452" w:rsidP="00776452">
      <w:pPr>
        <w:widowControl w:val="0"/>
        <w:suppressAutoHyphens/>
        <w:spacing w:after="0" w:line="240" w:lineRule="auto"/>
        <w:ind w:hanging="284"/>
        <w:jc w:val="center"/>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t>Způsob využití Výsledků a doba, ve které budou Výsledky využity</w:t>
      </w:r>
    </w:p>
    <w:p w14:paraId="2DC14B76" w14:textId="77777777" w:rsidR="00776452" w:rsidRPr="008049C9" w:rsidRDefault="00776452" w:rsidP="00776452">
      <w:pPr>
        <w:widowControl w:val="0"/>
        <w:numPr>
          <w:ilvl w:val="0"/>
          <w:numId w:val="18"/>
        </w:numPr>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Times New Roman"/>
        </w:rPr>
        <w:t>Smluvní strany se zavazují postupovat v souladu s</w:t>
      </w:r>
      <w:r>
        <w:rPr>
          <w:rFonts w:ascii="Calibri" w:eastAsia="Calibri" w:hAnsi="Calibri" w:cs="Times New Roman"/>
        </w:rPr>
        <w:t xml:space="preserve">e Smlouvou o spolupráci, Smlouvou o poskytnutí podpory </w:t>
      </w:r>
      <w:r w:rsidRPr="008049C9">
        <w:rPr>
          <w:rFonts w:ascii="Calibri" w:eastAsia="Calibri" w:hAnsi="Calibri" w:cs="Times New Roman"/>
        </w:rPr>
        <w:t xml:space="preserve">a dalšími souvisejícími vnitřními předpisy </w:t>
      </w:r>
      <w:r>
        <w:rPr>
          <w:rFonts w:ascii="Calibri" w:eastAsia="Calibri" w:hAnsi="Calibri" w:cs="Times New Roman"/>
        </w:rPr>
        <w:t xml:space="preserve">včetně Všeobecných podmínek </w:t>
      </w:r>
      <w:r w:rsidRPr="008049C9">
        <w:rPr>
          <w:rFonts w:ascii="Calibri" w:eastAsia="Calibri" w:hAnsi="Calibri" w:cs="Times New Roman"/>
        </w:rPr>
        <w:t xml:space="preserve">Poskytovatele </w:t>
      </w:r>
      <w:r w:rsidRPr="00047B29">
        <w:rPr>
          <w:rFonts w:ascii="Calibri" w:eastAsia="Calibri" w:hAnsi="Calibri" w:cs="Times New Roman"/>
        </w:rPr>
        <w:t xml:space="preserve">dotace </w:t>
      </w:r>
      <w:r>
        <w:rPr>
          <w:rFonts w:ascii="Calibri" w:eastAsia="Calibri" w:hAnsi="Calibri" w:cs="Times New Roman"/>
        </w:rPr>
        <w:t>(dále jen „Pravidla</w:t>
      </w:r>
      <w:r w:rsidRPr="00047B29">
        <w:rPr>
          <w:rFonts w:ascii="Calibri" w:eastAsia="Calibri" w:hAnsi="Calibri" w:cs="Times New Roman"/>
        </w:rPr>
        <w:t>“).</w:t>
      </w:r>
      <w:r>
        <w:rPr>
          <w:rFonts w:ascii="Calibri" w:eastAsia="Calibri" w:hAnsi="Calibri" w:cs="Times New Roman"/>
        </w:rPr>
        <w:t xml:space="preserve">  </w:t>
      </w:r>
      <w:r w:rsidRPr="008049C9">
        <w:rPr>
          <w:rFonts w:ascii="Calibri" w:eastAsia="Calibri" w:hAnsi="Calibri" w:cs="Arial"/>
          <w:color w:val="000000"/>
        </w:rPr>
        <w:t>Smluvní strany se zavazují dodržovat Pravidla do ukončení Následujícího období.</w:t>
      </w:r>
    </w:p>
    <w:p w14:paraId="6B78AF81" w14:textId="77777777" w:rsidR="00776452" w:rsidRPr="008049C9" w:rsidRDefault="00776452" w:rsidP="00776452">
      <w:pPr>
        <w:spacing w:after="0" w:line="240" w:lineRule="auto"/>
        <w:ind w:hanging="284"/>
        <w:contextualSpacing/>
        <w:rPr>
          <w:rFonts w:ascii="Calibri" w:eastAsia="Calibri" w:hAnsi="Calibri" w:cs="Times New Roman"/>
        </w:rPr>
      </w:pPr>
    </w:p>
    <w:p w14:paraId="0FF1C634" w14:textId="77777777" w:rsidR="00776452" w:rsidRDefault="00776452" w:rsidP="00776452">
      <w:pPr>
        <w:widowControl w:val="0"/>
        <w:numPr>
          <w:ilvl w:val="0"/>
          <w:numId w:val="18"/>
        </w:numPr>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Times New Roman"/>
        </w:rPr>
        <w:t xml:space="preserve">Smluvní strany se zavazují spolupracovat a poskytnout si vzájemně maximální součinnost k tomu, </w:t>
      </w:r>
      <w:r w:rsidRPr="008049C9">
        <w:rPr>
          <w:rFonts w:ascii="Calibri" w:eastAsia="Calibri" w:hAnsi="Calibri" w:cs="Times New Roman"/>
        </w:rPr>
        <w:lastRenderedPageBreak/>
        <w:t>aby byly Výsledky využity v souladu se Smlouvou o spolupráci, ZPVV, Nařízením a Rámcem</w:t>
      </w:r>
      <w:r>
        <w:rPr>
          <w:rFonts w:ascii="Calibri" w:eastAsia="Calibri" w:hAnsi="Calibri" w:cs="Times New Roman"/>
        </w:rPr>
        <w:t xml:space="preserve"> a</w:t>
      </w:r>
      <w:r>
        <w:rPr>
          <w:rFonts w:ascii="Calibri" w:hAnsi="Calibri"/>
        </w:rPr>
        <w:t xml:space="preserve"> s Implementačním plánem projektu,</w:t>
      </w:r>
      <w:r w:rsidRPr="000131B7">
        <w:rPr>
          <w:rFonts w:ascii="Calibri" w:hAnsi="Calibri"/>
        </w:rPr>
        <w:t xml:space="preserve"> který tvoří Přílohu č. 3 Smlouvy (dále jen „Implementační plán“)</w:t>
      </w:r>
      <w:r>
        <w:rPr>
          <w:rFonts w:ascii="Calibri" w:hAnsi="Calibri"/>
        </w:rPr>
        <w:t xml:space="preserve"> včetně</w:t>
      </w:r>
      <w:r>
        <w:rPr>
          <w:rFonts w:ascii="Calibri" w:eastAsia="Calibri" w:hAnsi="Calibri" w:cs="Times New Roman"/>
        </w:rPr>
        <w:t xml:space="preserve">, </w:t>
      </w:r>
      <w:r w:rsidRPr="008049C9">
        <w:rPr>
          <w:rFonts w:ascii="Calibri" w:eastAsia="Calibri" w:hAnsi="Calibri" w:cs="Times New Roman"/>
        </w:rPr>
        <w:t>pokud to bude nezbytné</w:t>
      </w:r>
      <w:r>
        <w:rPr>
          <w:rFonts w:ascii="Calibri" w:eastAsia="Calibri" w:hAnsi="Calibri" w:cs="Times New Roman"/>
        </w:rPr>
        <w:t xml:space="preserve">, </w:t>
      </w:r>
      <w:r w:rsidRPr="008049C9">
        <w:rPr>
          <w:rFonts w:ascii="Calibri" w:eastAsia="Calibri" w:hAnsi="Calibri" w:cs="Times New Roman"/>
        </w:rPr>
        <w:t>uzavření příslušných smluv o postoupení práv nebo užívacích práv z Výsledků za obvyklých tržních podmínek. Pro vyloučení pochybností strany výslovně prohlašují, že touto Smlouvou nejsou převáděna jakákoliv práva k Výsledkům.</w:t>
      </w:r>
    </w:p>
    <w:p w14:paraId="494D6061" w14:textId="77777777" w:rsidR="00776452" w:rsidRDefault="00776452" w:rsidP="00776452">
      <w:pPr>
        <w:widowControl w:val="0"/>
        <w:suppressAutoHyphens/>
        <w:spacing w:before="240" w:after="0" w:line="240" w:lineRule="auto"/>
        <w:contextualSpacing/>
        <w:rPr>
          <w:rFonts w:ascii="Calibri" w:eastAsia="Calibri" w:hAnsi="Calibri" w:cs="Times New Roman"/>
        </w:rPr>
      </w:pPr>
    </w:p>
    <w:p w14:paraId="38773883" w14:textId="77777777" w:rsidR="00776452" w:rsidRPr="008049C9" w:rsidRDefault="00776452" w:rsidP="00776452">
      <w:pPr>
        <w:widowControl w:val="0"/>
        <w:numPr>
          <w:ilvl w:val="0"/>
          <w:numId w:val="18"/>
        </w:numPr>
        <w:suppressAutoHyphens/>
        <w:spacing w:before="240" w:after="0" w:line="240" w:lineRule="auto"/>
        <w:ind w:left="0" w:hanging="284"/>
        <w:contextualSpacing/>
        <w:rPr>
          <w:rFonts w:ascii="Calibri" w:eastAsia="Calibri" w:hAnsi="Calibri" w:cs="Times New Roman"/>
        </w:rPr>
      </w:pPr>
      <w:r>
        <w:rPr>
          <w:rFonts w:ascii="Calibri" w:eastAsia="Calibri" w:hAnsi="Calibri" w:cs="Times New Roman"/>
        </w:rPr>
        <w:t>Další účastníci se zavazují</w:t>
      </w:r>
      <w:r w:rsidRPr="00D34E5C">
        <w:rPr>
          <w:rFonts w:ascii="Calibri" w:eastAsia="Calibri" w:hAnsi="Calibri" w:cs="Times New Roman"/>
        </w:rPr>
        <w:t xml:space="preserve"> poskytnout Příjemci nezbytnou součinnost při vykazování plnění Implementačního plánu vůči Poskytovateli a je srozuměn s tím, že v případě neplnění Implementačního plánu mohou být vůči Projektu ze strany Poskytovatele uděleny finanční sankce.</w:t>
      </w:r>
      <w:r>
        <w:rPr>
          <w:rFonts w:ascii="Calibri" w:eastAsia="Calibri" w:hAnsi="Calibri" w:cs="Times New Roman"/>
        </w:rPr>
        <w:t xml:space="preserve"> </w:t>
      </w:r>
      <w:r w:rsidRPr="009C6376">
        <w:rPr>
          <w:rFonts w:ascii="Calibri" w:eastAsia="Calibri" w:hAnsi="Calibri" w:cs="Times New Roman"/>
          <w:b/>
        </w:rPr>
        <w:t>Zpráva o implementaci</w:t>
      </w:r>
      <w:r>
        <w:rPr>
          <w:rFonts w:ascii="Calibri" w:eastAsia="Calibri" w:hAnsi="Calibri" w:cs="Times New Roman"/>
        </w:rPr>
        <w:t xml:space="preserve"> Výsledků projektu se Poskytovateli předkládá</w:t>
      </w:r>
      <w:r w:rsidRPr="009C6376">
        <w:rPr>
          <w:rFonts w:ascii="Calibri" w:eastAsia="Calibri" w:hAnsi="Calibri" w:cs="Times New Roman"/>
        </w:rPr>
        <w:t xml:space="preserve"> </w:t>
      </w:r>
      <w:r w:rsidRPr="009C6376">
        <w:rPr>
          <w:rFonts w:ascii="Calibri" w:eastAsia="Calibri" w:hAnsi="Calibri" w:cs="Times New Roman"/>
          <w:b/>
        </w:rPr>
        <w:t>do 31. července následujícího roku po ukončení sledovaného tříletého období implementace</w:t>
      </w:r>
      <w:r>
        <w:rPr>
          <w:rFonts w:ascii="Calibri" w:eastAsia="Calibri" w:hAnsi="Calibri" w:cs="Times New Roman"/>
          <w:b/>
        </w:rPr>
        <w:t>.</w:t>
      </w:r>
    </w:p>
    <w:p w14:paraId="50BFDA2C" w14:textId="77777777" w:rsidR="00776452" w:rsidRPr="008049C9" w:rsidRDefault="00776452" w:rsidP="00776452">
      <w:pPr>
        <w:spacing w:after="0" w:line="240" w:lineRule="auto"/>
        <w:ind w:hanging="284"/>
        <w:contextualSpacing/>
        <w:rPr>
          <w:rFonts w:ascii="Calibri" w:eastAsia="Calibri" w:hAnsi="Calibri" w:cs="Times New Roman"/>
        </w:rPr>
      </w:pPr>
    </w:p>
    <w:p w14:paraId="6B21A8FE" w14:textId="77777777" w:rsidR="00776452" w:rsidRPr="008049C9" w:rsidRDefault="00776452" w:rsidP="00776452">
      <w:pPr>
        <w:widowControl w:val="0"/>
        <w:numPr>
          <w:ilvl w:val="0"/>
          <w:numId w:val="18"/>
        </w:numPr>
        <w:suppressAutoHyphens/>
        <w:spacing w:before="240" w:after="200" w:line="240" w:lineRule="auto"/>
        <w:ind w:left="0" w:hanging="284"/>
        <w:contextualSpacing/>
        <w:rPr>
          <w:rFonts w:ascii="Calibri" w:eastAsia="Calibri" w:hAnsi="Calibri" w:cs="Times New Roman"/>
        </w:rPr>
      </w:pPr>
      <w:r w:rsidRPr="008049C9">
        <w:rPr>
          <w:rFonts w:ascii="Calibri" w:eastAsia="Calibri" w:hAnsi="Calibri" w:cs="Times New Roman"/>
        </w:rPr>
        <w:t>Smluvní strany se zavazují, že budou po celou dobu Následující</w:t>
      </w:r>
      <w:r>
        <w:rPr>
          <w:rFonts w:ascii="Calibri" w:eastAsia="Calibri" w:hAnsi="Calibri" w:cs="Times New Roman"/>
        </w:rPr>
        <w:t>ho období zabezpečovat ochranu V</w:t>
      </w:r>
      <w:r w:rsidRPr="008049C9">
        <w:rPr>
          <w:rFonts w:ascii="Calibri" w:eastAsia="Calibri" w:hAnsi="Calibri" w:cs="Times New Roman"/>
        </w:rPr>
        <w:t xml:space="preserve">ýsledků projektu. </w:t>
      </w:r>
    </w:p>
    <w:p w14:paraId="055CFE68" w14:textId="77777777" w:rsidR="00776452" w:rsidRPr="008049C9" w:rsidRDefault="00776452" w:rsidP="00776452">
      <w:pPr>
        <w:spacing w:after="200" w:line="240" w:lineRule="auto"/>
        <w:ind w:hanging="284"/>
        <w:contextualSpacing/>
        <w:rPr>
          <w:rFonts w:ascii="Calibri" w:eastAsia="Calibri" w:hAnsi="Calibri" w:cs="Times New Roman"/>
        </w:rPr>
      </w:pPr>
    </w:p>
    <w:p w14:paraId="5B987F12" w14:textId="77777777" w:rsidR="00776452" w:rsidRPr="00587968" w:rsidRDefault="00776452" w:rsidP="00776452">
      <w:pPr>
        <w:widowControl w:val="0"/>
        <w:numPr>
          <w:ilvl w:val="0"/>
          <w:numId w:val="18"/>
        </w:numPr>
        <w:suppressAutoHyphens/>
        <w:spacing w:before="240" w:after="200" w:line="240" w:lineRule="auto"/>
        <w:ind w:left="0" w:hanging="284"/>
        <w:contextualSpacing/>
        <w:rPr>
          <w:rFonts w:ascii="Calibri" w:eastAsia="Calibri" w:hAnsi="Calibri" w:cs="Times New Roman"/>
        </w:rPr>
      </w:pPr>
      <w:r w:rsidRPr="00587968">
        <w:rPr>
          <w:rFonts w:ascii="Calibri" w:eastAsia="Calibri" w:hAnsi="Calibri" w:cs="Times New Roman"/>
        </w:rPr>
        <w:t>Smluvní strany jsou povinny zachovat výstupy projektu po dobu 5 let od data ukončení projektu, tj. výstupy projektu nesmí být prodány nebo zcizeny po výše uvedenou dobu.</w:t>
      </w:r>
    </w:p>
    <w:p w14:paraId="044FC496" w14:textId="77777777" w:rsidR="00776452" w:rsidRPr="00587968" w:rsidRDefault="00776452" w:rsidP="00776452">
      <w:pPr>
        <w:widowControl w:val="0"/>
        <w:suppressAutoHyphens/>
        <w:spacing w:before="240" w:after="200" w:line="240" w:lineRule="auto"/>
        <w:contextualSpacing/>
        <w:rPr>
          <w:rFonts w:ascii="Calibri" w:eastAsia="Calibri" w:hAnsi="Calibri" w:cs="Times New Roman"/>
        </w:rPr>
      </w:pPr>
    </w:p>
    <w:p w14:paraId="03356951" w14:textId="77777777" w:rsidR="00776452" w:rsidRPr="00587968" w:rsidRDefault="00776452" w:rsidP="00776452">
      <w:pPr>
        <w:widowControl w:val="0"/>
        <w:numPr>
          <w:ilvl w:val="0"/>
          <w:numId w:val="18"/>
        </w:numPr>
        <w:suppressAutoHyphens/>
        <w:spacing w:before="240" w:after="200" w:line="240" w:lineRule="auto"/>
        <w:ind w:left="0" w:hanging="284"/>
        <w:contextualSpacing/>
        <w:rPr>
          <w:rFonts w:ascii="Calibri" w:eastAsia="Calibri" w:hAnsi="Calibri" w:cs="Times New Roman"/>
        </w:rPr>
      </w:pPr>
      <w:r w:rsidRPr="00587968">
        <w:rPr>
          <w:rFonts w:ascii="Calibri" w:eastAsia="Calibri" w:hAnsi="Calibri" w:cs="Times New Roman"/>
        </w:rPr>
        <w:t>Smluvní strany jsou oprávněny využívat veškeré Výsledky k vědeckým a výzkumným činnostem bezplatně.</w:t>
      </w:r>
    </w:p>
    <w:p w14:paraId="3315EC18" w14:textId="77777777" w:rsidR="00776452" w:rsidRPr="00587968" w:rsidRDefault="00776452" w:rsidP="00776452">
      <w:pPr>
        <w:spacing w:after="200" w:line="240" w:lineRule="auto"/>
        <w:ind w:hanging="284"/>
        <w:contextualSpacing/>
        <w:rPr>
          <w:rFonts w:ascii="Calibri" w:eastAsia="Calibri" w:hAnsi="Calibri" w:cs="Times New Roman"/>
        </w:rPr>
      </w:pPr>
    </w:p>
    <w:p w14:paraId="6B0F19E1" w14:textId="77777777" w:rsidR="00776452" w:rsidRPr="00587968" w:rsidRDefault="00776452" w:rsidP="00776452">
      <w:pPr>
        <w:widowControl w:val="0"/>
        <w:numPr>
          <w:ilvl w:val="0"/>
          <w:numId w:val="18"/>
        </w:numPr>
        <w:suppressAutoHyphens/>
        <w:spacing w:before="240" w:after="200" w:line="240" w:lineRule="auto"/>
        <w:ind w:left="0" w:hanging="284"/>
        <w:contextualSpacing/>
        <w:rPr>
          <w:rFonts w:ascii="Calibri" w:eastAsia="Calibri" w:hAnsi="Calibri" w:cs="Times New Roman"/>
        </w:rPr>
      </w:pPr>
      <w:r w:rsidRPr="00587968">
        <w:rPr>
          <w:rFonts w:ascii="Calibri" w:eastAsia="Calibri" w:hAnsi="Calibri" w:cs="Times New Roman"/>
        </w:rPr>
        <w:t xml:space="preserve">V případě, že v rámci projektu vznikly výsledky činnosti (zejména dílčí), které jsou mimo komerční zájem Smluvních stran, zavazují se Smluvní strany dát tyto výsledky projektu k dispozici Příjemci ke vzdělávání a dalšímu výzkumu. </w:t>
      </w:r>
    </w:p>
    <w:p w14:paraId="3D60B052" w14:textId="77777777" w:rsidR="00776452" w:rsidRDefault="00776452" w:rsidP="00776452">
      <w:pPr>
        <w:widowControl w:val="0"/>
        <w:suppressAutoHyphens/>
        <w:spacing w:before="240" w:after="200" w:line="240" w:lineRule="auto"/>
        <w:contextualSpacing/>
        <w:rPr>
          <w:rFonts w:ascii="Calibri" w:eastAsia="Calibri" w:hAnsi="Calibri" w:cs="Times New Roman"/>
        </w:rPr>
      </w:pPr>
    </w:p>
    <w:p w14:paraId="4158FCB3" w14:textId="77777777" w:rsidR="00776452" w:rsidRDefault="00776452" w:rsidP="00776452">
      <w:pPr>
        <w:widowControl w:val="0"/>
        <w:numPr>
          <w:ilvl w:val="0"/>
          <w:numId w:val="18"/>
        </w:numPr>
        <w:suppressAutoHyphens/>
        <w:spacing w:before="240" w:after="200" w:line="240" w:lineRule="auto"/>
        <w:ind w:left="0" w:hanging="284"/>
        <w:contextualSpacing/>
        <w:rPr>
          <w:rFonts w:ascii="Calibri" w:eastAsia="Calibri" w:hAnsi="Calibri" w:cs="Times New Roman"/>
        </w:rPr>
      </w:pPr>
      <w:r w:rsidRPr="00424E6F">
        <w:rPr>
          <w:rFonts w:ascii="Calibri" w:eastAsia="Calibri" w:hAnsi="Calibri" w:cs="Times New Roman"/>
        </w:rPr>
        <w:t xml:space="preserve">Smluvní strany prohlašují, že budou dle </w:t>
      </w:r>
      <w:r>
        <w:rPr>
          <w:rFonts w:ascii="Calibri" w:eastAsia="Calibri" w:hAnsi="Calibri" w:cs="Times New Roman"/>
        </w:rPr>
        <w:t>I</w:t>
      </w:r>
      <w:r w:rsidRPr="00424E6F">
        <w:rPr>
          <w:rFonts w:ascii="Calibri" w:eastAsia="Calibri" w:hAnsi="Calibri" w:cs="Times New Roman"/>
        </w:rPr>
        <w:t xml:space="preserve">mplementačního plánu </w:t>
      </w:r>
      <w:r>
        <w:rPr>
          <w:rFonts w:ascii="Calibri" w:eastAsia="Calibri" w:hAnsi="Calibri" w:cs="Times New Roman"/>
        </w:rPr>
        <w:t xml:space="preserve">v příloze č. 3 </w:t>
      </w:r>
      <w:r w:rsidRPr="00424E6F">
        <w:rPr>
          <w:rFonts w:ascii="Calibri" w:eastAsia="Calibri" w:hAnsi="Calibri" w:cs="Times New Roman"/>
        </w:rPr>
        <w:t xml:space="preserve">využívat </w:t>
      </w:r>
      <w:r>
        <w:rPr>
          <w:rFonts w:ascii="Calibri" w:eastAsia="Calibri" w:hAnsi="Calibri" w:cs="Times New Roman"/>
        </w:rPr>
        <w:t>Hlavní v</w:t>
      </w:r>
      <w:r w:rsidRPr="00424E6F">
        <w:rPr>
          <w:rFonts w:ascii="Calibri" w:eastAsia="Calibri" w:hAnsi="Calibri" w:cs="Times New Roman"/>
        </w:rPr>
        <w:t>ýsledek ve spolupráci s </w:t>
      </w:r>
      <w:r>
        <w:rPr>
          <w:rFonts w:ascii="Calibri" w:eastAsia="Calibri" w:hAnsi="Calibri" w:cs="Times New Roman"/>
        </w:rPr>
        <w:t>a</w:t>
      </w:r>
      <w:r w:rsidRPr="00424E6F">
        <w:rPr>
          <w:rFonts w:ascii="Calibri" w:eastAsia="Calibri" w:hAnsi="Calibri" w:cs="Times New Roman"/>
        </w:rPr>
        <w:t>plikační</w:t>
      </w:r>
      <w:r>
        <w:rPr>
          <w:rFonts w:ascii="Calibri" w:eastAsia="Calibri" w:hAnsi="Calibri" w:cs="Times New Roman"/>
        </w:rPr>
        <w:t>m</w:t>
      </w:r>
      <w:r w:rsidRPr="00424E6F">
        <w:rPr>
          <w:rFonts w:ascii="Calibri" w:eastAsia="Calibri" w:hAnsi="Calibri" w:cs="Times New Roman"/>
        </w:rPr>
        <w:t xml:space="preserve"> garantem </w:t>
      </w:r>
      <w:r>
        <w:rPr>
          <w:rFonts w:ascii="Calibri" w:eastAsia="Calibri" w:hAnsi="Calibri" w:cs="Times New Roman"/>
        </w:rPr>
        <w:t xml:space="preserve">podle schváleného návrhu Projektu a </w:t>
      </w:r>
      <w:r w:rsidRPr="00424E6F">
        <w:rPr>
          <w:rFonts w:ascii="Calibri" w:eastAsia="Calibri" w:hAnsi="Calibri" w:cs="Times New Roman"/>
        </w:rPr>
        <w:t xml:space="preserve">v souladu s </w:t>
      </w:r>
      <w:r>
        <w:rPr>
          <w:rFonts w:ascii="Calibri" w:eastAsia="Calibri" w:hAnsi="Calibri" w:cs="Times New Roman"/>
        </w:rPr>
        <w:t>P</w:t>
      </w:r>
      <w:r w:rsidRPr="00424E6F">
        <w:rPr>
          <w:rFonts w:ascii="Calibri" w:eastAsia="Calibri" w:hAnsi="Calibri" w:cs="Times New Roman"/>
        </w:rPr>
        <w:t xml:space="preserve">ravidly ve smyslu Nařízení, a to </w:t>
      </w:r>
      <w:r>
        <w:rPr>
          <w:rFonts w:ascii="Calibri" w:eastAsia="Calibri" w:hAnsi="Calibri" w:cs="Times New Roman"/>
        </w:rPr>
        <w:t>na základě uzavřených smluvních vztahů jednotlivě každou ze Smluvních stran.</w:t>
      </w:r>
      <w:r w:rsidRPr="00424E6F">
        <w:rPr>
          <w:rFonts w:ascii="Calibri" w:eastAsia="Calibri" w:hAnsi="Calibri" w:cs="Times New Roman"/>
        </w:rPr>
        <w:t xml:space="preserve"> </w:t>
      </w:r>
    </w:p>
    <w:p w14:paraId="0DE340BD" w14:textId="77777777" w:rsidR="00776452" w:rsidRDefault="00776452" w:rsidP="00776452">
      <w:pPr>
        <w:widowControl w:val="0"/>
        <w:suppressAutoHyphens/>
        <w:spacing w:before="240" w:after="200" w:line="240" w:lineRule="auto"/>
        <w:contextualSpacing/>
        <w:rPr>
          <w:rFonts w:ascii="Calibri" w:eastAsia="Calibri" w:hAnsi="Calibri" w:cs="Times New Roman"/>
        </w:rPr>
      </w:pPr>
    </w:p>
    <w:p w14:paraId="623740BD" w14:textId="77777777" w:rsidR="00776452" w:rsidRDefault="00776452" w:rsidP="00776452">
      <w:pPr>
        <w:widowControl w:val="0"/>
        <w:numPr>
          <w:ilvl w:val="0"/>
          <w:numId w:val="18"/>
        </w:numPr>
        <w:suppressAutoHyphens/>
        <w:spacing w:before="240" w:after="200" w:line="240" w:lineRule="auto"/>
        <w:ind w:left="0" w:hanging="284"/>
        <w:contextualSpacing/>
        <w:rPr>
          <w:rFonts w:ascii="Calibri" w:eastAsia="Calibri" w:hAnsi="Calibri" w:cs="Times New Roman"/>
        </w:rPr>
      </w:pPr>
      <w:r w:rsidRPr="00DB0EFA">
        <w:rPr>
          <w:rFonts w:ascii="Calibri" w:eastAsia="Calibri" w:hAnsi="Calibri" w:cs="Times New Roman"/>
        </w:rPr>
        <w:t>Pokud bude mít zájem některá ze Smluvních stran komercializovat Další výsledky projektu, jejichž komercializační potenciál</w:t>
      </w:r>
      <w:r>
        <w:rPr>
          <w:rFonts w:ascii="Calibri" w:eastAsia="Calibri" w:hAnsi="Calibri" w:cs="Times New Roman"/>
        </w:rPr>
        <w:t xml:space="preserve"> takto</w:t>
      </w:r>
      <w:r w:rsidRPr="00DB0EFA">
        <w:rPr>
          <w:rFonts w:ascii="Calibri" w:eastAsia="Calibri" w:hAnsi="Calibri" w:cs="Times New Roman"/>
        </w:rPr>
        <w:t xml:space="preserve"> odděleně </w:t>
      </w:r>
      <w:r>
        <w:rPr>
          <w:rFonts w:ascii="Calibri" w:eastAsia="Calibri" w:hAnsi="Calibri" w:cs="Times New Roman"/>
        </w:rPr>
        <w:t xml:space="preserve">bez příslušných technologických celků </w:t>
      </w:r>
      <w:r w:rsidRPr="00DB0EFA">
        <w:rPr>
          <w:rFonts w:ascii="Calibri" w:eastAsia="Calibri" w:hAnsi="Calibri" w:cs="Times New Roman"/>
        </w:rPr>
        <w:t xml:space="preserve">není velký, se zbylé Smluvní strany zavazují v rozsahu jejich vlastnického podílu poskytnout dotčené Smluvní straně </w:t>
      </w:r>
      <w:r w:rsidRPr="00152ADE">
        <w:rPr>
          <w:rFonts w:ascii="Calibri" w:eastAsia="Calibri" w:hAnsi="Calibri" w:cs="Times New Roman"/>
        </w:rPr>
        <w:t>výhradní či nevýhradní licenci</w:t>
      </w:r>
      <w:r w:rsidRPr="00DB0EFA">
        <w:rPr>
          <w:rFonts w:ascii="Calibri" w:eastAsia="Calibri" w:hAnsi="Calibri" w:cs="Times New Roman"/>
        </w:rPr>
        <w:t xml:space="preserve"> k vybraným Dalším výsledkům. Dotčená Smluvní strana se pak zavazuje zaplatit zbylým Smluvním stranám odměnu v odpovídající výši na základě uzavřené samostatné smlouvy o komercializaci vybraných Dalších výsledků, v souladu s Pravidly ve smyslu Nařízení. </w:t>
      </w:r>
    </w:p>
    <w:p w14:paraId="7CBB87B2" w14:textId="77777777" w:rsidR="00776452" w:rsidRDefault="00776452" w:rsidP="00776452">
      <w:pPr>
        <w:widowControl w:val="0"/>
        <w:suppressAutoHyphens/>
        <w:spacing w:before="240" w:after="200" w:line="240" w:lineRule="auto"/>
        <w:contextualSpacing/>
        <w:rPr>
          <w:rFonts w:ascii="Calibri" w:eastAsia="Calibri" w:hAnsi="Calibri" w:cs="Times New Roman"/>
        </w:rPr>
      </w:pPr>
    </w:p>
    <w:p w14:paraId="4151AD3A" w14:textId="77777777" w:rsidR="00776452" w:rsidRPr="00DB0EFA" w:rsidRDefault="00776452" w:rsidP="00776452">
      <w:pPr>
        <w:widowControl w:val="0"/>
        <w:numPr>
          <w:ilvl w:val="0"/>
          <w:numId w:val="18"/>
        </w:numPr>
        <w:suppressAutoHyphens/>
        <w:spacing w:before="240" w:after="200" w:line="240" w:lineRule="auto"/>
        <w:ind w:left="0" w:hanging="284"/>
        <w:contextualSpacing/>
        <w:rPr>
          <w:rFonts w:ascii="Calibri" w:eastAsia="Calibri" w:hAnsi="Calibri" w:cs="Times New Roman"/>
        </w:rPr>
      </w:pPr>
      <w:r w:rsidRPr="00DB0EFA">
        <w:rPr>
          <w:rFonts w:ascii="Calibri" w:eastAsia="Calibri" w:hAnsi="Calibri" w:cs="Times New Roman"/>
        </w:rPr>
        <w:t>V případě nevyužití Výsledků podle předcházejících odstavců tohoto článku způsobem a v době stanovené ve Smlouvě, jsou Smluvní strany povinny poskytnout dosažené Výsledky k využití za nediskriminujících podmínek všem zájemcům. Smluvní strany jsou oprávněny poskytnout Výsledky pouze za úplatu minimálně ve výši odpovídající jejich tržní ceně. Pokud tato nelze objektivně zjistit, postupují Smluvní strany v postavení řádného hospodáře tak, aby získali co nejvyšší možnou protihodnotu, kterou je možné zpravidla stanovit součtem nákladů na dosažení Výsledku a přiměřeným ziskem. Při poskytování Výsledků Smluvní straně, která se podílela na podpoře z neveřejných zdrojů, bude výše úplaty za poskytnutí Výsledků snížena o výši neveřejné podpory poskytnuté touto Smluvní stranou.</w:t>
      </w:r>
    </w:p>
    <w:p w14:paraId="756F63C2" w14:textId="77777777" w:rsidR="00776452" w:rsidRPr="008049C9" w:rsidRDefault="00776452" w:rsidP="00776452">
      <w:pPr>
        <w:spacing w:after="200" w:line="240" w:lineRule="auto"/>
        <w:ind w:hanging="284"/>
        <w:contextualSpacing/>
        <w:rPr>
          <w:rFonts w:ascii="Calibri" w:eastAsia="Calibri" w:hAnsi="Calibri" w:cs="Times New Roman"/>
        </w:rPr>
      </w:pPr>
    </w:p>
    <w:p w14:paraId="4D52F393" w14:textId="77777777" w:rsidR="00776452" w:rsidRPr="008049C9" w:rsidRDefault="00776452" w:rsidP="00776452">
      <w:pPr>
        <w:widowControl w:val="0"/>
        <w:numPr>
          <w:ilvl w:val="0"/>
          <w:numId w:val="18"/>
        </w:numPr>
        <w:suppressAutoHyphens/>
        <w:spacing w:before="240" w:after="200" w:line="240" w:lineRule="auto"/>
        <w:ind w:left="0" w:hanging="284"/>
        <w:contextualSpacing/>
        <w:rPr>
          <w:rFonts w:ascii="Calibri" w:eastAsia="Calibri" w:hAnsi="Calibri" w:cs="Times New Roman"/>
        </w:rPr>
      </w:pPr>
      <w:r w:rsidRPr="008049C9">
        <w:rPr>
          <w:rFonts w:ascii="Calibri" w:eastAsia="Calibri" w:hAnsi="Calibri" w:cs="Times New Roman"/>
        </w:rPr>
        <w:lastRenderedPageBreak/>
        <w:t xml:space="preserve">Smluvní strany zajistí, aby ve zveřejňovaných informacích v souvislosti s Projektem bylo vždy uvedeno: „(Tento) Projekt „název </w:t>
      </w:r>
      <w:r>
        <w:rPr>
          <w:rFonts w:ascii="Calibri" w:eastAsia="Calibri" w:hAnsi="Calibri" w:cs="Times New Roman"/>
        </w:rPr>
        <w:t xml:space="preserve">a číslo </w:t>
      </w:r>
      <w:r w:rsidRPr="008049C9">
        <w:rPr>
          <w:rFonts w:ascii="Calibri" w:eastAsia="Calibri" w:hAnsi="Calibri" w:cs="Times New Roman"/>
        </w:rPr>
        <w:t xml:space="preserve">projektu“ je spolufinancován </w:t>
      </w:r>
      <w:r w:rsidRPr="005D3D30">
        <w:rPr>
          <w:rFonts w:ascii="Calibri" w:eastAsia="Calibri" w:hAnsi="Calibri" w:cs="Times New Roman"/>
        </w:rPr>
        <w:t>TAČR“</w:t>
      </w:r>
      <w:r w:rsidRPr="008049C9">
        <w:rPr>
          <w:rFonts w:ascii="Calibri" w:eastAsia="Calibri" w:hAnsi="Calibri" w:cs="Times New Roman"/>
        </w:rPr>
        <w:t>, stejně jako, že se jedná o Projek</w:t>
      </w:r>
      <w:r>
        <w:rPr>
          <w:rFonts w:ascii="Calibri" w:eastAsia="Calibri" w:hAnsi="Calibri" w:cs="Times New Roman"/>
        </w:rPr>
        <w:t xml:space="preserve">t řešený ve spolupráci se zbylými </w:t>
      </w:r>
      <w:r w:rsidRPr="008049C9">
        <w:rPr>
          <w:rFonts w:ascii="Calibri" w:eastAsia="Calibri" w:hAnsi="Calibri" w:cs="Times New Roman"/>
        </w:rPr>
        <w:t>Smluvní</w:t>
      </w:r>
      <w:r>
        <w:rPr>
          <w:rFonts w:ascii="Calibri" w:eastAsia="Calibri" w:hAnsi="Calibri" w:cs="Times New Roman"/>
        </w:rPr>
        <w:t>mi stranami</w:t>
      </w:r>
      <w:r w:rsidRPr="008049C9">
        <w:rPr>
          <w:rFonts w:ascii="Calibri" w:eastAsia="Calibri" w:hAnsi="Calibri" w:cs="Times New Roman"/>
        </w:rPr>
        <w:t xml:space="preserve"> a uvést jej</w:t>
      </w:r>
      <w:r>
        <w:rPr>
          <w:rFonts w:ascii="Calibri" w:eastAsia="Calibri" w:hAnsi="Calibri" w:cs="Times New Roman"/>
        </w:rPr>
        <w:t>ich</w:t>
      </w:r>
      <w:r w:rsidRPr="008049C9">
        <w:rPr>
          <w:rFonts w:ascii="Calibri" w:eastAsia="Calibri" w:hAnsi="Calibri" w:cs="Times New Roman"/>
        </w:rPr>
        <w:t xml:space="preserve"> identifikační znaky. Zveřejněním nesmí být dotčena ochrana výsledků Projektu a mlčenlivost, jinak Smluvní strana, která se takového zveře</w:t>
      </w:r>
      <w:r>
        <w:rPr>
          <w:rFonts w:ascii="Calibri" w:eastAsia="Calibri" w:hAnsi="Calibri" w:cs="Times New Roman"/>
        </w:rPr>
        <w:t xml:space="preserve">jnění dopustila, odpovídá poškozené </w:t>
      </w:r>
      <w:r w:rsidRPr="008049C9">
        <w:rPr>
          <w:rFonts w:ascii="Calibri" w:eastAsia="Calibri" w:hAnsi="Calibri" w:cs="Times New Roman"/>
        </w:rPr>
        <w:t>Smluvní straně</w:t>
      </w:r>
      <w:r>
        <w:rPr>
          <w:rFonts w:ascii="Calibri" w:eastAsia="Calibri" w:hAnsi="Calibri" w:cs="Times New Roman"/>
        </w:rPr>
        <w:t>/Smluvním stranám</w:t>
      </w:r>
      <w:r w:rsidRPr="008049C9">
        <w:rPr>
          <w:rFonts w:ascii="Calibri" w:eastAsia="Calibri" w:hAnsi="Calibri" w:cs="Times New Roman"/>
        </w:rPr>
        <w:t xml:space="preserve"> za způsobenou škodu. </w:t>
      </w:r>
    </w:p>
    <w:p w14:paraId="0257300A" w14:textId="77777777" w:rsidR="00776452" w:rsidRPr="008049C9" w:rsidRDefault="00776452" w:rsidP="00776452">
      <w:pPr>
        <w:spacing w:after="200" w:line="240" w:lineRule="auto"/>
        <w:ind w:hanging="284"/>
        <w:contextualSpacing/>
        <w:rPr>
          <w:rFonts w:ascii="Calibri" w:eastAsia="Calibri" w:hAnsi="Calibri" w:cs="Times New Roman"/>
        </w:rPr>
      </w:pPr>
    </w:p>
    <w:p w14:paraId="65DA96BE" w14:textId="77777777" w:rsidR="00776452" w:rsidRPr="008049C9" w:rsidRDefault="00776452" w:rsidP="00776452">
      <w:pPr>
        <w:widowControl w:val="0"/>
        <w:numPr>
          <w:ilvl w:val="0"/>
          <w:numId w:val="18"/>
        </w:numPr>
        <w:suppressAutoHyphens/>
        <w:spacing w:before="240" w:after="200" w:line="240" w:lineRule="auto"/>
        <w:ind w:left="0" w:hanging="284"/>
        <w:contextualSpacing/>
        <w:rPr>
          <w:rFonts w:ascii="Calibri" w:eastAsia="Calibri" w:hAnsi="Calibri" w:cs="Times New Roman"/>
        </w:rPr>
      </w:pPr>
      <w:r>
        <w:rPr>
          <w:rFonts w:ascii="Calibri" w:eastAsia="Calibri" w:hAnsi="Calibri" w:cs="Times New Roman"/>
        </w:rPr>
        <w:t>Další účastníci berou</w:t>
      </w:r>
      <w:r w:rsidRPr="008049C9">
        <w:rPr>
          <w:rFonts w:ascii="Calibri" w:eastAsia="Calibri" w:hAnsi="Calibri" w:cs="Times New Roman"/>
        </w:rPr>
        <w:t xml:space="preserve"> na vědomí, že užívání názvu</w:t>
      </w:r>
      <w:r>
        <w:rPr>
          <w:rFonts w:ascii="Calibri" w:eastAsia="Calibri" w:hAnsi="Calibri" w:cs="Times New Roman"/>
        </w:rPr>
        <w:t xml:space="preserve"> a logotypu Příjemce </w:t>
      </w:r>
      <w:r w:rsidRPr="008049C9">
        <w:rPr>
          <w:rFonts w:ascii="Calibri" w:eastAsia="Calibri" w:hAnsi="Calibri" w:cs="Times New Roman"/>
        </w:rPr>
        <w:t xml:space="preserve">musí být v souladu s Grafickým manuálem </w:t>
      </w:r>
      <w:r>
        <w:rPr>
          <w:rFonts w:ascii="Calibri" w:eastAsia="Calibri" w:hAnsi="Calibri" w:cs="Times New Roman"/>
        </w:rPr>
        <w:t xml:space="preserve">jeho </w:t>
      </w:r>
      <w:r w:rsidRPr="008049C9">
        <w:rPr>
          <w:rFonts w:ascii="Calibri" w:eastAsia="Calibri" w:hAnsi="Calibri" w:cs="Times New Roman"/>
        </w:rPr>
        <w:t xml:space="preserve">identity, který je k dispozici na stránkách www.cvut.cz. </w:t>
      </w:r>
    </w:p>
    <w:p w14:paraId="0DD5F030" w14:textId="77777777" w:rsidR="00776452" w:rsidRPr="008049C9" w:rsidRDefault="00776452" w:rsidP="00776452">
      <w:pPr>
        <w:widowControl w:val="0"/>
        <w:suppressAutoHyphens/>
        <w:spacing w:before="240" w:after="0" w:line="240" w:lineRule="auto"/>
        <w:contextualSpacing/>
        <w:rPr>
          <w:rFonts w:ascii="Calibri" w:eastAsia="Calibri" w:hAnsi="Calibri" w:cs="Times New Roman"/>
        </w:rPr>
      </w:pPr>
    </w:p>
    <w:p w14:paraId="636C20E6" w14:textId="77777777" w:rsidR="00776452" w:rsidRPr="008049C9" w:rsidRDefault="00776452" w:rsidP="00776452">
      <w:pPr>
        <w:widowControl w:val="0"/>
        <w:tabs>
          <w:tab w:val="left" w:pos="720"/>
        </w:tabs>
        <w:suppressAutoHyphens/>
        <w:spacing w:after="0" w:line="240" w:lineRule="auto"/>
        <w:jc w:val="center"/>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t>V.</w:t>
      </w:r>
    </w:p>
    <w:p w14:paraId="463711FD" w14:textId="77777777" w:rsidR="00776452" w:rsidRPr="008049C9" w:rsidRDefault="00776452" w:rsidP="00776452">
      <w:pPr>
        <w:widowControl w:val="0"/>
        <w:suppressAutoHyphens/>
        <w:spacing w:after="0" w:line="240" w:lineRule="auto"/>
        <w:ind w:hanging="284"/>
        <w:jc w:val="center"/>
        <w:rPr>
          <w:rFonts w:ascii="Calibri" w:eastAsia="Lucida Sans Unicode" w:hAnsi="Calibri" w:cs="Times New Roman"/>
          <w:bCs/>
          <w:kern w:val="1"/>
          <w:lang w:eastAsia="ar-SA"/>
        </w:rPr>
      </w:pPr>
      <w:r w:rsidRPr="008049C9">
        <w:rPr>
          <w:rFonts w:ascii="Calibri" w:eastAsia="Lucida Sans Unicode" w:hAnsi="Calibri" w:cs="Times New Roman"/>
          <w:b/>
          <w:bCs/>
          <w:kern w:val="1"/>
          <w:lang w:eastAsia="ar-SA"/>
        </w:rPr>
        <w:t>Mlčenlivost, rozsah stupně důvěrnosti údajů a způsob nakládání s nimi</w:t>
      </w:r>
    </w:p>
    <w:p w14:paraId="49B9E91B" w14:textId="77777777" w:rsidR="00776452" w:rsidRPr="008049C9" w:rsidRDefault="00776452" w:rsidP="00776452">
      <w:pPr>
        <w:widowControl w:val="0"/>
        <w:numPr>
          <w:ilvl w:val="0"/>
          <w:numId w:val="19"/>
        </w:numPr>
        <w:suppressAutoHyphens/>
        <w:spacing w:before="240" w:after="200" w:line="240" w:lineRule="auto"/>
        <w:ind w:left="0" w:hanging="284"/>
        <w:contextualSpacing/>
        <w:rPr>
          <w:rFonts w:ascii="Calibri" w:eastAsia="Calibri" w:hAnsi="Calibri" w:cs="Times New Roman"/>
        </w:rPr>
      </w:pPr>
      <w:r>
        <w:rPr>
          <w:rFonts w:ascii="Calibri" w:eastAsia="Calibri" w:hAnsi="Calibri" w:cs="Times New Roman"/>
        </w:rPr>
        <w:t xml:space="preserve">Veškeré </w:t>
      </w:r>
      <w:r w:rsidRPr="008049C9">
        <w:rPr>
          <w:rFonts w:ascii="Calibri" w:eastAsia="Calibri" w:hAnsi="Calibri" w:cs="Times New Roman"/>
        </w:rPr>
        <w:t xml:space="preserve">Výsledky tvoří obchodní tajemství ve smyslu ustanovení § 504 zákona č. 89/2012 Sb., občanského zákoníku, ve znění pozdějších předpisů (dále jen „Občanský zákoník“), a Smluvní strany se zavazují ve vztahu k obchodnímu tajemství, k němuž nemají výlučná práva, nestanoví-li Smlouva </w:t>
      </w:r>
      <w:r>
        <w:rPr>
          <w:rFonts w:ascii="Calibri" w:eastAsia="Calibri" w:hAnsi="Calibri" w:cs="Times New Roman"/>
        </w:rPr>
        <w:t>včetně příloh nebo případných dodatků</w:t>
      </w:r>
      <w:r w:rsidRPr="008049C9">
        <w:rPr>
          <w:rFonts w:ascii="Calibri" w:eastAsia="Calibri" w:hAnsi="Calibri" w:cs="Times New Roman"/>
        </w:rPr>
        <w:t xml:space="preserve"> jinak, obsah tohoto obchodního tajemství nevyzradit žádné třetí osobě bez předchozího písemného souhlasu všech osob, které disponují právy k tomuto obchodnímu tajemství. V případě vyzrazení třetí osobě bez souhlasu dotčených </w:t>
      </w:r>
      <w:r>
        <w:rPr>
          <w:rFonts w:ascii="Calibri" w:eastAsia="Calibri" w:hAnsi="Calibri" w:cs="Times New Roman"/>
        </w:rPr>
        <w:t xml:space="preserve">Smluvních </w:t>
      </w:r>
      <w:r w:rsidRPr="008049C9">
        <w:rPr>
          <w:rFonts w:ascii="Calibri" w:eastAsia="Calibri" w:hAnsi="Calibri" w:cs="Times New Roman"/>
        </w:rPr>
        <w:t xml:space="preserve">stran je považováno za porušení této Smlouvy. </w:t>
      </w:r>
    </w:p>
    <w:p w14:paraId="7C30949C" w14:textId="77777777" w:rsidR="00776452" w:rsidRPr="008049C9" w:rsidRDefault="00776452" w:rsidP="00776452">
      <w:pPr>
        <w:spacing w:after="200" w:line="240" w:lineRule="auto"/>
        <w:ind w:hanging="284"/>
        <w:contextualSpacing/>
        <w:rPr>
          <w:rFonts w:ascii="Calibri" w:eastAsia="Calibri" w:hAnsi="Calibri" w:cs="Times New Roman"/>
        </w:rPr>
      </w:pPr>
    </w:p>
    <w:p w14:paraId="6EC222C6" w14:textId="77777777" w:rsidR="00776452" w:rsidRPr="008049C9" w:rsidRDefault="00776452" w:rsidP="00776452">
      <w:pPr>
        <w:widowControl w:val="0"/>
        <w:numPr>
          <w:ilvl w:val="0"/>
          <w:numId w:val="19"/>
        </w:numPr>
        <w:suppressAutoHyphens/>
        <w:spacing w:before="240" w:after="200" w:line="240" w:lineRule="auto"/>
        <w:ind w:left="0" w:hanging="284"/>
        <w:contextualSpacing/>
        <w:rPr>
          <w:rFonts w:ascii="Calibri" w:eastAsia="Calibri" w:hAnsi="Calibri" w:cs="Times New Roman"/>
        </w:rPr>
      </w:pPr>
      <w:r w:rsidRPr="008049C9">
        <w:rPr>
          <w:rFonts w:ascii="Calibri" w:eastAsia="Calibri" w:hAnsi="Calibri" w:cs="Times New Roman"/>
        </w:rPr>
        <w:t>Výsledky řešení, které byly publikovány v odborném tisku, nebo které byly jiným způsobem zveřejněny, netvoří žádné důvěrné informace, se kterými by bylo třeba nakládat podle zvláštních právních předpisů (zejm. § 504 Občanského zákoníku).</w:t>
      </w:r>
    </w:p>
    <w:p w14:paraId="28BCFABF" w14:textId="77777777" w:rsidR="00776452" w:rsidRPr="008049C9" w:rsidRDefault="00776452" w:rsidP="00776452">
      <w:pPr>
        <w:spacing w:after="0" w:line="240" w:lineRule="auto"/>
        <w:ind w:hanging="284"/>
        <w:contextualSpacing/>
        <w:rPr>
          <w:rFonts w:ascii="Calibri" w:eastAsia="Calibri" w:hAnsi="Calibri" w:cs="Times New Roman"/>
        </w:rPr>
      </w:pPr>
    </w:p>
    <w:p w14:paraId="74EC2BC1" w14:textId="212F257F" w:rsidR="00776452" w:rsidRPr="008049C9" w:rsidRDefault="00776452" w:rsidP="00776452">
      <w:pPr>
        <w:widowControl w:val="0"/>
        <w:numPr>
          <w:ilvl w:val="0"/>
          <w:numId w:val="19"/>
        </w:numPr>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Arial"/>
        </w:rPr>
        <w:t xml:space="preserve">Není-li ve Smlouvě </w:t>
      </w:r>
      <w:r>
        <w:rPr>
          <w:rFonts w:ascii="Calibri" w:eastAsia="Calibri" w:hAnsi="Calibri" w:cs="Arial"/>
        </w:rPr>
        <w:t xml:space="preserve">včetně jejích příloh </w:t>
      </w:r>
      <w:r w:rsidRPr="008049C9">
        <w:rPr>
          <w:rFonts w:ascii="Calibri" w:eastAsia="Calibri" w:hAnsi="Calibri" w:cs="Arial"/>
        </w:rPr>
        <w:t>nebo v</w:t>
      </w:r>
      <w:r>
        <w:rPr>
          <w:rFonts w:ascii="Calibri" w:eastAsia="Calibri" w:hAnsi="Calibri" w:cs="Arial"/>
        </w:rPr>
        <w:t> případných dodatcích</w:t>
      </w:r>
      <w:r w:rsidRPr="008049C9">
        <w:rPr>
          <w:rFonts w:ascii="Calibri" w:eastAsia="Calibri" w:hAnsi="Calibri" w:cs="Arial"/>
        </w:rPr>
        <w:t xml:space="preserve"> stanoveno jinak, jsou veškeré informace získané Smluvními stranami v souvislosti s uzavíráním a plněním povinností dle Smlouvy přísně důvěrné (dále jen „důvěrné informace“) a Smluvní strany jsou povinny o nich zachovávat mlčenlivost a zajistit dostatečnou ochranu před přístupem nepovolaných osob k nim, nesmí</w:t>
      </w:r>
      <w:r w:rsidR="008F52FC">
        <w:rPr>
          <w:rFonts w:ascii="Calibri" w:eastAsia="Calibri" w:hAnsi="Calibri" w:cs="Arial"/>
        </w:rPr>
        <w:t xml:space="preserve">  </w:t>
      </w:r>
      <w:r w:rsidRPr="008049C9">
        <w:rPr>
          <w:rFonts w:ascii="Calibri" w:eastAsia="Calibri" w:hAnsi="Calibri" w:cs="Arial"/>
        </w:rPr>
        <w:t xml:space="preserve">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J</w:t>
      </w:r>
      <w:bookmarkStart w:id="0" w:name="_GoBack"/>
      <w:bookmarkEnd w:id="0"/>
      <w:r w:rsidRPr="008049C9">
        <w:rPr>
          <w:rFonts w:ascii="Calibri" w:eastAsia="Calibri" w:hAnsi="Calibri" w:cs="Arial"/>
        </w:rPr>
        <w:t>ako důvěrné je třeba považovat i informace, které byly některou ze stran označeny za důvěrné, nebo informace, jejichž použitím by některé ze stran vznikla škoda. Toto ustanovení neplatí ve vztahu k</w:t>
      </w:r>
      <w:r w:rsidR="002E17C2">
        <w:rPr>
          <w:rFonts w:ascii="Calibri" w:eastAsia="Calibri" w:hAnsi="Calibri" w:cs="Arial"/>
        </w:rPr>
        <w:t xml:space="preserve">  </w:t>
      </w:r>
      <w:r w:rsidRPr="008049C9">
        <w:rPr>
          <w:rFonts w:ascii="Calibri" w:eastAsia="Calibri" w:hAnsi="Calibri" w:cs="Arial"/>
        </w:rPr>
        <w:t xml:space="preserve"> Poskytovateli.</w:t>
      </w:r>
    </w:p>
    <w:p w14:paraId="23577810" w14:textId="77777777" w:rsidR="00776452" w:rsidRPr="008049C9" w:rsidRDefault="00776452" w:rsidP="00776452">
      <w:pPr>
        <w:spacing w:after="0" w:line="240" w:lineRule="auto"/>
        <w:ind w:hanging="284"/>
        <w:contextualSpacing/>
        <w:rPr>
          <w:rFonts w:ascii="Calibri" w:eastAsia="Calibri" w:hAnsi="Calibri" w:cs="Times New Roman"/>
        </w:rPr>
      </w:pPr>
    </w:p>
    <w:p w14:paraId="6DA5B57B" w14:textId="77777777" w:rsidR="00776452" w:rsidRPr="008049C9" w:rsidRDefault="00776452" w:rsidP="00776452">
      <w:pPr>
        <w:widowControl w:val="0"/>
        <w:numPr>
          <w:ilvl w:val="0"/>
          <w:numId w:val="19"/>
        </w:numPr>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Arial"/>
        </w:rPr>
        <w:t>V</w:t>
      </w:r>
      <w:r w:rsidRPr="008049C9">
        <w:rPr>
          <w:rFonts w:ascii="Calibri" w:eastAsia="Calibri" w:hAnsi="Calibri" w:cs="Times New Roman"/>
        </w:rPr>
        <w:t xml:space="preserve">ýjimkou z ustanovení odst. 3 článku jsou: </w:t>
      </w:r>
    </w:p>
    <w:p w14:paraId="09302E51" w14:textId="77777777" w:rsidR="00776452" w:rsidRPr="008049C9" w:rsidRDefault="00776452" w:rsidP="00776452">
      <w:pPr>
        <w:widowControl w:val="0"/>
        <w:numPr>
          <w:ilvl w:val="0"/>
          <w:numId w:val="22"/>
        </w:numPr>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Times New Roman"/>
          <w:bCs/>
        </w:rPr>
        <w:t>sdělení nebo případ povolený nebo vyžadovaný pro běžné a řádné plnění povinností dle Smlouvy;</w:t>
      </w:r>
    </w:p>
    <w:p w14:paraId="186D8C01" w14:textId="77777777" w:rsidR="00776452" w:rsidRPr="008049C9" w:rsidRDefault="00776452" w:rsidP="00776452">
      <w:pPr>
        <w:widowControl w:val="0"/>
        <w:numPr>
          <w:ilvl w:val="0"/>
          <w:numId w:val="22"/>
        </w:numPr>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Times New Roman"/>
        </w:rPr>
        <w:t>informace poskytované do Informačního systému výzkumu vývoje a inovací při respektování důvěrnosti údajů v případě obchodního tajemství (§17 až 20 obch. zák.) a úpravě informací dodávaných do CEP tak, aby byly zveřejnitelné,</w:t>
      </w:r>
    </w:p>
    <w:p w14:paraId="3DA0CD24" w14:textId="77777777" w:rsidR="00776452" w:rsidRPr="008049C9" w:rsidRDefault="00776452" w:rsidP="00776452">
      <w:pPr>
        <w:widowControl w:val="0"/>
        <w:numPr>
          <w:ilvl w:val="0"/>
          <w:numId w:val="22"/>
        </w:numPr>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Times New Roman"/>
        </w:rPr>
        <w:t>informace, které Smluvní strana znala prokazatelně dř</w:t>
      </w:r>
      <w:r>
        <w:rPr>
          <w:rFonts w:ascii="Calibri" w:eastAsia="Calibri" w:hAnsi="Calibri" w:cs="Times New Roman"/>
        </w:rPr>
        <w:t xml:space="preserve">íve, než jí byly sděleny kteroukoli ze </w:t>
      </w:r>
      <w:r w:rsidRPr="008049C9">
        <w:rPr>
          <w:rFonts w:ascii="Calibri" w:eastAsia="Calibri" w:hAnsi="Calibri" w:cs="Times New Roman"/>
        </w:rPr>
        <w:t>Smluvní</w:t>
      </w:r>
      <w:r>
        <w:rPr>
          <w:rFonts w:ascii="Calibri" w:eastAsia="Calibri" w:hAnsi="Calibri" w:cs="Times New Roman"/>
        </w:rPr>
        <w:t>ch stran</w:t>
      </w:r>
      <w:r w:rsidRPr="008049C9">
        <w:rPr>
          <w:rFonts w:ascii="Calibri" w:eastAsia="Calibri" w:hAnsi="Calibri" w:cs="Times New Roman"/>
        </w:rPr>
        <w:t>,</w:t>
      </w:r>
    </w:p>
    <w:p w14:paraId="5CEAC28E" w14:textId="77777777" w:rsidR="00776452" w:rsidRPr="008049C9" w:rsidRDefault="00776452" w:rsidP="00776452">
      <w:pPr>
        <w:widowControl w:val="0"/>
        <w:numPr>
          <w:ilvl w:val="0"/>
          <w:numId w:val="22"/>
        </w:numPr>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Times New Roman"/>
        </w:rPr>
        <w:t xml:space="preserve">informace poskytnuté Smluvní straně </w:t>
      </w:r>
      <w:r>
        <w:rPr>
          <w:rFonts w:ascii="Calibri" w:eastAsia="Calibri" w:hAnsi="Calibri" w:cs="Times New Roman"/>
        </w:rPr>
        <w:t>kteroukoli ze</w:t>
      </w:r>
      <w:r w:rsidRPr="008049C9">
        <w:rPr>
          <w:rFonts w:ascii="Calibri" w:eastAsia="Calibri" w:hAnsi="Calibri" w:cs="Times New Roman"/>
        </w:rPr>
        <w:t xml:space="preserve"> Smluvní</w:t>
      </w:r>
      <w:r>
        <w:rPr>
          <w:rFonts w:ascii="Calibri" w:eastAsia="Calibri" w:hAnsi="Calibri" w:cs="Times New Roman"/>
        </w:rPr>
        <w:t>ch stran</w:t>
      </w:r>
      <w:r w:rsidRPr="008049C9">
        <w:rPr>
          <w:rFonts w:ascii="Calibri" w:eastAsia="Calibri" w:hAnsi="Calibri" w:cs="Times New Roman"/>
        </w:rPr>
        <w:t xml:space="preserve"> s písemným oproštěním od mlčenlivosti,</w:t>
      </w:r>
    </w:p>
    <w:p w14:paraId="3536B1AE" w14:textId="77777777" w:rsidR="00776452" w:rsidRPr="008049C9" w:rsidRDefault="00776452" w:rsidP="00776452">
      <w:pPr>
        <w:widowControl w:val="0"/>
        <w:numPr>
          <w:ilvl w:val="0"/>
          <w:numId w:val="22"/>
        </w:numPr>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Times New Roman"/>
        </w:rPr>
        <w:t>informace, které byly Smluvní straně poskytnuté třetí stranou bez závazku k mlčenlivosti,</w:t>
      </w:r>
    </w:p>
    <w:p w14:paraId="0E4B2FDD" w14:textId="77777777" w:rsidR="00776452" w:rsidRPr="008049C9" w:rsidRDefault="00776452" w:rsidP="00776452">
      <w:pPr>
        <w:widowControl w:val="0"/>
        <w:numPr>
          <w:ilvl w:val="0"/>
          <w:numId w:val="22"/>
        </w:numPr>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Times New Roman"/>
        </w:rPr>
        <w:t>informace, které je některá Smluvní strana povinna poskytnout jiným orgánům státní správy, soudním orgánům nebo orgánům činným v trestním řízení.</w:t>
      </w:r>
    </w:p>
    <w:p w14:paraId="7577E7FB" w14:textId="77777777" w:rsidR="00776452" w:rsidRPr="008049C9" w:rsidRDefault="00776452" w:rsidP="00776452">
      <w:pPr>
        <w:spacing w:after="0" w:line="240" w:lineRule="auto"/>
        <w:ind w:hanging="284"/>
        <w:contextualSpacing/>
        <w:rPr>
          <w:rFonts w:ascii="Calibri" w:eastAsia="Calibri" w:hAnsi="Calibri" w:cs="Times New Roman"/>
        </w:rPr>
      </w:pPr>
    </w:p>
    <w:p w14:paraId="140B78F4" w14:textId="77777777" w:rsidR="00776452" w:rsidRPr="00F62B12" w:rsidRDefault="00776452" w:rsidP="00776452">
      <w:pPr>
        <w:widowControl w:val="0"/>
        <w:numPr>
          <w:ilvl w:val="0"/>
          <w:numId w:val="19"/>
        </w:numPr>
        <w:suppressAutoHyphens/>
        <w:spacing w:before="240" w:after="0" w:line="240" w:lineRule="auto"/>
        <w:ind w:left="0" w:hanging="284"/>
        <w:contextualSpacing/>
        <w:rPr>
          <w:rFonts w:ascii="Calibri" w:eastAsia="Calibri" w:hAnsi="Calibri" w:cs="Times New Roman"/>
        </w:rPr>
      </w:pPr>
      <w:r w:rsidRPr="008049C9">
        <w:rPr>
          <w:rFonts w:ascii="Calibri" w:eastAsia="Calibri" w:hAnsi="Calibri" w:cs="Arial"/>
        </w:rPr>
        <w:t xml:space="preserve">V případě porušení povinnosti uvedené v odst. 1 - 3 článku se za každé jednotlivé porušení povinnosti Smlouvy Smluvní stranou sjednává Smluvní pokuta ve výši </w:t>
      </w:r>
      <w:r w:rsidRPr="00F62B12">
        <w:rPr>
          <w:rFonts w:ascii="Calibri" w:eastAsia="Calibri" w:hAnsi="Calibri" w:cs="Arial"/>
        </w:rPr>
        <w:t>50.000,- Kč splatná na účet poškozené Smluvní strany/Smluvních stran uvedený v záhlaví Smlouvy.</w:t>
      </w:r>
    </w:p>
    <w:p w14:paraId="172BEA5B" w14:textId="77777777" w:rsidR="00776452" w:rsidRPr="00F62B12" w:rsidRDefault="00776452" w:rsidP="00776452">
      <w:pPr>
        <w:spacing w:after="0" w:line="240" w:lineRule="auto"/>
        <w:ind w:hanging="284"/>
        <w:contextualSpacing/>
        <w:rPr>
          <w:rFonts w:ascii="Calibri" w:eastAsia="Calibri" w:hAnsi="Calibri" w:cs="Times New Roman"/>
        </w:rPr>
      </w:pPr>
    </w:p>
    <w:p w14:paraId="0ACA6400" w14:textId="77777777" w:rsidR="00776452" w:rsidRPr="00F62B12" w:rsidRDefault="00776452" w:rsidP="00776452">
      <w:pPr>
        <w:widowControl w:val="0"/>
        <w:numPr>
          <w:ilvl w:val="0"/>
          <w:numId w:val="19"/>
        </w:numPr>
        <w:suppressAutoHyphens/>
        <w:spacing w:before="240" w:after="0" w:line="240" w:lineRule="auto"/>
        <w:ind w:left="0" w:hanging="284"/>
        <w:contextualSpacing/>
        <w:rPr>
          <w:rFonts w:ascii="Calibri" w:eastAsia="Calibri" w:hAnsi="Calibri" w:cs="Times New Roman"/>
        </w:rPr>
      </w:pPr>
      <w:r w:rsidRPr="00F62B12">
        <w:rPr>
          <w:rFonts w:ascii="Calibri" w:eastAsia="Calibri" w:hAnsi="Calibri" w:cs="Times New Roman"/>
        </w:rPr>
        <w:t xml:space="preserve">Každá Smluvní strana se zavazuje zachovávat mlčenlivost o těchto informacích beze změny po dobu trvání této Smlouvy a dále </w:t>
      </w:r>
      <w:r w:rsidRPr="00F62B12">
        <w:rPr>
          <w:rFonts w:ascii="Calibri" w:eastAsia="Calibri" w:hAnsi="Calibri" w:cs="Arial"/>
        </w:rPr>
        <w:t>po dobu dalších 10 let po skončení účinnosti ostatních ustanovení Smlouvy, ať k němu dojde z jakéhokoliv důvodu.</w:t>
      </w:r>
      <w:r w:rsidRPr="00F62B12">
        <w:rPr>
          <w:rFonts w:ascii="Calibri" w:eastAsia="Calibri" w:hAnsi="Calibri" w:cs="Times New Roman"/>
        </w:rPr>
        <w:t xml:space="preserve"> Tento odstavec se nevztahuje na povinnou nebo požadovanou publicitu podle podmínek Poskytovatele dotace.</w:t>
      </w:r>
    </w:p>
    <w:p w14:paraId="116B1DA8" w14:textId="77777777" w:rsidR="00776452" w:rsidRPr="00F62B12" w:rsidRDefault="00776452" w:rsidP="00776452">
      <w:pPr>
        <w:widowControl w:val="0"/>
        <w:suppressAutoHyphens/>
        <w:spacing w:after="0" w:line="240" w:lineRule="auto"/>
        <w:ind w:hanging="284"/>
        <w:rPr>
          <w:rFonts w:ascii="Calibri" w:eastAsia="Lucida Sans Unicode" w:hAnsi="Calibri" w:cs="Times New Roman"/>
          <w:b/>
          <w:bCs/>
          <w:kern w:val="1"/>
          <w:lang w:eastAsia="ar-SA"/>
        </w:rPr>
      </w:pPr>
    </w:p>
    <w:p w14:paraId="555D7EB6" w14:textId="77777777" w:rsidR="00776452" w:rsidRPr="008049C9" w:rsidRDefault="00776452" w:rsidP="00776452">
      <w:pPr>
        <w:widowControl w:val="0"/>
        <w:suppressAutoHyphens/>
        <w:spacing w:after="0" w:line="240" w:lineRule="auto"/>
        <w:ind w:hanging="284"/>
        <w:jc w:val="center"/>
        <w:rPr>
          <w:rFonts w:ascii="Calibri" w:eastAsia="Lucida Sans Unicode" w:hAnsi="Calibri" w:cs="Times New Roman"/>
          <w:b/>
          <w:bCs/>
          <w:kern w:val="1"/>
          <w:lang w:eastAsia="ar-SA"/>
        </w:rPr>
      </w:pPr>
      <w:r w:rsidRPr="00F62B12">
        <w:rPr>
          <w:rFonts w:ascii="Calibri" w:eastAsia="Lucida Sans Unicode" w:hAnsi="Calibri" w:cs="Times New Roman"/>
          <w:b/>
          <w:bCs/>
          <w:kern w:val="1"/>
          <w:lang w:eastAsia="ar-SA"/>
        </w:rPr>
        <w:t>VI.</w:t>
      </w:r>
    </w:p>
    <w:p w14:paraId="7ED2ED4C" w14:textId="77777777" w:rsidR="00776452" w:rsidRPr="008049C9" w:rsidRDefault="00776452" w:rsidP="00776452">
      <w:pPr>
        <w:widowControl w:val="0"/>
        <w:suppressAutoHyphens/>
        <w:spacing w:after="0" w:line="240" w:lineRule="auto"/>
        <w:ind w:hanging="284"/>
        <w:jc w:val="center"/>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t>Sankce</w:t>
      </w:r>
    </w:p>
    <w:p w14:paraId="7CE66D00" w14:textId="77777777" w:rsidR="00776452" w:rsidRDefault="00776452" w:rsidP="00776452">
      <w:pPr>
        <w:widowControl w:val="0"/>
        <w:numPr>
          <w:ilvl w:val="0"/>
          <w:numId w:val="21"/>
        </w:numPr>
        <w:suppressAutoHyphens/>
        <w:spacing w:before="240" w:after="200" w:line="240" w:lineRule="auto"/>
        <w:ind w:left="0" w:hanging="284"/>
        <w:contextualSpacing/>
        <w:rPr>
          <w:rFonts w:ascii="Calibri" w:eastAsia="Calibri" w:hAnsi="Calibri" w:cs="Times New Roman"/>
        </w:rPr>
      </w:pPr>
      <w:r w:rsidRPr="00BD16EE">
        <w:rPr>
          <w:rFonts w:ascii="Calibri" w:eastAsia="Calibri" w:hAnsi="Calibri" w:cs="Times New Roman"/>
        </w:rPr>
        <w:t>V případě, že v důsledku neplnění Implementačního plánu bude ze strany Poskytovatele Příjemci udělena jakákoliv sankce, j</w:t>
      </w:r>
      <w:r>
        <w:rPr>
          <w:rFonts w:ascii="Calibri" w:eastAsia="Calibri" w:hAnsi="Calibri" w:cs="Times New Roman"/>
        </w:rPr>
        <w:t>sou Další účastníci povin</w:t>
      </w:r>
      <w:r w:rsidRPr="00BD16EE">
        <w:rPr>
          <w:rFonts w:ascii="Calibri" w:eastAsia="Calibri" w:hAnsi="Calibri" w:cs="Times New Roman"/>
        </w:rPr>
        <w:t>n</w:t>
      </w:r>
      <w:r>
        <w:rPr>
          <w:rFonts w:ascii="Calibri" w:eastAsia="Calibri" w:hAnsi="Calibri" w:cs="Times New Roman"/>
        </w:rPr>
        <w:t>i</w:t>
      </w:r>
      <w:r w:rsidRPr="00BD16EE">
        <w:rPr>
          <w:rFonts w:ascii="Calibri" w:eastAsia="Calibri" w:hAnsi="Calibri" w:cs="Times New Roman"/>
        </w:rPr>
        <w:t xml:space="preserve"> odpovídající část plné výše sankce (včetně účtovaných úroků, smluvních sankcí, odvodů za porušení rozpočtové kázně apod.) uhradit Příjemci dle výše způsobilých výdajů na projektu a míře, jakou přispěli k udělení sankce. V pochybnostech se má za to, že se všechny strany podílely na udělení sankce stejnou měrou.</w:t>
      </w:r>
    </w:p>
    <w:p w14:paraId="2EF08486" w14:textId="77777777" w:rsidR="00776452" w:rsidRDefault="00776452" w:rsidP="00776452">
      <w:pPr>
        <w:widowControl w:val="0"/>
        <w:suppressAutoHyphens/>
        <w:spacing w:before="240" w:after="200" w:line="240" w:lineRule="auto"/>
        <w:contextualSpacing/>
        <w:rPr>
          <w:rFonts w:ascii="Calibri" w:eastAsia="Calibri" w:hAnsi="Calibri" w:cs="Times New Roman"/>
        </w:rPr>
      </w:pPr>
    </w:p>
    <w:p w14:paraId="5C18D554" w14:textId="77777777" w:rsidR="00776452" w:rsidRPr="00F62B12" w:rsidRDefault="00776452" w:rsidP="00776452">
      <w:pPr>
        <w:widowControl w:val="0"/>
        <w:numPr>
          <w:ilvl w:val="0"/>
          <w:numId w:val="21"/>
        </w:numPr>
        <w:suppressAutoHyphens/>
        <w:spacing w:before="240" w:after="200" w:line="240" w:lineRule="auto"/>
        <w:ind w:left="0" w:hanging="284"/>
        <w:contextualSpacing/>
        <w:rPr>
          <w:rFonts w:ascii="Calibri" w:eastAsia="Calibri" w:hAnsi="Calibri" w:cs="Times New Roman"/>
        </w:rPr>
      </w:pPr>
      <w:r w:rsidRPr="00F62B12">
        <w:rPr>
          <w:rFonts w:ascii="Calibri" w:eastAsia="Calibri" w:hAnsi="Calibri" w:cs="Times New Roman"/>
        </w:rPr>
        <w:t>V případě neplnění povinností podle této Smlouvy je kterákoli ze Smluvních stran oprávněna formou písemného oznámení vyzvat Smluvní stranu, která porušuje povinnosti, k upuštění od porušování povinností a nápravě stavu vzniklého porušením povinnosti podle Smlouvy. V případě, že Smluvní strana, která porušila/porušuje povinnosti, nenapraví vzniklý stav, nebo neupustí od porušování povinnosti, je tato Smluvní strana povinna zaplatit poškozené Smluvní straně/Smluvním stranám smluvní pokutu ve výši 10 000,-Kč za každé porušení povinnosti a/nebo stavu vzniklého porušením povinnosti, a to i opakovaně.</w:t>
      </w:r>
    </w:p>
    <w:p w14:paraId="3FBCF0C0" w14:textId="77777777" w:rsidR="00776452" w:rsidRPr="00F62B12" w:rsidRDefault="00776452" w:rsidP="00776452">
      <w:pPr>
        <w:spacing w:after="200" w:line="240" w:lineRule="auto"/>
        <w:ind w:hanging="284"/>
        <w:contextualSpacing/>
        <w:rPr>
          <w:rFonts w:ascii="Calibri" w:eastAsia="Calibri" w:hAnsi="Calibri" w:cs="Times New Roman"/>
        </w:rPr>
      </w:pPr>
    </w:p>
    <w:p w14:paraId="4E6CCB8B" w14:textId="77777777" w:rsidR="00776452" w:rsidRPr="008049C9" w:rsidRDefault="00776452" w:rsidP="00776452">
      <w:pPr>
        <w:widowControl w:val="0"/>
        <w:numPr>
          <w:ilvl w:val="0"/>
          <w:numId w:val="21"/>
        </w:numPr>
        <w:suppressAutoHyphens/>
        <w:spacing w:before="240" w:after="200" w:line="240" w:lineRule="auto"/>
        <w:ind w:left="0" w:hanging="284"/>
        <w:contextualSpacing/>
        <w:rPr>
          <w:rFonts w:ascii="Calibri" w:eastAsia="Calibri" w:hAnsi="Calibri" w:cs="Times New Roman"/>
        </w:rPr>
      </w:pPr>
      <w:r w:rsidRPr="00F62B12">
        <w:rPr>
          <w:rFonts w:ascii="Calibri" w:eastAsia="Calibri" w:hAnsi="Calibri" w:cs="Times New Roman"/>
        </w:rPr>
        <w:t>Zaplacením smluvní pokuty nejsou dotčeny nároky Smluvních stran na náhradu škody v částce</w:t>
      </w:r>
      <w:r w:rsidRPr="008049C9">
        <w:rPr>
          <w:rFonts w:ascii="Calibri" w:eastAsia="Calibri" w:hAnsi="Calibri" w:cs="Times New Roman"/>
        </w:rPr>
        <w:t xml:space="preserve"> převyšující hodnotu zaplacené smluvní pokuty a není způsoben zánik závazku, kterému se smluvní pokuta vztahuje. Smluvní pokuta musí být uhrazena do dvaceti (20) dnů ode dne, kdy Smluvní strana obdrží žádost od dotčené Smluvní strany vyzývající k zaplacení smluvní pokuty. </w:t>
      </w:r>
    </w:p>
    <w:p w14:paraId="3EC96C83" w14:textId="77777777" w:rsidR="00776452" w:rsidRPr="008049C9" w:rsidRDefault="00776452" w:rsidP="00776452">
      <w:pPr>
        <w:spacing w:after="0" w:line="240" w:lineRule="auto"/>
        <w:ind w:hanging="284"/>
        <w:contextualSpacing/>
        <w:rPr>
          <w:rFonts w:ascii="Calibri" w:eastAsia="Calibri" w:hAnsi="Calibri" w:cs="Times New Roman"/>
        </w:rPr>
      </w:pPr>
    </w:p>
    <w:p w14:paraId="5054AF56" w14:textId="77777777" w:rsidR="00776452" w:rsidRPr="008049C9" w:rsidRDefault="00776452" w:rsidP="00776452">
      <w:pPr>
        <w:spacing w:after="0" w:line="240" w:lineRule="auto"/>
        <w:ind w:hanging="284"/>
        <w:contextualSpacing/>
        <w:rPr>
          <w:rFonts w:ascii="Calibri" w:eastAsia="Calibri" w:hAnsi="Calibri" w:cs="Times New Roman"/>
        </w:rPr>
      </w:pPr>
    </w:p>
    <w:p w14:paraId="5BD75699" w14:textId="77777777" w:rsidR="00776452" w:rsidRPr="008049C9" w:rsidRDefault="00776452" w:rsidP="00776452">
      <w:pPr>
        <w:spacing w:after="0" w:line="240" w:lineRule="auto"/>
        <w:ind w:hanging="284"/>
        <w:contextualSpacing/>
        <w:jc w:val="center"/>
        <w:rPr>
          <w:rFonts w:ascii="Calibri" w:eastAsia="Calibri" w:hAnsi="Calibri" w:cs="Times New Roman"/>
          <w:b/>
        </w:rPr>
      </w:pPr>
      <w:r w:rsidRPr="008049C9">
        <w:rPr>
          <w:rFonts w:ascii="Calibri" w:eastAsia="Calibri" w:hAnsi="Calibri" w:cs="Times New Roman"/>
          <w:b/>
        </w:rPr>
        <w:t>VII.</w:t>
      </w:r>
    </w:p>
    <w:p w14:paraId="6F221C0C" w14:textId="77777777" w:rsidR="00776452" w:rsidRPr="008049C9" w:rsidRDefault="00776452" w:rsidP="00776452">
      <w:pPr>
        <w:spacing w:after="0" w:line="240" w:lineRule="auto"/>
        <w:ind w:hanging="284"/>
        <w:contextualSpacing/>
        <w:jc w:val="center"/>
        <w:rPr>
          <w:rFonts w:ascii="Calibri" w:eastAsia="Calibri" w:hAnsi="Calibri" w:cs="Times New Roman"/>
          <w:b/>
        </w:rPr>
      </w:pPr>
      <w:r w:rsidRPr="008049C9">
        <w:rPr>
          <w:rFonts w:ascii="Calibri" w:eastAsia="Calibri" w:hAnsi="Calibri" w:cs="Times New Roman"/>
          <w:b/>
        </w:rPr>
        <w:t>Následky porušení povinností a odpovědnost za škodu</w:t>
      </w:r>
    </w:p>
    <w:p w14:paraId="0A9AEADA" w14:textId="77777777" w:rsidR="00776452" w:rsidRPr="008049C9" w:rsidRDefault="00776452" w:rsidP="00776452">
      <w:pPr>
        <w:widowControl w:val="0"/>
        <w:numPr>
          <w:ilvl w:val="0"/>
          <w:numId w:val="20"/>
        </w:numPr>
        <w:suppressAutoHyphens/>
        <w:spacing w:after="0" w:line="240" w:lineRule="auto"/>
        <w:ind w:left="0" w:hanging="284"/>
        <w:contextualSpacing/>
        <w:rPr>
          <w:rFonts w:ascii="Calibri" w:eastAsia="Calibri" w:hAnsi="Calibri" w:cs="Times New Roman"/>
        </w:rPr>
      </w:pPr>
      <w:r w:rsidRPr="008049C9">
        <w:rPr>
          <w:rFonts w:ascii="Calibri" w:eastAsia="Calibri" w:hAnsi="Calibri" w:cs="Times New Roman"/>
        </w:rPr>
        <w:t>Žádná Smluvní strana nebude považována za Smluvní stranu porušující tuto Smlouvu, pokud toto porušení je způsobeno vyšší mocí. Jakýkoli případ vyšší moci oznámí Smluvní strana neprodle</w:t>
      </w:r>
      <w:r>
        <w:rPr>
          <w:rFonts w:ascii="Calibri" w:eastAsia="Calibri" w:hAnsi="Calibri" w:cs="Times New Roman"/>
        </w:rPr>
        <w:t xml:space="preserve">ně bez zbytečného odkladu zbylým </w:t>
      </w:r>
      <w:r w:rsidRPr="008049C9">
        <w:rPr>
          <w:rFonts w:ascii="Calibri" w:eastAsia="Calibri" w:hAnsi="Calibri" w:cs="Times New Roman"/>
        </w:rPr>
        <w:t>Smluvní</w:t>
      </w:r>
      <w:r>
        <w:rPr>
          <w:rFonts w:ascii="Calibri" w:eastAsia="Calibri" w:hAnsi="Calibri" w:cs="Times New Roman"/>
        </w:rPr>
        <w:t>m stranám</w:t>
      </w:r>
      <w:r w:rsidRPr="008049C9">
        <w:rPr>
          <w:rFonts w:ascii="Calibri" w:eastAsia="Calibri" w:hAnsi="Calibri" w:cs="Times New Roman"/>
        </w:rPr>
        <w:t xml:space="preserve">. </w:t>
      </w:r>
    </w:p>
    <w:p w14:paraId="743075A6" w14:textId="77777777" w:rsidR="00776452" w:rsidRPr="008049C9" w:rsidRDefault="00776452" w:rsidP="00776452">
      <w:pPr>
        <w:spacing w:after="0" w:line="276" w:lineRule="auto"/>
        <w:ind w:hanging="284"/>
        <w:contextualSpacing/>
        <w:rPr>
          <w:rFonts w:ascii="Calibri" w:eastAsia="Calibri" w:hAnsi="Calibri" w:cs="Times New Roman"/>
        </w:rPr>
      </w:pPr>
    </w:p>
    <w:p w14:paraId="021E53F3" w14:textId="77777777" w:rsidR="00776452" w:rsidRPr="008049C9" w:rsidRDefault="00776452" w:rsidP="00776452">
      <w:pPr>
        <w:widowControl w:val="0"/>
        <w:numPr>
          <w:ilvl w:val="0"/>
          <w:numId w:val="20"/>
        </w:numPr>
        <w:suppressAutoHyphens/>
        <w:spacing w:after="0" w:line="240" w:lineRule="auto"/>
        <w:ind w:left="0" w:hanging="284"/>
        <w:contextualSpacing/>
        <w:rPr>
          <w:rFonts w:ascii="Calibri" w:eastAsia="Calibri" w:hAnsi="Calibri" w:cs="Times New Roman"/>
        </w:rPr>
      </w:pPr>
      <w:r>
        <w:rPr>
          <w:rFonts w:ascii="Calibri" w:eastAsia="Calibri" w:hAnsi="Calibri" w:cs="Arial"/>
        </w:rPr>
        <w:t xml:space="preserve">Další účastníci odpovídají </w:t>
      </w:r>
      <w:r w:rsidRPr="008049C9">
        <w:rPr>
          <w:rFonts w:ascii="Calibri" w:eastAsia="Calibri" w:hAnsi="Calibri" w:cs="Arial"/>
        </w:rPr>
        <w:t>Příjemci za škodu způsobenou porušením povinností vyplývají</w:t>
      </w:r>
      <w:r>
        <w:rPr>
          <w:rFonts w:ascii="Calibri" w:eastAsia="Calibri" w:hAnsi="Calibri" w:cs="Arial"/>
        </w:rPr>
        <w:t xml:space="preserve">cích z této Smlouvy a Pravidel. </w:t>
      </w:r>
    </w:p>
    <w:p w14:paraId="60874174" w14:textId="77777777" w:rsidR="00776452" w:rsidRPr="008049C9" w:rsidRDefault="00776452" w:rsidP="00776452">
      <w:pPr>
        <w:spacing w:after="0" w:line="276" w:lineRule="auto"/>
        <w:ind w:hanging="284"/>
        <w:contextualSpacing/>
        <w:rPr>
          <w:rFonts w:ascii="Calibri" w:eastAsia="Calibri" w:hAnsi="Calibri" w:cs="Times New Roman"/>
        </w:rPr>
      </w:pPr>
    </w:p>
    <w:p w14:paraId="3FE6F77A" w14:textId="77777777" w:rsidR="00776452" w:rsidRPr="008049C9" w:rsidRDefault="00776452" w:rsidP="00776452">
      <w:pPr>
        <w:widowControl w:val="0"/>
        <w:numPr>
          <w:ilvl w:val="0"/>
          <w:numId w:val="20"/>
        </w:numPr>
        <w:suppressAutoHyphens/>
        <w:spacing w:after="0" w:line="240" w:lineRule="auto"/>
        <w:ind w:left="0" w:hanging="284"/>
        <w:contextualSpacing/>
        <w:rPr>
          <w:rFonts w:ascii="Calibri" w:eastAsia="Calibri" w:hAnsi="Calibri" w:cs="Times New Roman"/>
        </w:rPr>
      </w:pPr>
      <w:r>
        <w:rPr>
          <w:rFonts w:ascii="Calibri" w:eastAsia="Calibri" w:hAnsi="Calibri" w:cs="Times New Roman"/>
        </w:rPr>
        <w:t>Další účastníci berou</w:t>
      </w:r>
      <w:r w:rsidRPr="008049C9">
        <w:rPr>
          <w:rFonts w:ascii="Calibri" w:eastAsia="Calibri" w:hAnsi="Calibri" w:cs="Times New Roman"/>
        </w:rPr>
        <w:t xml:space="preserve"> na vědomí, že pokud porušení některé z povinností Dalším účastníkem má za následek uplatnění sankčních ustanovení ze strany Poskytovatele vůči Příjemci a </w:t>
      </w:r>
      <w:r w:rsidRPr="008049C9">
        <w:rPr>
          <w:rFonts w:ascii="Calibri" w:eastAsia="Calibri" w:hAnsi="Calibri" w:cs="Arial"/>
          <w:color w:val="000000"/>
        </w:rPr>
        <w:t>udělení pokuty nebo jiné peněžité sankce, je Další účastník</w:t>
      </w:r>
      <w:r>
        <w:rPr>
          <w:rFonts w:ascii="Calibri" w:eastAsia="Calibri" w:hAnsi="Calibri" w:cs="Arial"/>
          <w:color w:val="000000"/>
        </w:rPr>
        <w:t xml:space="preserve"> porušující některou z povin</w:t>
      </w:r>
      <w:r w:rsidRPr="008049C9">
        <w:rPr>
          <w:rFonts w:ascii="Calibri" w:eastAsia="Calibri" w:hAnsi="Calibri" w:cs="Arial"/>
          <w:color w:val="000000"/>
        </w:rPr>
        <w:t>n</w:t>
      </w:r>
      <w:r>
        <w:rPr>
          <w:rFonts w:ascii="Calibri" w:eastAsia="Calibri" w:hAnsi="Calibri" w:cs="Arial"/>
          <w:color w:val="000000"/>
        </w:rPr>
        <w:t>ostí</w:t>
      </w:r>
      <w:r w:rsidRPr="008049C9">
        <w:rPr>
          <w:rFonts w:ascii="Calibri" w:eastAsia="Calibri" w:hAnsi="Calibri" w:cs="Arial"/>
          <w:color w:val="000000"/>
        </w:rPr>
        <w:t xml:space="preserve"> tuto sankci Příjemci v plné výši nahradit, a to do 30 dnů od doručení písemné výzvy k úhradě. </w:t>
      </w:r>
    </w:p>
    <w:p w14:paraId="1AB0E93A" w14:textId="77777777" w:rsidR="00776452" w:rsidRPr="008049C9" w:rsidRDefault="00776452" w:rsidP="00776452">
      <w:pPr>
        <w:spacing w:after="0" w:line="240" w:lineRule="auto"/>
        <w:ind w:hanging="284"/>
        <w:contextualSpacing/>
        <w:rPr>
          <w:rFonts w:ascii="Calibri" w:eastAsia="Calibri" w:hAnsi="Calibri" w:cs="Times New Roman"/>
          <w:b/>
        </w:rPr>
      </w:pPr>
    </w:p>
    <w:p w14:paraId="0FF00AC0" w14:textId="77777777" w:rsidR="00776452" w:rsidRDefault="00776452" w:rsidP="00776452">
      <w:pPr>
        <w:spacing w:after="0" w:line="240" w:lineRule="auto"/>
        <w:ind w:hanging="284"/>
        <w:contextualSpacing/>
        <w:jc w:val="center"/>
        <w:rPr>
          <w:rFonts w:ascii="Calibri" w:eastAsia="Calibri" w:hAnsi="Calibri" w:cs="Times New Roman"/>
          <w:b/>
        </w:rPr>
      </w:pPr>
    </w:p>
    <w:p w14:paraId="06D90F77" w14:textId="77777777" w:rsidR="00776452" w:rsidRDefault="00776452" w:rsidP="00776452">
      <w:pPr>
        <w:spacing w:after="0" w:line="240" w:lineRule="auto"/>
        <w:ind w:hanging="284"/>
        <w:contextualSpacing/>
        <w:jc w:val="center"/>
        <w:rPr>
          <w:rFonts w:ascii="Calibri" w:eastAsia="Calibri" w:hAnsi="Calibri" w:cs="Times New Roman"/>
          <w:b/>
        </w:rPr>
      </w:pPr>
    </w:p>
    <w:p w14:paraId="5033060C" w14:textId="0B021B68" w:rsidR="00776452" w:rsidRDefault="00776452" w:rsidP="00776452">
      <w:pPr>
        <w:spacing w:after="0" w:line="240" w:lineRule="auto"/>
        <w:ind w:hanging="284"/>
        <w:contextualSpacing/>
        <w:jc w:val="center"/>
        <w:rPr>
          <w:rFonts w:ascii="Calibri" w:eastAsia="Calibri" w:hAnsi="Calibri" w:cs="Times New Roman"/>
          <w:b/>
        </w:rPr>
      </w:pPr>
    </w:p>
    <w:p w14:paraId="6AE21EEC" w14:textId="77777777" w:rsidR="00A82D90" w:rsidRDefault="00A82D90" w:rsidP="00776452">
      <w:pPr>
        <w:spacing w:after="0" w:line="240" w:lineRule="auto"/>
        <w:ind w:hanging="284"/>
        <w:contextualSpacing/>
        <w:jc w:val="center"/>
        <w:rPr>
          <w:rFonts w:ascii="Calibri" w:eastAsia="Calibri" w:hAnsi="Calibri" w:cs="Times New Roman"/>
          <w:b/>
        </w:rPr>
      </w:pPr>
    </w:p>
    <w:p w14:paraId="507BCE94" w14:textId="77777777" w:rsidR="00776452" w:rsidRPr="008049C9" w:rsidRDefault="00776452" w:rsidP="00776452">
      <w:pPr>
        <w:spacing w:after="0" w:line="240" w:lineRule="auto"/>
        <w:ind w:hanging="284"/>
        <w:contextualSpacing/>
        <w:jc w:val="center"/>
        <w:rPr>
          <w:rFonts w:ascii="Calibri" w:eastAsia="Calibri" w:hAnsi="Calibri" w:cs="Times New Roman"/>
          <w:b/>
        </w:rPr>
      </w:pPr>
      <w:r w:rsidRPr="008049C9">
        <w:rPr>
          <w:rFonts w:ascii="Calibri" w:eastAsia="Calibri" w:hAnsi="Calibri" w:cs="Times New Roman"/>
          <w:b/>
        </w:rPr>
        <w:t>VIII.</w:t>
      </w:r>
    </w:p>
    <w:p w14:paraId="38B0E3E6" w14:textId="77777777" w:rsidR="00776452" w:rsidRPr="008049C9" w:rsidRDefault="00776452" w:rsidP="00776452">
      <w:pPr>
        <w:widowControl w:val="0"/>
        <w:suppressAutoHyphens/>
        <w:spacing w:after="0" w:line="240" w:lineRule="auto"/>
        <w:ind w:hanging="284"/>
        <w:jc w:val="center"/>
        <w:rPr>
          <w:rFonts w:ascii="Calibri" w:eastAsia="Lucida Sans Unicode" w:hAnsi="Calibri" w:cs="Times New Roman"/>
          <w:b/>
          <w:bCs/>
          <w:kern w:val="1"/>
          <w:lang w:eastAsia="ar-SA"/>
        </w:rPr>
      </w:pPr>
      <w:r w:rsidRPr="008049C9">
        <w:rPr>
          <w:rFonts w:ascii="Calibri" w:eastAsia="Lucida Sans Unicode" w:hAnsi="Calibri" w:cs="Times New Roman"/>
          <w:b/>
          <w:bCs/>
          <w:kern w:val="1"/>
          <w:lang w:eastAsia="ar-SA"/>
        </w:rPr>
        <w:t>Závěrečná ustanovení</w:t>
      </w:r>
    </w:p>
    <w:p w14:paraId="7523CA1D" w14:textId="77777777" w:rsidR="00776452" w:rsidRPr="00852E7B" w:rsidRDefault="00776452" w:rsidP="00776452">
      <w:pPr>
        <w:widowControl w:val="0"/>
        <w:numPr>
          <w:ilvl w:val="0"/>
          <w:numId w:val="14"/>
        </w:numPr>
        <w:suppressAutoHyphens/>
        <w:spacing w:before="240" w:after="0" w:line="240" w:lineRule="auto"/>
        <w:ind w:left="0" w:hanging="284"/>
        <w:outlineLvl w:val="1"/>
        <w:rPr>
          <w:rFonts w:ascii="Calibri" w:eastAsia="Times New Roman" w:hAnsi="Calibri" w:cs="Times New Roman"/>
          <w:color w:val="000000"/>
        </w:rPr>
      </w:pPr>
      <w:r w:rsidRPr="00852E7B">
        <w:rPr>
          <w:rFonts w:ascii="Calibri" w:eastAsia="Times New Roman" w:hAnsi="Calibri" w:cs="Times New Roman"/>
          <w:color w:val="000000"/>
        </w:rPr>
        <w:t xml:space="preserve">Smlouva nabývá platnosti a účinnosti dnem doručení </w:t>
      </w:r>
      <w:r>
        <w:rPr>
          <w:rFonts w:ascii="Calibri" w:eastAsia="Times New Roman" w:hAnsi="Calibri" w:cs="Times New Roman"/>
          <w:color w:val="000000"/>
        </w:rPr>
        <w:t>troj</w:t>
      </w:r>
      <w:r w:rsidRPr="00852E7B">
        <w:rPr>
          <w:rFonts w:ascii="Calibri" w:eastAsia="Times New Roman" w:hAnsi="Calibri" w:cs="Times New Roman"/>
          <w:color w:val="000000"/>
        </w:rPr>
        <w:t xml:space="preserve">stranně podepsané Smlouvy všem Smluvním stranám. </w:t>
      </w:r>
    </w:p>
    <w:p w14:paraId="790DB963" w14:textId="77777777" w:rsidR="00776452" w:rsidRPr="00852E7B" w:rsidRDefault="00776452" w:rsidP="00776452">
      <w:pPr>
        <w:widowControl w:val="0"/>
        <w:numPr>
          <w:ilvl w:val="0"/>
          <w:numId w:val="14"/>
        </w:numPr>
        <w:suppressAutoHyphens/>
        <w:spacing w:before="240" w:after="0" w:line="240" w:lineRule="auto"/>
        <w:ind w:left="0" w:hanging="284"/>
        <w:outlineLvl w:val="1"/>
        <w:rPr>
          <w:rFonts w:ascii="Calibri" w:eastAsia="Times New Roman" w:hAnsi="Calibri" w:cs="Times New Roman"/>
          <w:color w:val="000000"/>
        </w:rPr>
      </w:pPr>
      <w:r w:rsidRPr="00852E7B">
        <w:rPr>
          <w:rFonts w:ascii="Calibri" w:eastAsia="Times New Roman" w:hAnsi="Calibri" w:cs="Times New Roman"/>
          <w:color w:val="000000"/>
        </w:rPr>
        <w:t>Smlouva se uzavírá na dobu určitou - na dobu nejzazšího termínu stanoveného Implementačním plánem, a to 5 let od nabytí účinnosti této Smlouvy.  Ustanovení článků IV – VII. Smlouvy zůstávají platná a účinná i po skončení doby, na kterou je Smlouva uzavřena. Stejně tak zachovávají platná a účinná i jakákoliv dalších ustanovení Smlouvy, u nichž je zřejmé, že bylo úmyslem Smluvních stran, aby nepozbyly platnosti a účinnosti okamžikem uplynutí doby, na kterou je Smlouva uzavřena.</w:t>
      </w:r>
    </w:p>
    <w:p w14:paraId="1E8DF8BD" w14:textId="77777777" w:rsidR="00776452" w:rsidRPr="008049C9" w:rsidRDefault="00776452" w:rsidP="00776452">
      <w:pPr>
        <w:widowControl w:val="0"/>
        <w:numPr>
          <w:ilvl w:val="0"/>
          <w:numId w:val="14"/>
        </w:numPr>
        <w:suppressAutoHyphens/>
        <w:spacing w:before="240" w:after="0" w:line="240" w:lineRule="auto"/>
        <w:ind w:left="0" w:hanging="284"/>
        <w:outlineLvl w:val="1"/>
        <w:rPr>
          <w:rFonts w:ascii="Calibri" w:eastAsia="Times New Roman" w:hAnsi="Calibri" w:cs="Times New Roman"/>
          <w:color w:val="000000"/>
        </w:rPr>
      </w:pPr>
      <w:r w:rsidRPr="00852E7B">
        <w:rPr>
          <w:rFonts w:ascii="Calibri" w:eastAsia="Times New Roman" w:hAnsi="Calibri" w:cs="Times New Roman"/>
          <w:color w:val="000000"/>
        </w:rPr>
        <w:t>Smluvní strany jsou povinny vzájemně se písemně informovat o každé změně údajů uvedených ve</w:t>
      </w:r>
      <w:r w:rsidRPr="008049C9">
        <w:rPr>
          <w:rFonts w:ascii="Calibri" w:eastAsia="Times New Roman" w:hAnsi="Calibri" w:cs="Times New Roman"/>
          <w:color w:val="000000"/>
        </w:rPr>
        <w:t xml:space="preserve"> Smlouvě či jejích přílohách, jakož i o jakýchkoliv skutečnostech relevantních pro plnění ustanovení Smlouvy a postupu Poskytovatele vůči Příjemci ve vztahu k Projektu. </w:t>
      </w:r>
    </w:p>
    <w:p w14:paraId="478C222F" w14:textId="77777777" w:rsidR="00776452" w:rsidRPr="008049C9" w:rsidRDefault="00776452" w:rsidP="00776452">
      <w:pPr>
        <w:widowControl w:val="0"/>
        <w:numPr>
          <w:ilvl w:val="0"/>
          <w:numId w:val="14"/>
        </w:numPr>
        <w:suppressAutoHyphens/>
        <w:spacing w:before="240" w:after="0" w:line="240" w:lineRule="auto"/>
        <w:ind w:left="0" w:hanging="284"/>
        <w:outlineLvl w:val="1"/>
        <w:rPr>
          <w:rFonts w:ascii="Calibri" w:eastAsia="Times New Roman" w:hAnsi="Calibri" w:cs="Times New Roman"/>
          <w:color w:val="000000"/>
        </w:rPr>
      </w:pPr>
      <w:r w:rsidRPr="008049C9">
        <w:rPr>
          <w:rFonts w:ascii="Calibri" w:eastAsia="Times New Roman" w:hAnsi="Calibri" w:cs="Times New Roman"/>
        </w:rPr>
        <w:t>Smluvní strany se zavazují kdykoliv v průběhu trvání tohoto Smluvního vztahu uzavřít mezi sebou potřebný dodatek k této Smlouvě, reagující na nastalou situaci, kterou je třeba smluvně ošetřit.</w:t>
      </w:r>
      <w:r w:rsidRPr="008049C9">
        <w:rPr>
          <w:rFonts w:ascii="Calibri" w:eastAsia="Times New Roman" w:hAnsi="Calibri" w:cs="Times New Roman"/>
          <w:color w:val="000000"/>
        </w:rPr>
        <w:t xml:space="preserve"> </w:t>
      </w:r>
    </w:p>
    <w:p w14:paraId="66082F67" w14:textId="77777777" w:rsidR="00776452" w:rsidRPr="008049C9" w:rsidRDefault="00776452" w:rsidP="00776452">
      <w:pPr>
        <w:widowControl w:val="0"/>
        <w:numPr>
          <w:ilvl w:val="0"/>
          <w:numId w:val="14"/>
        </w:numPr>
        <w:suppressAutoHyphens/>
        <w:spacing w:before="240" w:after="0" w:line="240" w:lineRule="auto"/>
        <w:ind w:left="0" w:hanging="284"/>
        <w:outlineLvl w:val="1"/>
        <w:rPr>
          <w:rFonts w:ascii="Calibri" w:eastAsia="Times New Roman" w:hAnsi="Calibri" w:cs="Times New Roman"/>
          <w:color w:val="000000"/>
        </w:rPr>
      </w:pPr>
      <w:r w:rsidRPr="008049C9">
        <w:rPr>
          <w:rFonts w:ascii="Calibri" w:eastAsia="Times New Roman" w:hAnsi="Calibri" w:cs="Times New Roman"/>
        </w:rPr>
        <w:t xml:space="preserve">Změny a doplňky této Smlouvy lze provádět pouze písemnými a vzestupně očíslovanými dodatky, přičemž každá ze Smluvních stran se zavazuje </w:t>
      </w:r>
      <w:r>
        <w:rPr>
          <w:rFonts w:ascii="Calibri" w:eastAsia="Times New Roman" w:hAnsi="Calibri" w:cs="Times New Roman"/>
        </w:rPr>
        <w:t xml:space="preserve">spravedlivě zvážit návrhy zbylých </w:t>
      </w:r>
      <w:r w:rsidRPr="008049C9">
        <w:rPr>
          <w:rFonts w:ascii="Calibri" w:eastAsia="Times New Roman" w:hAnsi="Calibri" w:cs="Times New Roman"/>
        </w:rPr>
        <w:t>Smluvní</w:t>
      </w:r>
      <w:r>
        <w:rPr>
          <w:rFonts w:ascii="Calibri" w:eastAsia="Times New Roman" w:hAnsi="Calibri" w:cs="Times New Roman"/>
        </w:rPr>
        <w:t>ch stran</w:t>
      </w:r>
      <w:r w:rsidRPr="008049C9">
        <w:rPr>
          <w:rFonts w:ascii="Calibri" w:eastAsia="Times New Roman" w:hAnsi="Calibri" w:cs="Times New Roman"/>
        </w:rPr>
        <w:t>.</w:t>
      </w:r>
    </w:p>
    <w:p w14:paraId="630F6373" w14:textId="77777777" w:rsidR="00776452" w:rsidRPr="008049C9" w:rsidRDefault="00776452" w:rsidP="00776452">
      <w:pPr>
        <w:widowControl w:val="0"/>
        <w:numPr>
          <w:ilvl w:val="0"/>
          <w:numId w:val="14"/>
        </w:numPr>
        <w:suppressAutoHyphens/>
        <w:spacing w:before="240" w:after="0" w:line="240" w:lineRule="auto"/>
        <w:ind w:left="0" w:hanging="284"/>
        <w:outlineLvl w:val="1"/>
        <w:rPr>
          <w:rFonts w:ascii="Calibri" w:eastAsia="Times New Roman" w:hAnsi="Calibri" w:cs="Times New Roman"/>
          <w:color w:val="000000"/>
        </w:rPr>
      </w:pPr>
      <w:r w:rsidRPr="008049C9">
        <w:rPr>
          <w:rFonts w:ascii="Calibri" w:eastAsia="Times New Roman" w:hAnsi="Calibri" w:cs="Times New Roman"/>
          <w:color w:val="000000"/>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výsledku (v maximálním možném rozsahu v souladu s právními předpisy), jako bylo zamýšleno ustanovením, jež bylo shledáno neplatným či nevymahatelným.</w:t>
      </w:r>
    </w:p>
    <w:p w14:paraId="6067153B" w14:textId="77777777" w:rsidR="00776452" w:rsidRPr="008049C9" w:rsidRDefault="00776452" w:rsidP="00776452">
      <w:pPr>
        <w:widowControl w:val="0"/>
        <w:numPr>
          <w:ilvl w:val="0"/>
          <w:numId w:val="14"/>
        </w:numPr>
        <w:suppressAutoHyphens/>
        <w:spacing w:before="240" w:after="0" w:line="240" w:lineRule="auto"/>
        <w:ind w:left="0" w:hanging="284"/>
        <w:outlineLvl w:val="1"/>
        <w:rPr>
          <w:rFonts w:ascii="Calibri" w:eastAsia="Times New Roman" w:hAnsi="Calibri" w:cs="Times New Roman"/>
          <w:color w:val="000000"/>
        </w:rPr>
      </w:pPr>
      <w:r w:rsidRPr="008049C9">
        <w:rPr>
          <w:rFonts w:ascii="Calibri" w:eastAsia="Times New Roman" w:hAnsi="Calibri" w:cs="Times New Roman"/>
          <w:color w:val="000000"/>
        </w:rPr>
        <w:t>Ta</w:t>
      </w:r>
      <w:r>
        <w:rPr>
          <w:rFonts w:ascii="Calibri" w:eastAsia="Times New Roman" w:hAnsi="Calibri" w:cs="Times New Roman"/>
          <w:color w:val="000000"/>
        </w:rPr>
        <w:t>to Smlouva je vyhotovena ve třech</w:t>
      </w:r>
      <w:r w:rsidRPr="008049C9">
        <w:rPr>
          <w:rFonts w:ascii="Calibri" w:eastAsia="Times New Roman" w:hAnsi="Calibri" w:cs="Times New Roman"/>
          <w:color w:val="000000"/>
        </w:rPr>
        <w:t xml:space="preserve"> (</w:t>
      </w:r>
      <w:r>
        <w:rPr>
          <w:rFonts w:ascii="Calibri" w:eastAsia="Times New Roman" w:hAnsi="Calibri" w:cs="Times New Roman"/>
          <w:color w:val="000000"/>
        </w:rPr>
        <w:t>3</w:t>
      </w:r>
      <w:r w:rsidRPr="008049C9">
        <w:rPr>
          <w:rFonts w:ascii="Calibri" w:eastAsia="Times New Roman" w:hAnsi="Calibri" w:cs="Times New Roman"/>
          <w:color w:val="000000"/>
        </w:rPr>
        <w:t xml:space="preserve">) rovnocenných vyhotoveních, z nichž každé má platnost originálu. Každá Smluvní strana obdrží po jednom vyhotovení. </w:t>
      </w:r>
    </w:p>
    <w:p w14:paraId="6DA66C32" w14:textId="11D2B181" w:rsidR="00776452" w:rsidRPr="006D03BE" w:rsidRDefault="00505599" w:rsidP="00776452">
      <w:pPr>
        <w:widowControl w:val="0"/>
        <w:numPr>
          <w:ilvl w:val="0"/>
          <w:numId w:val="14"/>
        </w:numPr>
        <w:suppressAutoHyphens/>
        <w:spacing w:before="240" w:after="0" w:line="240" w:lineRule="auto"/>
        <w:ind w:left="0" w:hanging="284"/>
        <w:outlineLvl w:val="1"/>
        <w:rPr>
          <w:rFonts w:ascii="Calibri" w:eastAsia="Times New Roman" w:hAnsi="Calibri" w:cs="Times New Roman"/>
          <w:color w:val="000000"/>
        </w:rPr>
      </w:pPr>
      <w:r>
        <w:rPr>
          <w:rFonts w:ascii="Calibri" w:eastAsia="Times New Roman" w:hAnsi="Calibri" w:cs="Times New Roman"/>
          <w:color w:val="000000"/>
        </w:rPr>
        <w:t xml:space="preserve">Smluvní strany souhlasí s uveřejněním této Smlouvy v registru smluv podle zákona č. 340/2015 Sb., o registru smluv, které zajistí Příjemce, v případě, že to zákon či platné vnitřní předpisy Příjemce nařizují, s výjimkou informací, které jsou vyloučené z uveřejnění (osobní údaj či obchodní tajemství, či jiné údaje, které je možné neuveřejnit podle zákona). </w:t>
      </w:r>
    </w:p>
    <w:p w14:paraId="2491AC5B" w14:textId="77777777" w:rsidR="00776452" w:rsidRPr="008049C9" w:rsidRDefault="00776452" w:rsidP="00776452">
      <w:pPr>
        <w:widowControl w:val="0"/>
        <w:numPr>
          <w:ilvl w:val="0"/>
          <w:numId w:val="14"/>
        </w:numPr>
        <w:suppressAutoHyphens/>
        <w:spacing w:before="240" w:after="0" w:line="240" w:lineRule="auto"/>
        <w:ind w:left="0" w:hanging="284"/>
        <w:outlineLvl w:val="1"/>
        <w:rPr>
          <w:rFonts w:ascii="Calibri" w:eastAsia="Times New Roman" w:hAnsi="Calibri" w:cs="Times New Roman"/>
          <w:color w:val="000000"/>
        </w:rPr>
      </w:pPr>
      <w:r w:rsidRPr="008049C9">
        <w:rPr>
          <w:rFonts w:ascii="Calibri" w:eastAsia="Times New Roman" w:hAnsi="Calibri" w:cs="Times New Roman"/>
          <w:color w:val="000000"/>
        </w:rPr>
        <w:t>Smluvní</w:t>
      </w:r>
      <w:r>
        <w:rPr>
          <w:rFonts w:ascii="Calibri" w:eastAsia="Times New Roman" w:hAnsi="Calibri" w:cs="Times New Roman"/>
          <w:color w:val="000000"/>
        </w:rPr>
        <w:t xml:space="preserve"> strany berou na vědomí, že Příjemce</w:t>
      </w:r>
      <w:r w:rsidRPr="008049C9">
        <w:rPr>
          <w:rFonts w:ascii="Calibri" w:eastAsia="Times New Roman" w:hAnsi="Calibri" w:cs="Times New Roman"/>
          <w:color w:val="000000"/>
        </w:rPr>
        <w:t xml:space="preserve"> je povinným subjektem ohledně poskytování informací ve smyslu zákona č. 106/1999 Sb., o svobodném přístupu k informacím a pro tyto účely nepovažují nic z obsahu této smlouvy za vyloučené z poskytnutí s výjimkou informací, které jsou vyloučené z uveřejnění (osobní údaj či obchodní tajemství, či jiné údaje, které je možné neuveřejnit podle zákona).</w:t>
      </w:r>
    </w:p>
    <w:p w14:paraId="038DF202" w14:textId="77777777" w:rsidR="00776452" w:rsidRPr="008049C9" w:rsidRDefault="00776452" w:rsidP="00776452">
      <w:pPr>
        <w:widowControl w:val="0"/>
        <w:numPr>
          <w:ilvl w:val="0"/>
          <w:numId w:val="14"/>
        </w:numPr>
        <w:suppressAutoHyphens/>
        <w:spacing w:before="240" w:after="0" w:line="240" w:lineRule="auto"/>
        <w:ind w:left="0" w:hanging="284"/>
        <w:outlineLvl w:val="1"/>
        <w:rPr>
          <w:rFonts w:ascii="Calibri" w:eastAsia="Times New Roman" w:hAnsi="Calibri" w:cs="Times New Roman"/>
          <w:color w:val="000000"/>
        </w:rPr>
      </w:pPr>
      <w:r w:rsidRPr="008049C9">
        <w:rPr>
          <w:rFonts w:ascii="Calibri" w:eastAsia="Times New Roman" w:hAnsi="Calibri" w:cs="Times New Roman"/>
          <w:color w:val="000000"/>
        </w:rPr>
        <w:t xml:space="preserve">Tato Smlouva se řídí právními předpisy platnými v České republice. </w:t>
      </w:r>
      <w:r w:rsidRPr="00B51A82">
        <w:rPr>
          <w:rFonts w:ascii="Calibri" w:eastAsia="Times New Roman" w:hAnsi="Calibri" w:cs="Times New Roman"/>
          <w:color w:val="000000"/>
        </w:rPr>
        <w:t xml:space="preserve">Vztahy touto Smlouvou </w:t>
      </w:r>
      <w:r w:rsidRPr="00B51A82">
        <w:rPr>
          <w:rFonts w:ascii="Calibri" w:eastAsia="Times New Roman" w:hAnsi="Calibri" w:cs="Times New Roman"/>
          <w:color w:val="000000"/>
        </w:rPr>
        <w:lastRenderedPageBreak/>
        <w:t>neupravené se řídí ZPVV, Nařízením a Rámcem.</w:t>
      </w:r>
      <w:r>
        <w:rPr>
          <w:rFonts w:ascii="Calibri" w:eastAsia="Times New Roman" w:hAnsi="Calibri" w:cs="Times New Roman"/>
          <w:color w:val="000000"/>
        </w:rPr>
        <w:t xml:space="preserve"> </w:t>
      </w:r>
      <w:r w:rsidRPr="008049C9">
        <w:rPr>
          <w:rFonts w:ascii="Calibri" w:eastAsia="Times New Roman" w:hAnsi="Calibri" w:cs="Times New Roman"/>
          <w:color w:val="000000"/>
        </w:rPr>
        <w:t>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věcně a místně příslušnému soudu.</w:t>
      </w:r>
    </w:p>
    <w:p w14:paraId="7789ED1F" w14:textId="77777777" w:rsidR="00776452" w:rsidRPr="008049C9" w:rsidRDefault="00776452" w:rsidP="00776452">
      <w:pPr>
        <w:widowControl w:val="0"/>
        <w:numPr>
          <w:ilvl w:val="0"/>
          <w:numId w:val="14"/>
        </w:numPr>
        <w:suppressAutoHyphens/>
        <w:spacing w:before="240" w:after="0" w:line="240" w:lineRule="auto"/>
        <w:ind w:left="0" w:hanging="284"/>
        <w:outlineLvl w:val="1"/>
        <w:rPr>
          <w:rFonts w:ascii="Calibri" w:eastAsia="Times New Roman" w:hAnsi="Calibri" w:cs="Times New Roman"/>
          <w:color w:val="000000"/>
        </w:rPr>
      </w:pPr>
      <w:r w:rsidRPr="008049C9">
        <w:rPr>
          <w:rFonts w:ascii="Calibri" w:eastAsia="Times New Roman" w:hAnsi="Calibri" w:cs="Times New Roman"/>
          <w:color w:val="000000"/>
        </w:rPr>
        <w:t>Smluvní strany prohlašují, že tato Smlouva je projevem jejich pravé a svobodné vůle a nebyla sjednána v tísni ani za jinak jednostranně nevýhodných podmínek. Smluvní strany prohlašují, že se seznámily s podmínkami této Smlouvy, s podmínkami a pravidly poskytnutí veřejné podpory a jsou si plně vědomy závazků, které uzavřením této Smlouvy přebírají. Na důkaz toho Smluvní strany připojují své podpisy.</w:t>
      </w:r>
    </w:p>
    <w:p w14:paraId="015AB986" w14:textId="77777777" w:rsidR="00776452" w:rsidRPr="008049C9" w:rsidRDefault="00776452" w:rsidP="00776452">
      <w:pPr>
        <w:widowControl w:val="0"/>
        <w:numPr>
          <w:ilvl w:val="0"/>
          <w:numId w:val="14"/>
        </w:numPr>
        <w:suppressAutoHyphens/>
        <w:spacing w:before="240" w:after="0" w:line="240" w:lineRule="auto"/>
        <w:ind w:left="0" w:hanging="284"/>
        <w:outlineLvl w:val="1"/>
        <w:rPr>
          <w:rFonts w:ascii="Calibri" w:eastAsia="Times New Roman" w:hAnsi="Calibri" w:cs="Times New Roman"/>
          <w:color w:val="000000"/>
        </w:rPr>
      </w:pPr>
      <w:r w:rsidRPr="008049C9">
        <w:rPr>
          <w:rFonts w:ascii="Calibri" w:eastAsia="Times New Roman" w:hAnsi="Calibri" w:cs="Times New Roman"/>
          <w:color w:val="000000"/>
        </w:rPr>
        <w:t xml:space="preserve">Nedílnou součástí této Smlouvy jsou následující přílohy: </w:t>
      </w:r>
    </w:p>
    <w:p w14:paraId="108BF584" w14:textId="77777777" w:rsidR="00776452" w:rsidRDefault="00776452" w:rsidP="00776452">
      <w:pPr>
        <w:widowControl w:val="0"/>
        <w:numPr>
          <w:ilvl w:val="0"/>
          <w:numId w:val="13"/>
        </w:numPr>
        <w:suppressAutoHyphens/>
        <w:spacing w:after="0" w:line="240" w:lineRule="auto"/>
        <w:ind w:left="0" w:hanging="284"/>
        <w:outlineLvl w:val="0"/>
        <w:rPr>
          <w:rFonts w:ascii="Calibri" w:eastAsia="Lucida Sans Unicode" w:hAnsi="Calibri" w:cs="Times New Roman"/>
          <w:bCs/>
          <w:kern w:val="1"/>
          <w:lang w:eastAsia="ar-SA"/>
        </w:rPr>
      </w:pPr>
      <w:r>
        <w:rPr>
          <w:rFonts w:ascii="Calibri" w:eastAsia="Lucida Sans Unicode" w:hAnsi="Calibri" w:cs="Times New Roman"/>
          <w:bCs/>
          <w:kern w:val="1"/>
          <w:lang w:eastAsia="ar-SA"/>
        </w:rPr>
        <w:t xml:space="preserve">Příloha č. 1 – </w:t>
      </w:r>
      <w:r w:rsidRPr="00C57635">
        <w:rPr>
          <w:rFonts w:ascii="Calibri" w:eastAsia="Lucida Sans Unicode" w:hAnsi="Calibri" w:cs="Times New Roman"/>
          <w:bCs/>
          <w:kern w:val="1"/>
          <w:lang w:eastAsia="ar-SA"/>
        </w:rPr>
        <w:t>Vymezení Výsledků a podílu na Výsledcích</w:t>
      </w:r>
    </w:p>
    <w:p w14:paraId="64568665" w14:textId="77777777" w:rsidR="00776452" w:rsidRDefault="00776452" w:rsidP="00776452">
      <w:pPr>
        <w:widowControl w:val="0"/>
        <w:numPr>
          <w:ilvl w:val="0"/>
          <w:numId w:val="13"/>
        </w:numPr>
        <w:suppressAutoHyphens/>
        <w:spacing w:after="0" w:line="240" w:lineRule="auto"/>
        <w:ind w:left="0" w:hanging="284"/>
        <w:outlineLvl w:val="0"/>
        <w:rPr>
          <w:rFonts w:ascii="Calibri" w:eastAsia="Lucida Sans Unicode" w:hAnsi="Calibri" w:cs="Times New Roman"/>
          <w:bCs/>
          <w:kern w:val="1"/>
          <w:lang w:eastAsia="ar-SA"/>
        </w:rPr>
      </w:pPr>
      <w:r>
        <w:rPr>
          <w:rFonts w:ascii="Calibri" w:eastAsia="Lucida Sans Unicode" w:hAnsi="Calibri" w:cs="Times New Roman"/>
          <w:bCs/>
          <w:kern w:val="1"/>
          <w:lang w:eastAsia="ar-SA"/>
        </w:rPr>
        <w:t xml:space="preserve">Příloha č. 2 – </w:t>
      </w:r>
      <w:r w:rsidRPr="00C57635">
        <w:rPr>
          <w:rFonts w:ascii="Calibri" w:eastAsia="Lucida Sans Unicode" w:hAnsi="Calibri" w:cs="Times New Roman"/>
          <w:bCs/>
          <w:kern w:val="1"/>
          <w:lang w:eastAsia="ar-SA"/>
        </w:rPr>
        <w:t>Výsledky Projektu a jejich srovnání s cíli Projektu</w:t>
      </w:r>
    </w:p>
    <w:p w14:paraId="666EB3EF" w14:textId="77777777" w:rsidR="00776452" w:rsidRDefault="00776452" w:rsidP="00776452">
      <w:pPr>
        <w:widowControl w:val="0"/>
        <w:numPr>
          <w:ilvl w:val="0"/>
          <w:numId w:val="13"/>
        </w:numPr>
        <w:suppressAutoHyphens/>
        <w:spacing w:after="0" w:line="240" w:lineRule="auto"/>
        <w:ind w:left="0" w:hanging="284"/>
        <w:outlineLvl w:val="0"/>
        <w:rPr>
          <w:rFonts w:ascii="Calibri" w:eastAsia="Lucida Sans Unicode" w:hAnsi="Calibri" w:cs="Times New Roman"/>
          <w:bCs/>
          <w:kern w:val="1"/>
          <w:lang w:eastAsia="ar-SA"/>
        </w:rPr>
      </w:pPr>
      <w:r w:rsidRPr="007C3E29">
        <w:rPr>
          <w:rFonts w:ascii="Calibri" w:eastAsia="Lucida Sans Unicode" w:hAnsi="Calibri" w:cs="Times New Roman"/>
          <w:bCs/>
          <w:kern w:val="1"/>
          <w:lang w:eastAsia="ar-SA"/>
        </w:rPr>
        <w:t xml:space="preserve">Příloha č. 3 </w:t>
      </w:r>
      <w:r>
        <w:rPr>
          <w:rFonts w:ascii="Calibri" w:eastAsia="Lucida Sans Unicode" w:hAnsi="Calibri" w:cs="Times New Roman"/>
          <w:bCs/>
          <w:kern w:val="1"/>
          <w:lang w:eastAsia="ar-SA"/>
        </w:rPr>
        <w:t xml:space="preserve">– </w:t>
      </w:r>
      <w:r w:rsidRPr="007C3E29">
        <w:rPr>
          <w:rFonts w:ascii="Calibri" w:eastAsia="Lucida Sans Unicode" w:hAnsi="Calibri" w:cs="Times New Roman"/>
          <w:bCs/>
          <w:kern w:val="1"/>
          <w:lang w:eastAsia="ar-SA"/>
        </w:rPr>
        <w:t>Implementační plán Projektu</w:t>
      </w:r>
    </w:p>
    <w:p w14:paraId="3FF9B4E3" w14:textId="77777777" w:rsidR="00776452" w:rsidRDefault="00776452" w:rsidP="00776452">
      <w:pPr>
        <w:widowControl w:val="0"/>
        <w:suppressAutoHyphens/>
        <w:spacing w:after="0"/>
        <w:ind w:hanging="284"/>
        <w:rPr>
          <w:rFonts w:ascii="Calibri" w:eastAsia="Lucida Sans Unicode" w:hAnsi="Calibri" w:cs="Times New Roman"/>
          <w:bCs/>
          <w:kern w:val="1"/>
          <w:lang w:eastAsia="ar-SA"/>
        </w:rPr>
      </w:pPr>
    </w:p>
    <w:p w14:paraId="699D32DE" w14:textId="77777777" w:rsidR="00776452" w:rsidRDefault="00776452" w:rsidP="00776452">
      <w:pPr>
        <w:widowControl w:val="0"/>
        <w:suppressAutoHyphens/>
        <w:spacing w:after="0"/>
        <w:ind w:hanging="284"/>
        <w:rPr>
          <w:rFonts w:ascii="Calibri" w:eastAsia="Lucida Sans Unicode" w:hAnsi="Calibri" w:cs="Times New Roman"/>
          <w:bCs/>
          <w:kern w:val="1"/>
          <w:lang w:eastAsia="ar-SA"/>
        </w:rPr>
      </w:pPr>
    </w:p>
    <w:p w14:paraId="4EB556A6" w14:textId="77777777" w:rsidR="00776452" w:rsidRDefault="00776452" w:rsidP="00776452">
      <w:pPr>
        <w:widowControl w:val="0"/>
        <w:suppressAutoHyphens/>
        <w:spacing w:after="0"/>
        <w:ind w:hanging="284"/>
        <w:rPr>
          <w:rFonts w:ascii="Calibri" w:eastAsia="Lucida Sans Unicode" w:hAnsi="Calibri" w:cs="Times New Roman"/>
          <w:bCs/>
          <w:kern w:val="1"/>
          <w:lang w:eastAsia="ar-SA"/>
        </w:rPr>
      </w:pPr>
    </w:p>
    <w:p w14:paraId="1DC9FCA4" w14:textId="77777777" w:rsidR="00776452" w:rsidRPr="008049C9" w:rsidRDefault="00776452" w:rsidP="00776452">
      <w:pPr>
        <w:widowControl w:val="0"/>
        <w:suppressAutoHyphens/>
        <w:spacing w:after="0"/>
        <w:ind w:hanging="284"/>
        <w:rPr>
          <w:rFonts w:ascii="Calibri" w:eastAsia="Lucida Sans Unicode" w:hAnsi="Calibri" w:cs="Times New Roman"/>
          <w:bCs/>
          <w:kern w:val="1"/>
          <w:lang w:eastAsia="ar-SA"/>
        </w:rPr>
      </w:pPr>
    </w:p>
    <w:p w14:paraId="68EDED5A" w14:textId="77777777" w:rsidR="00776452" w:rsidRDefault="00776452" w:rsidP="00776452">
      <w:pPr>
        <w:widowControl w:val="0"/>
        <w:suppressAutoHyphens/>
        <w:spacing w:after="0" w:line="240" w:lineRule="auto"/>
        <w:ind w:hanging="284"/>
        <w:rPr>
          <w:rFonts w:ascii="Calibri" w:eastAsia="Lucida Sans Unicode" w:hAnsi="Calibri" w:cs="Times New Roman"/>
          <w:bCs/>
          <w:kern w:val="1"/>
          <w:lang w:eastAsia="ar-SA"/>
        </w:rPr>
      </w:pPr>
    </w:p>
    <w:p w14:paraId="0AB7845E" w14:textId="77777777" w:rsidR="00776452" w:rsidRPr="008049C9" w:rsidRDefault="00776452" w:rsidP="00776452">
      <w:pPr>
        <w:widowControl w:val="0"/>
        <w:suppressAutoHyphens/>
        <w:spacing w:after="0" w:line="240" w:lineRule="auto"/>
        <w:ind w:hanging="284"/>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 xml:space="preserve">V </w:t>
      </w:r>
      <w:r>
        <w:rPr>
          <w:rFonts w:ascii="Calibri" w:eastAsia="Lucida Sans Unicode" w:hAnsi="Calibri" w:cs="Times New Roman"/>
          <w:bCs/>
          <w:kern w:val="1"/>
          <w:lang w:eastAsia="ar-SA"/>
        </w:rPr>
        <w:t>………………………………………dne…………………</w:t>
      </w:r>
      <w:r>
        <w:rPr>
          <w:rFonts w:ascii="Calibri" w:eastAsia="Lucida Sans Unicode" w:hAnsi="Calibri" w:cs="Times New Roman"/>
          <w:bCs/>
          <w:kern w:val="1"/>
          <w:lang w:eastAsia="ar-SA"/>
        </w:rPr>
        <w:tab/>
        <w:t xml:space="preserve">     V ………………………………………dne………………………… </w:t>
      </w:r>
    </w:p>
    <w:p w14:paraId="3D5DC87D" w14:textId="77777777" w:rsidR="00776452" w:rsidRPr="008049C9" w:rsidRDefault="00776452" w:rsidP="00776452">
      <w:pPr>
        <w:widowControl w:val="0"/>
        <w:suppressAutoHyphens/>
        <w:spacing w:after="0" w:line="240" w:lineRule="auto"/>
        <w:ind w:hanging="284"/>
        <w:rPr>
          <w:rFonts w:ascii="Calibri" w:eastAsia="Lucida Sans Unicode" w:hAnsi="Calibri" w:cs="Times New Roman"/>
          <w:b/>
          <w:bCs/>
          <w:kern w:val="1"/>
          <w:lang w:eastAsia="ar-SA"/>
        </w:rPr>
      </w:pPr>
    </w:p>
    <w:p w14:paraId="51E1420B" w14:textId="77777777" w:rsidR="00776452" w:rsidRDefault="00776452" w:rsidP="00776452">
      <w:pPr>
        <w:spacing w:after="0" w:line="240" w:lineRule="auto"/>
        <w:ind w:hanging="284"/>
        <w:rPr>
          <w:rFonts w:ascii="Calibri" w:eastAsia="Times New Roman" w:hAnsi="Calibri" w:cs="Times New Roman"/>
          <w:snapToGrid w:val="0"/>
          <w:lang w:eastAsia="cs-CZ"/>
        </w:rPr>
      </w:pPr>
    </w:p>
    <w:p w14:paraId="49AF89A5" w14:textId="77777777" w:rsidR="00776452" w:rsidRDefault="00776452" w:rsidP="00776452">
      <w:pPr>
        <w:spacing w:after="0" w:line="240" w:lineRule="auto"/>
        <w:ind w:hanging="284"/>
        <w:rPr>
          <w:rFonts w:ascii="Calibri" w:eastAsia="Times New Roman" w:hAnsi="Calibri" w:cs="Times New Roman"/>
          <w:snapToGrid w:val="0"/>
          <w:lang w:eastAsia="cs-CZ"/>
        </w:rPr>
      </w:pPr>
    </w:p>
    <w:p w14:paraId="6E405D20" w14:textId="77777777" w:rsidR="00776452" w:rsidRPr="008049C9" w:rsidRDefault="00776452" w:rsidP="00776452">
      <w:pPr>
        <w:spacing w:after="0" w:line="240" w:lineRule="auto"/>
        <w:ind w:hanging="284"/>
        <w:rPr>
          <w:rFonts w:ascii="Calibri" w:eastAsia="Times New Roman" w:hAnsi="Calibri" w:cs="Times New Roman"/>
          <w:snapToGrid w:val="0"/>
          <w:lang w:eastAsia="cs-CZ"/>
        </w:rPr>
      </w:pPr>
    </w:p>
    <w:p w14:paraId="36417AD4" w14:textId="77777777" w:rsidR="00776452" w:rsidRPr="008049C9" w:rsidRDefault="00776452" w:rsidP="00776452">
      <w:pPr>
        <w:spacing w:after="0" w:line="240" w:lineRule="auto"/>
        <w:ind w:hanging="284"/>
        <w:rPr>
          <w:rFonts w:ascii="Calibri" w:eastAsia="Times New Roman" w:hAnsi="Calibri" w:cs="Times New Roman"/>
          <w:snapToGrid w:val="0"/>
          <w:lang w:eastAsia="cs-CZ"/>
        </w:rPr>
      </w:pPr>
    </w:p>
    <w:p w14:paraId="0911E791" w14:textId="77777777" w:rsidR="00776452" w:rsidRPr="008049C9" w:rsidRDefault="00776452" w:rsidP="00776452">
      <w:pPr>
        <w:spacing w:after="0" w:line="240" w:lineRule="auto"/>
        <w:ind w:hanging="284"/>
        <w:rPr>
          <w:rFonts w:ascii="Calibri" w:eastAsia="Times New Roman" w:hAnsi="Calibri" w:cs="Times New Roman"/>
          <w:snapToGrid w:val="0"/>
          <w:lang w:eastAsia="cs-CZ"/>
        </w:rPr>
      </w:pPr>
      <w:r w:rsidRPr="008049C9">
        <w:rPr>
          <w:rFonts w:ascii="Calibri" w:eastAsia="Times New Roman" w:hAnsi="Calibri" w:cs="Times New Roman"/>
          <w:snapToGrid w:val="0"/>
          <w:lang w:eastAsia="cs-CZ"/>
        </w:rPr>
        <w:t>…………………………………………..</w:t>
      </w:r>
      <w:r w:rsidRPr="008049C9">
        <w:rPr>
          <w:rFonts w:ascii="Calibri" w:eastAsia="Times New Roman" w:hAnsi="Calibri" w:cs="Times New Roman"/>
          <w:snapToGrid w:val="0"/>
          <w:lang w:eastAsia="cs-CZ"/>
        </w:rPr>
        <w:tab/>
      </w:r>
      <w:r w:rsidRPr="008049C9">
        <w:rPr>
          <w:rFonts w:ascii="Calibri" w:eastAsia="Times New Roman" w:hAnsi="Calibri" w:cs="Times New Roman"/>
          <w:snapToGrid w:val="0"/>
          <w:lang w:eastAsia="cs-CZ"/>
        </w:rPr>
        <w:tab/>
      </w:r>
      <w:r w:rsidRPr="008049C9">
        <w:rPr>
          <w:rFonts w:ascii="Calibri" w:eastAsia="Times New Roman" w:hAnsi="Calibri" w:cs="Times New Roman"/>
          <w:snapToGrid w:val="0"/>
          <w:lang w:eastAsia="cs-CZ"/>
        </w:rPr>
        <w:tab/>
      </w:r>
      <w:r w:rsidRPr="008049C9">
        <w:rPr>
          <w:rFonts w:ascii="Calibri" w:eastAsia="Times New Roman" w:hAnsi="Calibri" w:cs="Times New Roman"/>
          <w:snapToGrid w:val="0"/>
          <w:lang w:eastAsia="cs-CZ"/>
        </w:rPr>
        <w:tab/>
      </w:r>
      <w:r w:rsidRPr="008049C9">
        <w:rPr>
          <w:rFonts w:ascii="Calibri" w:eastAsia="Times New Roman" w:hAnsi="Calibri" w:cs="Times New Roman"/>
          <w:snapToGrid w:val="0"/>
          <w:lang w:eastAsia="cs-CZ"/>
        </w:rPr>
        <w:tab/>
        <w:t>…………………………………………..</w:t>
      </w:r>
    </w:p>
    <w:p w14:paraId="0EED6345" w14:textId="77777777" w:rsidR="00776452" w:rsidRPr="008049C9" w:rsidRDefault="00776452" w:rsidP="00776452">
      <w:pPr>
        <w:spacing w:after="0" w:line="240" w:lineRule="auto"/>
        <w:ind w:hanging="284"/>
        <w:rPr>
          <w:rFonts w:ascii="Calibri" w:eastAsia="Times New Roman" w:hAnsi="Calibri" w:cs="Times New Roman"/>
          <w:snapToGrid w:val="0"/>
          <w:lang w:eastAsia="cs-CZ"/>
        </w:rPr>
      </w:pPr>
      <w:r w:rsidRPr="008049C9">
        <w:rPr>
          <w:rFonts w:ascii="Calibri" w:eastAsia="Times New Roman" w:hAnsi="Calibri" w:cs="Times New Roman"/>
          <w:snapToGrid w:val="0"/>
          <w:lang w:eastAsia="cs-CZ"/>
        </w:rPr>
        <w:t xml:space="preserve">    </w:t>
      </w:r>
      <w:r>
        <w:rPr>
          <w:rFonts w:ascii="Calibri" w:eastAsia="Times New Roman" w:hAnsi="Calibri" w:cs="Times New Roman"/>
          <w:snapToGrid w:val="0"/>
          <w:lang w:eastAsia="cs-CZ"/>
        </w:rPr>
        <w:t xml:space="preserve">za Příjemce </w:t>
      </w:r>
      <w:r w:rsidRPr="008049C9">
        <w:rPr>
          <w:rFonts w:ascii="Calibri" w:eastAsia="Times New Roman" w:hAnsi="Calibri" w:cs="Times New Roman"/>
          <w:snapToGrid w:val="0"/>
          <w:lang w:eastAsia="cs-CZ"/>
        </w:rPr>
        <w:tab/>
      </w:r>
      <w:r w:rsidRPr="008049C9">
        <w:rPr>
          <w:rFonts w:ascii="Calibri" w:eastAsia="Times New Roman" w:hAnsi="Calibri" w:cs="Times New Roman"/>
          <w:snapToGrid w:val="0"/>
          <w:lang w:eastAsia="cs-CZ"/>
        </w:rPr>
        <w:tab/>
      </w:r>
      <w:r w:rsidRPr="008049C9">
        <w:rPr>
          <w:rFonts w:ascii="Calibri" w:eastAsia="Times New Roman" w:hAnsi="Calibri" w:cs="Times New Roman"/>
          <w:snapToGrid w:val="0"/>
          <w:lang w:eastAsia="cs-CZ"/>
        </w:rPr>
        <w:tab/>
      </w:r>
      <w:r w:rsidRPr="008049C9">
        <w:rPr>
          <w:rFonts w:ascii="Calibri" w:eastAsia="Times New Roman" w:hAnsi="Calibri" w:cs="Times New Roman"/>
          <w:snapToGrid w:val="0"/>
          <w:lang w:eastAsia="cs-CZ"/>
        </w:rPr>
        <w:tab/>
      </w:r>
      <w:r w:rsidRPr="008049C9">
        <w:rPr>
          <w:rFonts w:ascii="Calibri" w:eastAsia="Times New Roman" w:hAnsi="Calibri" w:cs="Times New Roman"/>
          <w:snapToGrid w:val="0"/>
          <w:lang w:eastAsia="cs-CZ"/>
        </w:rPr>
        <w:tab/>
      </w:r>
      <w:r w:rsidRPr="008049C9">
        <w:rPr>
          <w:rFonts w:ascii="Calibri" w:eastAsia="Times New Roman" w:hAnsi="Calibri" w:cs="Times New Roman"/>
          <w:snapToGrid w:val="0"/>
          <w:lang w:eastAsia="cs-CZ"/>
        </w:rPr>
        <w:tab/>
      </w:r>
      <w:r>
        <w:rPr>
          <w:rFonts w:ascii="Calibri" w:eastAsia="Times New Roman" w:hAnsi="Calibri" w:cs="Times New Roman"/>
          <w:snapToGrid w:val="0"/>
          <w:lang w:eastAsia="cs-CZ"/>
        </w:rPr>
        <w:t xml:space="preserve">                   za Dalšího účastníka 1</w:t>
      </w:r>
    </w:p>
    <w:p w14:paraId="44060D62" w14:textId="77777777" w:rsidR="00776452" w:rsidRPr="008049C9" w:rsidRDefault="00776452" w:rsidP="00776452">
      <w:pPr>
        <w:widowControl w:val="0"/>
        <w:suppressAutoHyphens/>
        <w:spacing w:after="0" w:line="240" w:lineRule="auto"/>
        <w:ind w:hanging="284"/>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 xml:space="preserve">doc. Ing. Lukáš Ferkl, Ph.D. </w:t>
      </w:r>
      <w:r w:rsidRPr="008049C9">
        <w:rPr>
          <w:rFonts w:ascii="Calibri" w:eastAsia="Lucida Sans Unicode" w:hAnsi="Calibri" w:cs="Times New Roman"/>
          <w:bCs/>
          <w:kern w:val="1"/>
          <w:lang w:eastAsia="ar-SA"/>
        </w:rPr>
        <w:tab/>
      </w:r>
      <w:r>
        <w:rPr>
          <w:rFonts w:ascii="Calibri" w:eastAsia="Lucida Sans Unicode" w:hAnsi="Calibri" w:cs="Times New Roman"/>
          <w:bCs/>
          <w:kern w:val="1"/>
          <w:lang w:eastAsia="ar-SA"/>
        </w:rPr>
        <w:tab/>
      </w:r>
      <w:r>
        <w:rPr>
          <w:rFonts w:ascii="Calibri" w:eastAsia="Lucida Sans Unicode" w:hAnsi="Calibri" w:cs="Times New Roman"/>
          <w:bCs/>
          <w:kern w:val="1"/>
          <w:lang w:eastAsia="ar-SA"/>
        </w:rPr>
        <w:tab/>
      </w:r>
      <w:r>
        <w:rPr>
          <w:rFonts w:ascii="Calibri" w:eastAsia="Lucida Sans Unicode" w:hAnsi="Calibri" w:cs="Times New Roman"/>
          <w:bCs/>
          <w:kern w:val="1"/>
          <w:lang w:eastAsia="ar-SA"/>
        </w:rPr>
        <w:tab/>
      </w:r>
      <w:r>
        <w:rPr>
          <w:rFonts w:ascii="Calibri" w:eastAsia="Lucida Sans Unicode" w:hAnsi="Calibri" w:cs="Times New Roman"/>
          <w:bCs/>
          <w:kern w:val="1"/>
          <w:lang w:eastAsia="ar-SA"/>
        </w:rPr>
        <w:tab/>
        <w:t xml:space="preserve">     </w:t>
      </w:r>
      <w:r>
        <w:rPr>
          <w:rFonts w:ascii="Calibri" w:eastAsia="Times New Roman" w:hAnsi="Calibri" w:cs="Times New Roman"/>
          <w:snapToGrid w:val="0"/>
          <w:lang w:eastAsia="cs-CZ"/>
        </w:rPr>
        <w:t>Ing. Miroslav Šamata</w:t>
      </w:r>
      <w:r w:rsidRPr="008049C9">
        <w:rPr>
          <w:rFonts w:ascii="Calibri" w:eastAsia="Lucida Sans Unicode" w:hAnsi="Calibri" w:cs="Times New Roman"/>
          <w:bCs/>
          <w:kern w:val="1"/>
          <w:lang w:eastAsia="ar-SA"/>
        </w:rPr>
        <w:tab/>
      </w:r>
      <w:r w:rsidRPr="008049C9">
        <w:rPr>
          <w:rFonts w:ascii="Calibri" w:eastAsia="Lucida Sans Unicode" w:hAnsi="Calibri" w:cs="Times New Roman"/>
          <w:bCs/>
          <w:kern w:val="1"/>
          <w:lang w:eastAsia="ar-SA"/>
        </w:rPr>
        <w:tab/>
        <w:t xml:space="preserve">                                           </w:t>
      </w:r>
    </w:p>
    <w:p w14:paraId="373C2EBC" w14:textId="77777777" w:rsidR="00776452" w:rsidRDefault="00776452" w:rsidP="00776452">
      <w:pPr>
        <w:widowControl w:val="0"/>
        <w:tabs>
          <w:tab w:val="left" w:pos="720"/>
        </w:tabs>
        <w:suppressAutoHyphens/>
        <w:spacing w:after="0" w:line="240" w:lineRule="auto"/>
        <w:rPr>
          <w:rFonts w:ascii="Calibri" w:eastAsia="Lucida Sans Unicode" w:hAnsi="Calibri" w:cs="Times New Roman"/>
          <w:bCs/>
          <w:kern w:val="1"/>
          <w:lang w:eastAsia="ar-SA"/>
        </w:rPr>
      </w:pPr>
    </w:p>
    <w:p w14:paraId="1AD9BCBD" w14:textId="77777777" w:rsidR="00776452" w:rsidRDefault="00776452" w:rsidP="00776452">
      <w:pPr>
        <w:widowControl w:val="0"/>
        <w:suppressAutoHyphens/>
        <w:spacing w:after="0" w:line="240" w:lineRule="auto"/>
        <w:ind w:hanging="284"/>
        <w:rPr>
          <w:rFonts w:ascii="Calibri" w:eastAsia="Lucida Sans Unicode" w:hAnsi="Calibri" w:cs="Times New Roman"/>
          <w:bCs/>
          <w:kern w:val="1"/>
          <w:lang w:eastAsia="ar-SA"/>
        </w:rPr>
      </w:pPr>
    </w:p>
    <w:p w14:paraId="2E2A5B5A" w14:textId="77777777" w:rsidR="00776452" w:rsidRDefault="00776452" w:rsidP="00776452">
      <w:pPr>
        <w:widowControl w:val="0"/>
        <w:suppressAutoHyphens/>
        <w:spacing w:after="0" w:line="240" w:lineRule="auto"/>
        <w:ind w:hanging="284"/>
        <w:rPr>
          <w:rFonts w:ascii="Calibri" w:eastAsia="Lucida Sans Unicode" w:hAnsi="Calibri" w:cs="Times New Roman"/>
          <w:bCs/>
          <w:kern w:val="1"/>
          <w:lang w:eastAsia="ar-SA"/>
        </w:rPr>
      </w:pPr>
    </w:p>
    <w:p w14:paraId="29FF6A7B" w14:textId="77777777" w:rsidR="00776452" w:rsidRDefault="00776452" w:rsidP="00776452">
      <w:pPr>
        <w:widowControl w:val="0"/>
        <w:suppressAutoHyphens/>
        <w:spacing w:after="0" w:line="240" w:lineRule="auto"/>
        <w:ind w:hanging="284"/>
        <w:rPr>
          <w:rFonts w:ascii="Calibri" w:eastAsia="Lucida Sans Unicode" w:hAnsi="Calibri" w:cs="Times New Roman"/>
          <w:bCs/>
          <w:kern w:val="1"/>
          <w:lang w:eastAsia="ar-SA"/>
        </w:rPr>
      </w:pPr>
    </w:p>
    <w:p w14:paraId="46A4C1E8" w14:textId="77777777" w:rsidR="00776452" w:rsidRDefault="00776452" w:rsidP="00776452">
      <w:pPr>
        <w:widowControl w:val="0"/>
        <w:suppressAutoHyphens/>
        <w:spacing w:after="0" w:line="240" w:lineRule="auto"/>
        <w:ind w:hanging="284"/>
        <w:rPr>
          <w:rFonts w:ascii="Calibri" w:eastAsia="Lucida Sans Unicode" w:hAnsi="Calibri" w:cs="Times New Roman"/>
          <w:bCs/>
          <w:kern w:val="1"/>
          <w:lang w:eastAsia="ar-SA"/>
        </w:rPr>
      </w:pPr>
      <w:r w:rsidRPr="008049C9">
        <w:rPr>
          <w:rFonts w:ascii="Calibri" w:eastAsia="Lucida Sans Unicode" w:hAnsi="Calibri" w:cs="Times New Roman"/>
          <w:bCs/>
          <w:kern w:val="1"/>
          <w:lang w:eastAsia="ar-SA"/>
        </w:rPr>
        <w:t>V ………………………………………dne…………………………..</w:t>
      </w:r>
    </w:p>
    <w:p w14:paraId="39AFB73A" w14:textId="77777777" w:rsidR="00776452" w:rsidRDefault="00776452" w:rsidP="00776452">
      <w:pPr>
        <w:widowControl w:val="0"/>
        <w:suppressAutoHyphens/>
        <w:spacing w:after="0" w:line="240" w:lineRule="auto"/>
        <w:ind w:hanging="284"/>
        <w:rPr>
          <w:rFonts w:ascii="Calibri" w:eastAsia="Lucida Sans Unicode" w:hAnsi="Calibri" w:cs="Times New Roman"/>
          <w:bCs/>
          <w:kern w:val="1"/>
          <w:lang w:eastAsia="ar-SA"/>
        </w:rPr>
      </w:pPr>
    </w:p>
    <w:p w14:paraId="2514ECA9" w14:textId="77777777" w:rsidR="00776452" w:rsidRPr="008049C9" w:rsidRDefault="00776452" w:rsidP="00776452">
      <w:pPr>
        <w:widowControl w:val="0"/>
        <w:suppressAutoHyphens/>
        <w:spacing w:after="0" w:line="240" w:lineRule="auto"/>
        <w:ind w:hanging="284"/>
        <w:rPr>
          <w:rFonts w:ascii="Calibri" w:eastAsia="Lucida Sans Unicode" w:hAnsi="Calibri" w:cs="Times New Roman"/>
          <w:bCs/>
          <w:kern w:val="1"/>
          <w:lang w:eastAsia="ar-SA"/>
        </w:rPr>
      </w:pPr>
    </w:p>
    <w:p w14:paraId="2EC7D8E7" w14:textId="77777777" w:rsidR="00776452" w:rsidRDefault="00776452" w:rsidP="00776452">
      <w:pPr>
        <w:spacing w:after="0" w:line="240" w:lineRule="auto"/>
        <w:ind w:hanging="284"/>
        <w:rPr>
          <w:rFonts w:ascii="Calibri" w:eastAsia="Times New Roman" w:hAnsi="Calibri" w:cs="Times New Roman"/>
          <w:snapToGrid w:val="0"/>
          <w:lang w:eastAsia="cs-CZ"/>
        </w:rPr>
      </w:pPr>
    </w:p>
    <w:p w14:paraId="43D8D0A9" w14:textId="77777777" w:rsidR="00776452" w:rsidRDefault="00776452" w:rsidP="00776452">
      <w:pPr>
        <w:spacing w:after="0" w:line="240" w:lineRule="auto"/>
        <w:ind w:hanging="284"/>
        <w:rPr>
          <w:rFonts w:ascii="Calibri" w:eastAsia="Times New Roman" w:hAnsi="Calibri" w:cs="Times New Roman"/>
          <w:snapToGrid w:val="0"/>
          <w:lang w:eastAsia="cs-CZ"/>
        </w:rPr>
      </w:pPr>
    </w:p>
    <w:p w14:paraId="6FC9CCD1" w14:textId="77777777" w:rsidR="00776452" w:rsidRPr="008049C9" w:rsidRDefault="00776452" w:rsidP="00776452">
      <w:pPr>
        <w:spacing w:after="0" w:line="240" w:lineRule="auto"/>
        <w:ind w:hanging="284"/>
        <w:rPr>
          <w:rFonts w:ascii="Calibri" w:eastAsia="Times New Roman" w:hAnsi="Calibri" w:cs="Times New Roman"/>
          <w:snapToGrid w:val="0"/>
          <w:lang w:eastAsia="cs-CZ"/>
        </w:rPr>
      </w:pPr>
    </w:p>
    <w:p w14:paraId="2BC35D92" w14:textId="77777777" w:rsidR="00776452" w:rsidRDefault="00776452" w:rsidP="00776452">
      <w:pPr>
        <w:spacing w:after="0" w:line="240" w:lineRule="auto"/>
        <w:ind w:hanging="284"/>
        <w:rPr>
          <w:rFonts w:ascii="Calibri" w:eastAsia="Times New Roman" w:hAnsi="Calibri" w:cs="Times New Roman"/>
          <w:snapToGrid w:val="0"/>
          <w:lang w:eastAsia="cs-CZ"/>
        </w:rPr>
      </w:pPr>
      <w:r w:rsidRPr="008049C9">
        <w:rPr>
          <w:rFonts w:ascii="Calibri" w:eastAsia="Times New Roman" w:hAnsi="Calibri" w:cs="Times New Roman"/>
          <w:snapToGrid w:val="0"/>
          <w:lang w:eastAsia="cs-CZ"/>
        </w:rPr>
        <w:t>…………………………………………..</w:t>
      </w:r>
      <w:r w:rsidRPr="008049C9">
        <w:rPr>
          <w:rFonts w:ascii="Calibri" w:eastAsia="Times New Roman" w:hAnsi="Calibri" w:cs="Times New Roman"/>
          <w:snapToGrid w:val="0"/>
          <w:lang w:eastAsia="cs-CZ"/>
        </w:rPr>
        <w:tab/>
      </w:r>
      <w:r w:rsidRPr="008049C9">
        <w:rPr>
          <w:rFonts w:ascii="Calibri" w:eastAsia="Times New Roman" w:hAnsi="Calibri" w:cs="Times New Roman"/>
          <w:snapToGrid w:val="0"/>
          <w:lang w:eastAsia="cs-CZ"/>
        </w:rPr>
        <w:tab/>
      </w:r>
      <w:r w:rsidRPr="008049C9">
        <w:rPr>
          <w:rFonts w:ascii="Calibri" w:eastAsia="Times New Roman" w:hAnsi="Calibri" w:cs="Times New Roman"/>
          <w:snapToGrid w:val="0"/>
          <w:lang w:eastAsia="cs-CZ"/>
        </w:rPr>
        <w:tab/>
      </w:r>
      <w:r w:rsidRPr="008049C9">
        <w:rPr>
          <w:rFonts w:ascii="Calibri" w:eastAsia="Times New Roman" w:hAnsi="Calibri" w:cs="Times New Roman"/>
          <w:snapToGrid w:val="0"/>
          <w:lang w:eastAsia="cs-CZ"/>
        </w:rPr>
        <w:tab/>
      </w:r>
      <w:r w:rsidRPr="008049C9">
        <w:rPr>
          <w:rFonts w:ascii="Calibri" w:eastAsia="Times New Roman" w:hAnsi="Calibri" w:cs="Times New Roman"/>
          <w:snapToGrid w:val="0"/>
          <w:lang w:eastAsia="cs-CZ"/>
        </w:rPr>
        <w:tab/>
      </w:r>
    </w:p>
    <w:p w14:paraId="00E97665" w14:textId="77777777" w:rsidR="00776452" w:rsidRDefault="00776452" w:rsidP="00776452">
      <w:pPr>
        <w:spacing w:after="0" w:line="240" w:lineRule="auto"/>
        <w:ind w:hanging="284"/>
        <w:rPr>
          <w:rFonts w:ascii="Calibri" w:eastAsia="Times New Roman" w:hAnsi="Calibri" w:cs="Times New Roman"/>
          <w:snapToGrid w:val="0"/>
          <w:lang w:eastAsia="cs-CZ"/>
        </w:rPr>
      </w:pPr>
      <w:r>
        <w:rPr>
          <w:rFonts w:ascii="Calibri" w:eastAsia="Times New Roman" w:hAnsi="Calibri" w:cs="Times New Roman"/>
          <w:snapToGrid w:val="0"/>
          <w:lang w:eastAsia="cs-CZ"/>
        </w:rPr>
        <w:t>Za Dalšího účastníka 2</w:t>
      </w:r>
    </w:p>
    <w:p w14:paraId="176FB7B1" w14:textId="77777777" w:rsidR="00776452" w:rsidRPr="008049C9" w:rsidRDefault="00776452" w:rsidP="00776452">
      <w:pPr>
        <w:spacing w:after="0" w:line="240" w:lineRule="auto"/>
        <w:ind w:hanging="284"/>
        <w:rPr>
          <w:rFonts w:ascii="Calibri" w:eastAsia="Lucida Sans Unicode" w:hAnsi="Calibri" w:cs="Times New Roman"/>
          <w:bCs/>
          <w:kern w:val="1"/>
          <w:lang w:eastAsia="ar-SA"/>
        </w:rPr>
      </w:pPr>
      <w:r>
        <w:rPr>
          <w:rFonts w:ascii="Calibri" w:eastAsia="Times New Roman" w:hAnsi="Calibri" w:cs="Times New Roman"/>
          <w:snapToGrid w:val="0"/>
          <w:lang w:eastAsia="cs-CZ"/>
        </w:rPr>
        <w:t xml:space="preserve">        Eva Behr</w:t>
      </w:r>
      <w:r w:rsidRPr="008049C9">
        <w:rPr>
          <w:rFonts w:ascii="Calibri" w:eastAsia="Lucida Sans Unicode" w:hAnsi="Calibri" w:cs="Times New Roman"/>
          <w:bCs/>
          <w:kern w:val="1"/>
          <w:lang w:eastAsia="ar-SA"/>
        </w:rPr>
        <w:t xml:space="preserve"> </w:t>
      </w:r>
    </w:p>
    <w:p w14:paraId="33E6C138" w14:textId="77777777" w:rsidR="00776452" w:rsidRDefault="00776452" w:rsidP="00776452">
      <w:pPr>
        <w:spacing w:after="200" w:line="276" w:lineRule="auto"/>
        <w:jc w:val="left"/>
        <w:rPr>
          <w:rFonts w:ascii="Calibri" w:eastAsia="SimSun" w:hAnsi="Calibri" w:cs="Times New Roman"/>
          <w:b/>
          <w:color w:val="17365D"/>
          <w:spacing w:val="5"/>
          <w:kern w:val="28"/>
          <w:sz w:val="28"/>
          <w:szCs w:val="28"/>
          <w:lang w:eastAsia="cs-CZ"/>
        </w:rPr>
      </w:pPr>
    </w:p>
    <w:p w14:paraId="368F3E00" w14:textId="77777777" w:rsidR="00776452" w:rsidRDefault="00776452" w:rsidP="00776452">
      <w:pPr>
        <w:spacing w:after="200" w:line="276" w:lineRule="auto"/>
        <w:jc w:val="left"/>
        <w:rPr>
          <w:rFonts w:ascii="Calibri" w:eastAsia="SimSun" w:hAnsi="Calibri" w:cs="Times New Roman"/>
          <w:b/>
          <w:color w:val="17365D"/>
          <w:spacing w:val="5"/>
          <w:kern w:val="28"/>
          <w:sz w:val="28"/>
          <w:szCs w:val="28"/>
          <w:lang w:eastAsia="cs-CZ"/>
        </w:rPr>
      </w:pPr>
    </w:p>
    <w:p w14:paraId="304A4E1F" w14:textId="77777777" w:rsidR="00776452" w:rsidRDefault="00776452" w:rsidP="00776452">
      <w:pPr>
        <w:spacing w:after="200" w:line="276" w:lineRule="auto"/>
        <w:jc w:val="left"/>
        <w:rPr>
          <w:rFonts w:ascii="Calibri" w:eastAsia="Calibri" w:hAnsi="Calibri" w:cs="Calibri"/>
        </w:rPr>
      </w:pPr>
      <w:r>
        <w:rPr>
          <w:rFonts w:ascii="Calibri" w:eastAsia="Calibri" w:hAnsi="Calibri" w:cs="Calibri"/>
        </w:rPr>
        <w:br w:type="page"/>
      </w:r>
    </w:p>
    <w:p w14:paraId="7F83503A" w14:textId="02D257D0" w:rsidR="00410A02" w:rsidRDefault="00410A02" w:rsidP="00776452">
      <w:pPr>
        <w:widowControl w:val="0"/>
        <w:spacing w:after="0" w:line="240" w:lineRule="auto"/>
        <w:rPr>
          <w:rFonts w:ascii="Calibri" w:eastAsia="Calibri" w:hAnsi="Calibri" w:cs="Calibri"/>
        </w:rPr>
        <w:sectPr w:rsidR="00410A02" w:rsidSect="003A785F">
          <w:headerReference w:type="default" r:id="rId12"/>
          <w:footerReference w:type="first" r:id="rId13"/>
          <w:type w:val="continuous"/>
          <w:pgSz w:w="11906" w:h="16838"/>
          <w:pgMar w:top="2268" w:right="1276" w:bottom="1440" w:left="1797" w:header="0" w:footer="709" w:gutter="0"/>
          <w:pgNumType w:start="1"/>
          <w:cols w:space="708"/>
        </w:sectPr>
      </w:pPr>
    </w:p>
    <w:p w14:paraId="2D3FC2DD" w14:textId="77777777" w:rsidR="00410A02" w:rsidRDefault="00410A02" w:rsidP="00410A02">
      <w:pPr>
        <w:pStyle w:val="Default"/>
        <w:jc w:val="center"/>
        <w:rPr>
          <w:b/>
          <w:bCs/>
          <w:sz w:val="28"/>
          <w:szCs w:val="28"/>
        </w:rPr>
      </w:pPr>
      <w:r>
        <w:rPr>
          <w:b/>
          <w:bCs/>
          <w:sz w:val="28"/>
          <w:szCs w:val="28"/>
        </w:rPr>
        <w:lastRenderedPageBreak/>
        <w:t>Příloha č. 1</w:t>
      </w:r>
    </w:p>
    <w:p w14:paraId="02236158" w14:textId="77777777" w:rsidR="00410A02" w:rsidRDefault="00410A02" w:rsidP="00410A02">
      <w:pPr>
        <w:pStyle w:val="Default"/>
        <w:rPr>
          <w:sz w:val="22"/>
          <w:szCs w:val="22"/>
        </w:rPr>
      </w:pPr>
    </w:p>
    <w:p w14:paraId="772E207D" w14:textId="4E10A444" w:rsidR="00410A02" w:rsidRPr="00410A02" w:rsidRDefault="00410A02" w:rsidP="00410A02">
      <w:pPr>
        <w:pStyle w:val="Default"/>
        <w:jc w:val="center"/>
        <w:rPr>
          <w:b/>
          <w:bCs/>
          <w:sz w:val="28"/>
          <w:szCs w:val="28"/>
        </w:rPr>
      </w:pPr>
      <w:r>
        <w:rPr>
          <w:b/>
          <w:bCs/>
          <w:sz w:val="28"/>
          <w:szCs w:val="28"/>
        </w:rPr>
        <w:t>Vymezení Výsledků a podílu na Výsledcích</w:t>
      </w:r>
    </w:p>
    <w:p w14:paraId="7B6EDC78" w14:textId="77777777" w:rsidR="00103BC7" w:rsidRDefault="00103BC7" w:rsidP="00103BC7">
      <w:pPr>
        <w:pStyle w:val="Default"/>
        <w:rPr>
          <w:sz w:val="22"/>
          <w:szCs w:val="22"/>
        </w:rPr>
      </w:pPr>
      <w:r>
        <w:rPr>
          <w:b/>
          <w:bCs/>
          <w:sz w:val="22"/>
          <w:szCs w:val="22"/>
        </w:rPr>
        <w:t xml:space="preserve">1. Textová část </w:t>
      </w:r>
    </w:p>
    <w:p w14:paraId="670CD849" w14:textId="77777777" w:rsidR="00103BC7" w:rsidRDefault="00103BC7" w:rsidP="00103BC7">
      <w:pPr>
        <w:pStyle w:val="Default"/>
        <w:jc w:val="both"/>
        <w:rPr>
          <w:sz w:val="22"/>
          <w:szCs w:val="22"/>
        </w:rPr>
      </w:pPr>
      <w:r w:rsidRPr="00ED6E96">
        <w:rPr>
          <w:sz w:val="22"/>
          <w:szCs w:val="22"/>
        </w:rPr>
        <w:t>Výsledkem Projektu (činnosti) se rozumí (v souladu se Smlouvou o ú</w:t>
      </w:r>
      <w:r>
        <w:rPr>
          <w:sz w:val="22"/>
          <w:szCs w:val="22"/>
        </w:rPr>
        <w:t>časti na řešení projektu</w:t>
      </w:r>
      <w:r w:rsidRPr="00ED6E96">
        <w:rPr>
          <w:sz w:val="22"/>
          <w:szCs w:val="22"/>
        </w:rPr>
        <w:t>) výhradně nové poznatky ve výzkumu a vývoji získané při</w:t>
      </w:r>
      <w:r>
        <w:rPr>
          <w:sz w:val="22"/>
          <w:szCs w:val="22"/>
        </w:rPr>
        <w:t xml:space="preserve"> řešení úkolů Projektu. </w:t>
      </w:r>
    </w:p>
    <w:p w14:paraId="72D2498D" w14:textId="77777777" w:rsidR="00103BC7" w:rsidRDefault="00103BC7" w:rsidP="00103BC7">
      <w:pPr>
        <w:pStyle w:val="Default"/>
        <w:jc w:val="both"/>
        <w:rPr>
          <w:sz w:val="22"/>
          <w:szCs w:val="22"/>
        </w:rPr>
      </w:pPr>
    </w:p>
    <w:p w14:paraId="085C88AF" w14:textId="77777777" w:rsidR="00103BC7" w:rsidRDefault="00103BC7" w:rsidP="00103BC7">
      <w:pPr>
        <w:pStyle w:val="Default"/>
        <w:jc w:val="both"/>
        <w:rPr>
          <w:sz w:val="22"/>
          <w:szCs w:val="22"/>
        </w:rPr>
      </w:pPr>
      <w:r w:rsidRPr="00747978">
        <w:rPr>
          <w:sz w:val="22"/>
          <w:szCs w:val="22"/>
        </w:rPr>
        <w:t xml:space="preserve">Cílem Projektu byl výzkum možností </w:t>
      </w:r>
      <w:r>
        <w:rPr>
          <w:sz w:val="22"/>
          <w:szCs w:val="22"/>
        </w:rPr>
        <w:t>v oblasti kogenerační</w:t>
      </w:r>
      <w:r w:rsidRPr="00747978">
        <w:rPr>
          <w:sz w:val="22"/>
          <w:szCs w:val="22"/>
        </w:rPr>
        <w:t xml:space="preserve"> ORC jednotky o tepe</w:t>
      </w:r>
      <w:r>
        <w:rPr>
          <w:sz w:val="22"/>
          <w:szCs w:val="22"/>
        </w:rPr>
        <w:t>lném výkonu 120 kW na dřevní</w:t>
      </w:r>
      <w:r w:rsidRPr="00747978">
        <w:rPr>
          <w:sz w:val="22"/>
          <w:szCs w:val="22"/>
        </w:rPr>
        <w:t xml:space="preserve"> štěpku v kontejner</w:t>
      </w:r>
      <w:r>
        <w:rPr>
          <w:sz w:val="22"/>
          <w:szCs w:val="22"/>
        </w:rPr>
        <w:t>ovém provedení</w:t>
      </w:r>
      <w:r w:rsidRPr="00747978">
        <w:rPr>
          <w:sz w:val="22"/>
          <w:szCs w:val="22"/>
        </w:rPr>
        <w:t xml:space="preserve"> s elektrickým </w:t>
      </w:r>
      <w:r>
        <w:rPr>
          <w:sz w:val="22"/>
          <w:szCs w:val="22"/>
        </w:rPr>
        <w:t>výkonem cca 5 kW - vyvinutí, stavba a otestování</w:t>
      </w:r>
      <w:r w:rsidRPr="00747978">
        <w:rPr>
          <w:sz w:val="22"/>
          <w:szCs w:val="22"/>
        </w:rPr>
        <w:t xml:space="preserve"> prototypu. Výhodami tohoto prototypu bude (mimo samotné kom</w:t>
      </w:r>
      <w:r>
        <w:rPr>
          <w:sz w:val="22"/>
          <w:szCs w:val="22"/>
        </w:rPr>
        <w:t xml:space="preserve">binované výroby) možnost umístit takovou jednotku vně </w:t>
      </w:r>
      <w:r w:rsidRPr="00747978">
        <w:rPr>
          <w:sz w:val="22"/>
          <w:szCs w:val="22"/>
        </w:rPr>
        <w:t>budovy (díky</w:t>
      </w:r>
      <w:r>
        <w:rPr>
          <w:sz w:val="22"/>
          <w:szCs w:val="22"/>
        </w:rPr>
        <w:t xml:space="preserve"> kontejnerovému řešení</w:t>
      </w:r>
      <w:r w:rsidRPr="00747978">
        <w:rPr>
          <w:sz w:val="22"/>
          <w:szCs w:val="22"/>
        </w:rPr>
        <w:t>) a schopnost zpracovat i méně kvalitní́ palivo. Dle plánu a předpokladů se podařilo vyvinout technologie s velkým tržním potenciálem, což̌</w:t>
      </w:r>
      <w:r>
        <w:rPr>
          <w:sz w:val="22"/>
          <w:szCs w:val="22"/>
        </w:rPr>
        <w:t xml:space="preserve"> je potvrzeno aplikačním garantem</w:t>
      </w:r>
      <w:r w:rsidRPr="00747978">
        <w:rPr>
          <w:sz w:val="22"/>
          <w:szCs w:val="22"/>
        </w:rPr>
        <w:t>. Všichni 3 uchazeči by se i nadále budou podílet na následné́ výrobě a vývoji této technologie.</w:t>
      </w:r>
      <w:r>
        <w:rPr>
          <w:sz w:val="22"/>
          <w:szCs w:val="22"/>
        </w:rPr>
        <w:t xml:space="preserve"> </w:t>
      </w:r>
    </w:p>
    <w:p w14:paraId="60F448C3" w14:textId="77777777" w:rsidR="00103BC7" w:rsidRDefault="00103BC7" w:rsidP="00103BC7">
      <w:pPr>
        <w:pStyle w:val="Default"/>
        <w:jc w:val="both"/>
        <w:rPr>
          <w:sz w:val="22"/>
          <w:szCs w:val="22"/>
        </w:rPr>
      </w:pPr>
    </w:p>
    <w:p w14:paraId="16983A9B" w14:textId="77777777" w:rsidR="00103BC7" w:rsidRDefault="00103BC7" w:rsidP="00103BC7">
      <w:pPr>
        <w:pStyle w:val="Default"/>
        <w:rPr>
          <w:b/>
          <w:bCs/>
          <w:color w:val="auto"/>
          <w:sz w:val="22"/>
          <w:szCs w:val="22"/>
        </w:rPr>
      </w:pPr>
      <w:r>
        <w:rPr>
          <w:b/>
          <w:bCs/>
          <w:color w:val="auto"/>
          <w:sz w:val="22"/>
          <w:szCs w:val="22"/>
        </w:rPr>
        <w:t xml:space="preserve">2. Přehled </w:t>
      </w:r>
    </w:p>
    <w:p w14:paraId="690D1703" w14:textId="77777777" w:rsidR="00103BC7" w:rsidRDefault="00103BC7" w:rsidP="00103BC7">
      <w:pPr>
        <w:pStyle w:val="Default"/>
        <w:rPr>
          <w:sz w:val="22"/>
          <w:szCs w:val="22"/>
        </w:rPr>
      </w:pPr>
    </w:p>
    <w:tbl>
      <w:tblPr>
        <w:tblStyle w:val="Mkatabulky"/>
        <w:tblW w:w="0" w:type="auto"/>
        <w:tblLayout w:type="fixed"/>
        <w:tblLook w:val="04A0" w:firstRow="1" w:lastRow="0" w:firstColumn="1" w:lastColumn="0" w:noHBand="0" w:noVBand="1"/>
      </w:tblPr>
      <w:tblGrid>
        <w:gridCol w:w="2617"/>
        <w:gridCol w:w="5146"/>
        <w:gridCol w:w="709"/>
        <w:gridCol w:w="1842"/>
        <w:gridCol w:w="1701"/>
        <w:gridCol w:w="3294"/>
      </w:tblGrid>
      <w:tr w:rsidR="00103BC7" w14:paraId="3B687F29" w14:textId="77777777" w:rsidTr="00FE48F5">
        <w:tc>
          <w:tcPr>
            <w:tcW w:w="2617" w:type="dxa"/>
          </w:tcPr>
          <w:p w14:paraId="3638AB9A" w14:textId="77777777" w:rsidR="00103BC7" w:rsidRDefault="00103BC7" w:rsidP="00FE48F5">
            <w:pPr>
              <w:pStyle w:val="Default"/>
              <w:rPr>
                <w:sz w:val="22"/>
                <w:szCs w:val="22"/>
              </w:rPr>
            </w:pPr>
            <w:r>
              <w:rPr>
                <w:b/>
                <w:bCs/>
                <w:sz w:val="22"/>
                <w:szCs w:val="22"/>
              </w:rPr>
              <w:t>Název výsledku</w:t>
            </w:r>
          </w:p>
        </w:tc>
        <w:tc>
          <w:tcPr>
            <w:tcW w:w="5146" w:type="dxa"/>
          </w:tcPr>
          <w:p w14:paraId="371C00CC" w14:textId="77777777" w:rsidR="00103BC7" w:rsidRDefault="00103BC7" w:rsidP="00FE48F5">
            <w:pPr>
              <w:pStyle w:val="Default"/>
              <w:rPr>
                <w:sz w:val="22"/>
                <w:szCs w:val="22"/>
              </w:rPr>
            </w:pPr>
            <w:r>
              <w:rPr>
                <w:b/>
                <w:bCs/>
                <w:sz w:val="22"/>
                <w:szCs w:val="22"/>
              </w:rPr>
              <w:t>Vymezení Výsledku</w:t>
            </w:r>
          </w:p>
        </w:tc>
        <w:tc>
          <w:tcPr>
            <w:tcW w:w="709" w:type="dxa"/>
          </w:tcPr>
          <w:p w14:paraId="48576162" w14:textId="77777777" w:rsidR="00103BC7" w:rsidRPr="0034377C" w:rsidRDefault="00103BC7" w:rsidP="00FE48F5">
            <w:pPr>
              <w:pStyle w:val="Default"/>
              <w:rPr>
                <w:sz w:val="20"/>
                <w:szCs w:val="20"/>
              </w:rPr>
            </w:pPr>
            <w:r w:rsidRPr="0034377C">
              <w:rPr>
                <w:b/>
                <w:bCs/>
                <w:sz w:val="20"/>
                <w:szCs w:val="20"/>
              </w:rPr>
              <w:t>Počet</w:t>
            </w:r>
          </w:p>
        </w:tc>
        <w:tc>
          <w:tcPr>
            <w:tcW w:w="1842" w:type="dxa"/>
          </w:tcPr>
          <w:p w14:paraId="5B3FCD2F" w14:textId="77777777" w:rsidR="00103BC7" w:rsidRPr="00280565" w:rsidRDefault="00103BC7" w:rsidP="00FE48F5">
            <w:pPr>
              <w:pStyle w:val="Default"/>
              <w:rPr>
                <w:b/>
                <w:bCs/>
                <w:sz w:val="22"/>
                <w:szCs w:val="22"/>
              </w:rPr>
            </w:pPr>
            <w:r w:rsidRPr="00280565">
              <w:rPr>
                <w:b/>
                <w:bCs/>
                <w:sz w:val="22"/>
                <w:szCs w:val="22"/>
              </w:rPr>
              <w:t xml:space="preserve">Identifikační číslo </w:t>
            </w:r>
          </w:p>
          <w:p w14:paraId="39AF6316" w14:textId="77777777" w:rsidR="00103BC7" w:rsidRPr="00280565" w:rsidRDefault="00103BC7" w:rsidP="00FE48F5">
            <w:pPr>
              <w:pStyle w:val="Default"/>
              <w:rPr>
                <w:b/>
                <w:bCs/>
                <w:sz w:val="22"/>
                <w:szCs w:val="22"/>
              </w:rPr>
            </w:pPr>
            <w:r w:rsidRPr="00280565">
              <w:rPr>
                <w:b/>
                <w:bCs/>
                <w:sz w:val="22"/>
                <w:szCs w:val="22"/>
              </w:rPr>
              <w:t>d</w:t>
            </w:r>
            <w:r>
              <w:rPr>
                <w:b/>
                <w:bCs/>
                <w:sz w:val="22"/>
                <w:szCs w:val="22"/>
              </w:rPr>
              <w:t xml:space="preserve">le Závazných parametrů </w:t>
            </w:r>
            <w:r>
              <w:rPr>
                <w:b/>
                <w:bCs/>
                <w:sz w:val="22"/>
                <w:szCs w:val="22"/>
              </w:rPr>
              <w:br/>
              <w:t>projektu a</w:t>
            </w:r>
            <w:r w:rsidRPr="00280565">
              <w:rPr>
                <w:b/>
                <w:bCs/>
                <w:sz w:val="22"/>
                <w:szCs w:val="22"/>
              </w:rPr>
              <w:t xml:space="preserve"> ISTA </w:t>
            </w:r>
          </w:p>
        </w:tc>
        <w:tc>
          <w:tcPr>
            <w:tcW w:w="1701" w:type="dxa"/>
          </w:tcPr>
          <w:p w14:paraId="187902C2" w14:textId="77777777" w:rsidR="00103BC7" w:rsidRDefault="00103BC7" w:rsidP="00FE48F5">
            <w:pPr>
              <w:pStyle w:val="Default"/>
              <w:rPr>
                <w:sz w:val="22"/>
                <w:szCs w:val="22"/>
              </w:rPr>
            </w:pPr>
            <w:r>
              <w:rPr>
                <w:b/>
                <w:bCs/>
                <w:sz w:val="22"/>
                <w:szCs w:val="22"/>
              </w:rPr>
              <w:t>Kategorie Výsledku</w:t>
            </w:r>
          </w:p>
        </w:tc>
        <w:tc>
          <w:tcPr>
            <w:tcW w:w="3294" w:type="dxa"/>
          </w:tcPr>
          <w:p w14:paraId="756B960E" w14:textId="77777777" w:rsidR="00103BC7" w:rsidRPr="00FB6957" w:rsidRDefault="00103BC7" w:rsidP="00FE48F5">
            <w:pPr>
              <w:pStyle w:val="Default"/>
              <w:rPr>
                <w:sz w:val="22"/>
                <w:szCs w:val="22"/>
              </w:rPr>
            </w:pPr>
            <w:r w:rsidRPr="00FB6957">
              <w:rPr>
                <w:b/>
                <w:bCs/>
                <w:sz w:val="22"/>
                <w:szCs w:val="22"/>
              </w:rPr>
              <w:t>Podíl Smluvních stran</w:t>
            </w:r>
          </w:p>
        </w:tc>
      </w:tr>
      <w:tr w:rsidR="00103BC7" w14:paraId="399AB865" w14:textId="77777777" w:rsidTr="00FE48F5">
        <w:tc>
          <w:tcPr>
            <w:tcW w:w="2617" w:type="dxa"/>
          </w:tcPr>
          <w:p w14:paraId="32E32D46" w14:textId="77777777" w:rsidR="00103BC7" w:rsidRPr="008A37E3" w:rsidRDefault="00103BC7" w:rsidP="00FE48F5">
            <w:pPr>
              <w:pStyle w:val="Default"/>
              <w:rPr>
                <w:rFonts w:asciiTheme="minorHAnsi" w:hAnsiTheme="minorHAnsi"/>
                <w:sz w:val="22"/>
                <w:szCs w:val="22"/>
              </w:rPr>
            </w:pPr>
            <w:r w:rsidRPr="008A37E3">
              <w:rPr>
                <w:sz w:val="22"/>
                <w:szCs w:val="22"/>
              </w:rPr>
              <w:t>Prototyp „Kogenerační ORC jednotka o tepelném výkonu 120 kW na dřevní štěpku v kontejnerovém provedení“</w:t>
            </w:r>
          </w:p>
        </w:tc>
        <w:tc>
          <w:tcPr>
            <w:tcW w:w="5146" w:type="dxa"/>
          </w:tcPr>
          <w:p w14:paraId="504CA70D" w14:textId="77777777" w:rsidR="00103BC7" w:rsidRPr="00A06BC0" w:rsidRDefault="00103BC7" w:rsidP="00FE48F5">
            <w:pPr>
              <w:pStyle w:val="Default"/>
              <w:rPr>
                <w:sz w:val="18"/>
                <w:szCs w:val="18"/>
              </w:rPr>
            </w:pPr>
            <w:r w:rsidRPr="002923B3">
              <w:rPr>
                <w:sz w:val="18"/>
                <w:szCs w:val="18"/>
              </w:rPr>
              <w:t>Prototyp kogenerační ORC (pracující na základě organického Rankinova cyklu) jednotky o tepelném výkonu 120 kW na dřevní štěpku v kontejnerovém provedení s produktovým označením Wave120 slouží ke kombinované výrobě elektřiny a tepla z dřevní štěpky, přičemž jeho provoz je plně automatický a lze jej ovládat za pomoci vzdáleného přístupu.</w:t>
            </w:r>
          </w:p>
        </w:tc>
        <w:tc>
          <w:tcPr>
            <w:tcW w:w="709" w:type="dxa"/>
          </w:tcPr>
          <w:p w14:paraId="27B188A6" w14:textId="77777777" w:rsidR="00103BC7" w:rsidRDefault="00103BC7" w:rsidP="00FE48F5">
            <w:pPr>
              <w:pStyle w:val="Default"/>
              <w:rPr>
                <w:sz w:val="22"/>
                <w:szCs w:val="22"/>
              </w:rPr>
            </w:pPr>
            <w:r>
              <w:rPr>
                <w:sz w:val="22"/>
                <w:szCs w:val="22"/>
              </w:rPr>
              <w:t>1</w:t>
            </w:r>
          </w:p>
        </w:tc>
        <w:tc>
          <w:tcPr>
            <w:tcW w:w="1842" w:type="dxa"/>
          </w:tcPr>
          <w:p w14:paraId="60D4037F" w14:textId="77777777" w:rsidR="00103BC7" w:rsidRPr="00280565" w:rsidRDefault="00103BC7" w:rsidP="00FE48F5">
            <w:pPr>
              <w:pStyle w:val="Default"/>
              <w:rPr>
                <w:sz w:val="22"/>
                <w:szCs w:val="22"/>
              </w:rPr>
            </w:pPr>
            <w:r>
              <w:rPr>
                <w:rFonts w:asciiTheme="minorHAnsi" w:hAnsiTheme="minorHAnsi"/>
                <w:sz w:val="22"/>
                <w:szCs w:val="22"/>
              </w:rPr>
              <w:t>TK01020061-</w:t>
            </w:r>
            <w:r w:rsidRPr="002923B3">
              <w:rPr>
                <w:rFonts w:asciiTheme="minorHAnsi" w:hAnsiTheme="minorHAnsi"/>
                <w:sz w:val="22"/>
                <w:szCs w:val="22"/>
              </w:rPr>
              <w:t>V1</w:t>
            </w:r>
          </w:p>
        </w:tc>
        <w:tc>
          <w:tcPr>
            <w:tcW w:w="1701" w:type="dxa"/>
          </w:tcPr>
          <w:p w14:paraId="40970C02" w14:textId="77777777" w:rsidR="00103BC7" w:rsidRPr="00A06BC0" w:rsidRDefault="00103BC7" w:rsidP="00FE48F5">
            <w:pPr>
              <w:pStyle w:val="Default"/>
              <w:rPr>
                <w:sz w:val="18"/>
                <w:szCs w:val="18"/>
              </w:rPr>
            </w:pPr>
            <w:r>
              <w:rPr>
                <w:sz w:val="18"/>
                <w:szCs w:val="18"/>
              </w:rPr>
              <w:t xml:space="preserve">Gprot - Prototyp </w:t>
            </w:r>
          </w:p>
        </w:tc>
        <w:tc>
          <w:tcPr>
            <w:tcW w:w="3294" w:type="dxa"/>
          </w:tcPr>
          <w:p w14:paraId="7DB47FA4" w14:textId="77777777" w:rsidR="00103BC7" w:rsidRDefault="00103BC7" w:rsidP="00FE48F5">
            <w:pPr>
              <w:pStyle w:val="Default"/>
              <w:rPr>
                <w:sz w:val="22"/>
                <w:szCs w:val="22"/>
              </w:rPr>
            </w:pPr>
            <w:r w:rsidRPr="00393FF4">
              <w:rPr>
                <w:b/>
                <w:sz w:val="22"/>
                <w:szCs w:val="22"/>
              </w:rPr>
              <w:t>Příjemce:</w:t>
            </w:r>
            <w:r>
              <w:rPr>
                <w:sz w:val="22"/>
                <w:szCs w:val="22"/>
              </w:rPr>
              <w:t xml:space="preserve"> 51 %</w:t>
            </w:r>
          </w:p>
          <w:p w14:paraId="1091AB65" w14:textId="77777777" w:rsidR="00103BC7" w:rsidRDefault="00103BC7" w:rsidP="00FE48F5">
            <w:pPr>
              <w:pStyle w:val="Default"/>
              <w:rPr>
                <w:sz w:val="22"/>
                <w:szCs w:val="22"/>
              </w:rPr>
            </w:pPr>
            <w:r w:rsidRPr="00393FF4">
              <w:rPr>
                <w:b/>
                <w:sz w:val="22"/>
                <w:szCs w:val="22"/>
              </w:rPr>
              <w:t>Další účastník 1:</w:t>
            </w:r>
            <w:r>
              <w:rPr>
                <w:sz w:val="22"/>
                <w:szCs w:val="22"/>
              </w:rPr>
              <w:t xml:space="preserve"> </w:t>
            </w:r>
            <w:r w:rsidRPr="006F0B6E">
              <w:rPr>
                <w:i/>
                <w:sz w:val="22"/>
                <w:szCs w:val="22"/>
              </w:rPr>
              <w:t>Ing. Miroslav Šamata, IČO: 74139827:</w:t>
            </w:r>
            <w:r>
              <w:rPr>
                <w:sz w:val="22"/>
                <w:szCs w:val="22"/>
              </w:rPr>
              <w:t xml:space="preserve"> 20 %</w:t>
            </w:r>
          </w:p>
          <w:p w14:paraId="3F68FC10" w14:textId="77777777" w:rsidR="00103BC7" w:rsidRPr="00FB6957" w:rsidRDefault="00103BC7" w:rsidP="00FE48F5">
            <w:pPr>
              <w:pStyle w:val="Default"/>
              <w:rPr>
                <w:sz w:val="22"/>
                <w:szCs w:val="22"/>
              </w:rPr>
            </w:pPr>
            <w:r w:rsidRPr="00393FF4">
              <w:rPr>
                <w:b/>
                <w:sz w:val="22"/>
                <w:szCs w:val="22"/>
              </w:rPr>
              <w:t>Další účastník 2:</w:t>
            </w:r>
            <w:r>
              <w:rPr>
                <w:sz w:val="22"/>
                <w:szCs w:val="22"/>
              </w:rPr>
              <w:t xml:space="preserve"> </w:t>
            </w:r>
            <w:r w:rsidRPr="006F0B6E">
              <w:rPr>
                <w:i/>
                <w:sz w:val="22"/>
                <w:szCs w:val="22"/>
              </w:rPr>
              <w:t>BHC Jílové s.r.o., IČO: 27211746:</w:t>
            </w:r>
            <w:r>
              <w:rPr>
                <w:sz w:val="22"/>
                <w:szCs w:val="22"/>
              </w:rPr>
              <w:t xml:space="preserve"> 29 %</w:t>
            </w:r>
          </w:p>
        </w:tc>
      </w:tr>
      <w:tr w:rsidR="00103BC7" w14:paraId="01708334" w14:textId="77777777" w:rsidTr="00FE48F5">
        <w:tc>
          <w:tcPr>
            <w:tcW w:w="2617" w:type="dxa"/>
          </w:tcPr>
          <w:p w14:paraId="7FA0D893" w14:textId="77777777" w:rsidR="00103BC7" w:rsidRDefault="00103BC7" w:rsidP="00FE48F5">
            <w:pPr>
              <w:pStyle w:val="Default"/>
              <w:rPr>
                <w:rFonts w:asciiTheme="minorHAnsi" w:hAnsiTheme="minorHAnsi"/>
                <w:sz w:val="22"/>
                <w:szCs w:val="22"/>
              </w:rPr>
            </w:pPr>
            <w:r>
              <w:rPr>
                <w:rFonts w:asciiTheme="minorHAnsi" w:hAnsiTheme="minorHAnsi"/>
                <w:sz w:val="22"/>
                <w:szCs w:val="22"/>
              </w:rPr>
              <w:t>Užitný vzor (UV) „</w:t>
            </w:r>
            <w:r w:rsidRPr="0034377C">
              <w:rPr>
                <w:rFonts w:asciiTheme="minorHAnsi" w:hAnsiTheme="minorHAnsi"/>
                <w:sz w:val="22"/>
                <w:szCs w:val="22"/>
              </w:rPr>
              <w:t>Zařízení s regulovatelnou teplotou spalin s ohništěm a spalinovým výměníkem</w:t>
            </w:r>
            <w:r>
              <w:rPr>
                <w:rFonts w:asciiTheme="minorHAnsi" w:hAnsiTheme="minorHAnsi"/>
                <w:sz w:val="22"/>
                <w:szCs w:val="22"/>
              </w:rPr>
              <w:t xml:space="preserve">“ </w:t>
            </w:r>
          </w:p>
        </w:tc>
        <w:tc>
          <w:tcPr>
            <w:tcW w:w="5146" w:type="dxa"/>
          </w:tcPr>
          <w:p w14:paraId="58A17018" w14:textId="77777777" w:rsidR="00103BC7" w:rsidRDefault="00103BC7" w:rsidP="00FE48F5">
            <w:pPr>
              <w:pStyle w:val="Default"/>
              <w:rPr>
                <w:sz w:val="18"/>
                <w:szCs w:val="18"/>
              </w:rPr>
            </w:pPr>
            <w:r w:rsidRPr="00C245F7">
              <w:rPr>
                <w:sz w:val="18"/>
                <w:szCs w:val="18"/>
              </w:rPr>
              <w:t xml:space="preserve">Užitný vzor (název podle návrhu projektu Integrované ohniště na dřevní štěpku se směšovací komorou a </w:t>
            </w:r>
            <w:r w:rsidRPr="00347148">
              <w:rPr>
                <w:sz w:val="18"/>
                <w:szCs w:val="18"/>
              </w:rPr>
              <w:t>klapkou pro přívod chladícího vzduchu</w:t>
            </w:r>
            <w:r w:rsidRPr="00C245F7">
              <w:rPr>
                <w:sz w:val="18"/>
                <w:szCs w:val="18"/>
              </w:rPr>
              <w:t>): Technické řešení – integrované ohniště na dřevní štěpku se směšovací komorou a klapkou pro přívod chladicího vzduchu jako součást biomasového mikrokogeneračního zdroje pracujícího s organickým Rankinovým cyklem (ORC). Úkolem integrovaného ohniště v rámci ORC jednotky je přívod paliva, jeho zapálení, vyhoření na roštu, automatický odvod popela a zejména zajištění přívodu spalin o stabilní teplotě do spalinových výměníků ORC.</w:t>
            </w:r>
          </w:p>
          <w:p w14:paraId="445629C0" w14:textId="77777777" w:rsidR="00103BC7" w:rsidRDefault="00103BC7" w:rsidP="00FE48F5">
            <w:pPr>
              <w:pStyle w:val="Default"/>
              <w:rPr>
                <w:sz w:val="18"/>
                <w:szCs w:val="18"/>
              </w:rPr>
            </w:pPr>
            <w:r>
              <w:rPr>
                <w:sz w:val="18"/>
                <w:szCs w:val="18"/>
              </w:rPr>
              <w:lastRenderedPageBreak/>
              <w:t xml:space="preserve">Číslo přihlášky: </w:t>
            </w:r>
            <w:r w:rsidRPr="008E3B3F">
              <w:rPr>
                <w:sz w:val="18"/>
                <w:szCs w:val="18"/>
              </w:rPr>
              <w:t>2020</w:t>
            </w:r>
            <w:r>
              <w:rPr>
                <w:sz w:val="18"/>
                <w:szCs w:val="18"/>
              </w:rPr>
              <w:t>-37596 ze dne 29.5.2020; datum udělení – zápisu užitného vzoru: 7.7.2020, číslo zapsaného UV: 34162</w:t>
            </w:r>
          </w:p>
          <w:p w14:paraId="388C8D35" w14:textId="77777777" w:rsidR="00103BC7" w:rsidRPr="00C245F7" w:rsidRDefault="00103BC7" w:rsidP="00FE48F5">
            <w:pPr>
              <w:pStyle w:val="Default"/>
              <w:rPr>
                <w:sz w:val="18"/>
                <w:szCs w:val="18"/>
              </w:rPr>
            </w:pPr>
            <w:r>
              <w:rPr>
                <w:sz w:val="18"/>
                <w:szCs w:val="18"/>
              </w:rPr>
              <w:t xml:space="preserve">Odkaz na stránkách ÚPV: </w:t>
            </w:r>
            <w:hyperlink r:id="rId14" w:history="1">
              <w:r w:rsidRPr="00532A10">
                <w:rPr>
                  <w:rStyle w:val="Hypertextovodkaz"/>
                  <w:sz w:val="18"/>
                  <w:szCs w:val="18"/>
                </w:rPr>
                <w:t>https://isdv.upv.cz/doc/FullFiles/UtilityModels/FullDocuments/FDUM0034/uv034162.pdf</w:t>
              </w:r>
            </w:hyperlink>
          </w:p>
        </w:tc>
        <w:tc>
          <w:tcPr>
            <w:tcW w:w="709" w:type="dxa"/>
          </w:tcPr>
          <w:p w14:paraId="0311F7A9" w14:textId="77777777" w:rsidR="00103BC7" w:rsidRDefault="00103BC7" w:rsidP="00FE48F5">
            <w:pPr>
              <w:pStyle w:val="Default"/>
              <w:rPr>
                <w:sz w:val="22"/>
                <w:szCs w:val="22"/>
              </w:rPr>
            </w:pPr>
            <w:r>
              <w:rPr>
                <w:sz w:val="22"/>
                <w:szCs w:val="22"/>
              </w:rPr>
              <w:lastRenderedPageBreak/>
              <w:t>1</w:t>
            </w:r>
          </w:p>
        </w:tc>
        <w:tc>
          <w:tcPr>
            <w:tcW w:w="1842" w:type="dxa"/>
          </w:tcPr>
          <w:p w14:paraId="6356B3DB" w14:textId="77777777" w:rsidR="00103BC7" w:rsidRPr="00280565" w:rsidRDefault="00103BC7" w:rsidP="00FE48F5">
            <w:pPr>
              <w:pStyle w:val="Default"/>
              <w:rPr>
                <w:sz w:val="22"/>
                <w:szCs w:val="22"/>
              </w:rPr>
            </w:pPr>
            <w:r>
              <w:rPr>
                <w:sz w:val="22"/>
                <w:szCs w:val="22"/>
              </w:rPr>
              <w:t>TK01020061-</w:t>
            </w:r>
            <w:r w:rsidRPr="0034377C">
              <w:rPr>
                <w:sz w:val="22"/>
                <w:szCs w:val="22"/>
              </w:rPr>
              <w:t>V2</w:t>
            </w:r>
          </w:p>
        </w:tc>
        <w:tc>
          <w:tcPr>
            <w:tcW w:w="1701" w:type="dxa"/>
          </w:tcPr>
          <w:p w14:paraId="103ED1E0" w14:textId="77777777" w:rsidR="00103BC7" w:rsidRDefault="00103BC7" w:rsidP="00FE48F5">
            <w:pPr>
              <w:pStyle w:val="Default"/>
              <w:rPr>
                <w:sz w:val="18"/>
                <w:szCs w:val="18"/>
              </w:rPr>
            </w:pPr>
            <w:r>
              <w:rPr>
                <w:sz w:val="18"/>
                <w:szCs w:val="18"/>
              </w:rPr>
              <w:t>Fuzit – Užitný vzor</w:t>
            </w:r>
          </w:p>
        </w:tc>
        <w:tc>
          <w:tcPr>
            <w:tcW w:w="3294" w:type="dxa"/>
          </w:tcPr>
          <w:p w14:paraId="55062569" w14:textId="77777777" w:rsidR="00103BC7" w:rsidRDefault="00103BC7" w:rsidP="00FE48F5">
            <w:pPr>
              <w:pStyle w:val="Default"/>
              <w:rPr>
                <w:sz w:val="22"/>
                <w:szCs w:val="22"/>
              </w:rPr>
            </w:pPr>
            <w:r w:rsidRPr="00393FF4">
              <w:rPr>
                <w:b/>
                <w:sz w:val="22"/>
                <w:szCs w:val="22"/>
              </w:rPr>
              <w:t>Příjemce:</w:t>
            </w:r>
            <w:r>
              <w:rPr>
                <w:sz w:val="22"/>
                <w:szCs w:val="22"/>
              </w:rPr>
              <w:t xml:space="preserve"> 25 %</w:t>
            </w:r>
          </w:p>
          <w:p w14:paraId="67D61F55" w14:textId="77777777" w:rsidR="00103BC7" w:rsidRDefault="00103BC7" w:rsidP="00FE48F5">
            <w:pPr>
              <w:pStyle w:val="Default"/>
              <w:rPr>
                <w:sz w:val="22"/>
                <w:szCs w:val="22"/>
              </w:rPr>
            </w:pPr>
            <w:r w:rsidRPr="00393FF4">
              <w:rPr>
                <w:b/>
                <w:sz w:val="22"/>
                <w:szCs w:val="22"/>
              </w:rPr>
              <w:t>Další účastník 1:</w:t>
            </w:r>
            <w:r>
              <w:rPr>
                <w:sz w:val="22"/>
                <w:szCs w:val="22"/>
              </w:rPr>
              <w:t xml:space="preserve"> </w:t>
            </w:r>
            <w:r w:rsidRPr="006F0B6E">
              <w:rPr>
                <w:i/>
                <w:sz w:val="22"/>
                <w:szCs w:val="22"/>
              </w:rPr>
              <w:t>Ing. Miroslav Šamata, IČO: 74139827:</w:t>
            </w:r>
            <w:r>
              <w:rPr>
                <w:sz w:val="22"/>
                <w:szCs w:val="22"/>
              </w:rPr>
              <w:t xml:space="preserve"> 75 %</w:t>
            </w:r>
          </w:p>
          <w:p w14:paraId="1C7CF931" w14:textId="77777777" w:rsidR="00103BC7" w:rsidRPr="00FB6957" w:rsidRDefault="00103BC7" w:rsidP="00FE48F5">
            <w:pPr>
              <w:pStyle w:val="Default"/>
              <w:rPr>
                <w:sz w:val="22"/>
                <w:szCs w:val="22"/>
              </w:rPr>
            </w:pPr>
            <w:r w:rsidRPr="00393FF4">
              <w:rPr>
                <w:b/>
                <w:sz w:val="22"/>
                <w:szCs w:val="22"/>
              </w:rPr>
              <w:t>Další účastník 2:</w:t>
            </w:r>
            <w:r>
              <w:rPr>
                <w:sz w:val="22"/>
                <w:szCs w:val="22"/>
              </w:rPr>
              <w:t xml:space="preserve"> </w:t>
            </w:r>
            <w:r w:rsidRPr="006F0B6E">
              <w:rPr>
                <w:i/>
                <w:sz w:val="22"/>
                <w:szCs w:val="22"/>
              </w:rPr>
              <w:t>BHC Jílové s.r.o., IČO: 27211746:</w:t>
            </w:r>
            <w:r>
              <w:rPr>
                <w:sz w:val="22"/>
                <w:szCs w:val="22"/>
              </w:rPr>
              <w:t xml:space="preserve"> 0 %</w:t>
            </w:r>
          </w:p>
        </w:tc>
      </w:tr>
      <w:tr w:rsidR="00103BC7" w14:paraId="67C26E88" w14:textId="77777777" w:rsidTr="00FE48F5">
        <w:tc>
          <w:tcPr>
            <w:tcW w:w="2617" w:type="dxa"/>
          </w:tcPr>
          <w:p w14:paraId="5466106C" w14:textId="77777777" w:rsidR="00103BC7" w:rsidRDefault="00103BC7" w:rsidP="00FE48F5">
            <w:pPr>
              <w:pStyle w:val="Default"/>
              <w:rPr>
                <w:rFonts w:asciiTheme="minorHAnsi" w:hAnsiTheme="minorHAnsi"/>
                <w:sz w:val="22"/>
                <w:szCs w:val="22"/>
              </w:rPr>
            </w:pPr>
            <w:r>
              <w:rPr>
                <w:rFonts w:asciiTheme="minorHAnsi" w:hAnsiTheme="minorHAnsi"/>
                <w:sz w:val="22"/>
                <w:szCs w:val="22"/>
              </w:rPr>
              <w:t>Užitný vzor (UV) „</w:t>
            </w:r>
            <w:r w:rsidRPr="008E3B3F">
              <w:rPr>
                <w:rFonts w:asciiTheme="minorHAnsi" w:hAnsiTheme="minorHAnsi"/>
                <w:sz w:val="22"/>
                <w:szCs w:val="22"/>
              </w:rPr>
              <w:t>Spalinový výměník pro ohřev teplosměnného média pomocí spalin</w:t>
            </w:r>
            <w:r>
              <w:rPr>
                <w:rFonts w:asciiTheme="minorHAnsi" w:hAnsiTheme="minorHAnsi"/>
                <w:sz w:val="22"/>
                <w:szCs w:val="22"/>
              </w:rPr>
              <w:t xml:space="preserve">“ </w:t>
            </w:r>
          </w:p>
        </w:tc>
        <w:tc>
          <w:tcPr>
            <w:tcW w:w="5146" w:type="dxa"/>
          </w:tcPr>
          <w:p w14:paraId="6A90D15B" w14:textId="77777777" w:rsidR="00103BC7" w:rsidRDefault="00103BC7" w:rsidP="00FE48F5">
            <w:pPr>
              <w:pStyle w:val="Default"/>
              <w:rPr>
                <w:sz w:val="18"/>
                <w:szCs w:val="18"/>
              </w:rPr>
            </w:pPr>
            <w:r w:rsidRPr="00C245F7">
              <w:rPr>
                <w:sz w:val="18"/>
                <w:szCs w:val="18"/>
              </w:rPr>
              <w:t xml:space="preserve">Užitný vzor (název podle návrhu projektu </w:t>
            </w:r>
            <w:r w:rsidRPr="00163E30">
              <w:rPr>
                <w:sz w:val="18"/>
                <w:szCs w:val="18"/>
              </w:rPr>
              <w:t>Spalinový integrovaný výměník pro př</w:t>
            </w:r>
            <w:r>
              <w:rPr>
                <w:sz w:val="18"/>
                <w:szCs w:val="18"/>
              </w:rPr>
              <w:t xml:space="preserve">ímý ohřev ORC media se systémem </w:t>
            </w:r>
            <w:r w:rsidRPr="00163E30">
              <w:rPr>
                <w:sz w:val="18"/>
                <w:szCs w:val="18"/>
              </w:rPr>
              <w:t>automatického čištění</w:t>
            </w:r>
            <w:r>
              <w:rPr>
                <w:sz w:val="18"/>
                <w:szCs w:val="18"/>
              </w:rPr>
              <w:t xml:space="preserve">. </w:t>
            </w:r>
          </w:p>
          <w:p w14:paraId="50BC785C" w14:textId="77777777" w:rsidR="00103BC7" w:rsidRDefault="00103BC7" w:rsidP="00FE48F5">
            <w:pPr>
              <w:pStyle w:val="Default"/>
              <w:rPr>
                <w:sz w:val="18"/>
                <w:szCs w:val="18"/>
              </w:rPr>
            </w:pPr>
            <w:r w:rsidRPr="008E3B3F">
              <w:rPr>
                <w:sz w:val="18"/>
                <w:szCs w:val="18"/>
              </w:rPr>
              <w:t>Technické řešení se týká spalinového výměníku, který může fungovat např. jako dílčí technologický celek kogenerační jednotky pracující na základě organického Rankinova cyklu (ORC). Navržený spalinový výměník je řešen jako průtočný s anuloidním průtočným prostorem, díky čemuž je možné automaticky pravidelně teplosměnné plochy čistit. Průtočné řešení na straně média pak umožňuje rychlé dynamické změny parametrů média a tepelného cyklu metodou klouzavého tlaku na konstantní teplotu přehřátí média na výstupu z výměníku.</w:t>
            </w:r>
          </w:p>
          <w:p w14:paraId="69623544" w14:textId="77777777" w:rsidR="00103BC7" w:rsidRDefault="00103BC7" w:rsidP="00FE48F5">
            <w:pPr>
              <w:pStyle w:val="Default"/>
              <w:rPr>
                <w:sz w:val="18"/>
                <w:szCs w:val="18"/>
              </w:rPr>
            </w:pPr>
            <w:r>
              <w:rPr>
                <w:sz w:val="18"/>
                <w:szCs w:val="18"/>
              </w:rPr>
              <w:t xml:space="preserve">Číslo přihlášky: </w:t>
            </w:r>
            <w:r w:rsidRPr="008E3B3F">
              <w:rPr>
                <w:sz w:val="18"/>
                <w:szCs w:val="18"/>
              </w:rPr>
              <w:t>2020-37595</w:t>
            </w:r>
            <w:r>
              <w:rPr>
                <w:sz w:val="18"/>
                <w:szCs w:val="18"/>
              </w:rPr>
              <w:t xml:space="preserve"> ze dne 29.5.2020; datum udělení – zápisu užitného vzoru: 7.7.2020, číslo zapsaného UV: 34161</w:t>
            </w:r>
          </w:p>
          <w:p w14:paraId="77A2555B" w14:textId="77777777" w:rsidR="00103BC7" w:rsidRPr="00A06BC0" w:rsidRDefault="00103BC7" w:rsidP="00FE48F5">
            <w:pPr>
              <w:pStyle w:val="Default"/>
              <w:rPr>
                <w:sz w:val="18"/>
                <w:szCs w:val="18"/>
              </w:rPr>
            </w:pPr>
            <w:r>
              <w:rPr>
                <w:sz w:val="18"/>
                <w:szCs w:val="18"/>
              </w:rPr>
              <w:t xml:space="preserve">Odkaz na stránkách ÚPV: </w:t>
            </w:r>
            <w:hyperlink r:id="rId15" w:history="1">
              <w:r w:rsidRPr="00532A10">
                <w:rPr>
                  <w:rStyle w:val="Hypertextovodkaz"/>
                  <w:sz w:val="18"/>
                  <w:szCs w:val="18"/>
                </w:rPr>
                <w:t>https://isdv.upv.cz/doc/FullFiles/UtilityModels/FullDocuments/FDUM0034/uv034161.pdf</w:t>
              </w:r>
            </w:hyperlink>
          </w:p>
        </w:tc>
        <w:tc>
          <w:tcPr>
            <w:tcW w:w="709" w:type="dxa"/>
          </w:tcPr>
          <w:p w14:paraId="29B1743A" w14:textId="77777777" w:rsidR="00103BC7" w:rsidRDefault="00103BC7" w:rsidP="00FE48F5">
            <w:pPr>
              <w:pStyle w:val="Default"/>
              <w:rPr>
                <w:sz w:val="22"/>
                <w:szCs w:val="22"/>
              </w:rPr>
            </w:pPr>
            <w:r>
              <w:rPr>
                <w:sz w:val="22"/>
                <w:szCs w:val="22"/>
              </w:rPr>
              <w:t>1</w:t>
            </w:r>
          </w:p>
        </w:tc>
        <w:tc>
          <w:tcPr>
            <w:tcW w:w="1842" w:type="dxa"/>
          </w:tcPr>
          <w:p w14:paraId="17C4ABC4" w14:textId="77777777" w:rsidR="00103BC7" w:rsidRPr="00280565" w:rsidRDefault="00103BC7" w:rsidP="00FE48F5">
            <w:pPr>
              <w:pStyle w:val="Default"/>
              <w:rPr>
                <w:sz w:val="22"/>
                <w:szCs w:val="22"/>
              </w:rPr>
            </w:pPr>
            <w:r>
              <w:rPr>
                <w:sz w:val="22"/>
                <w:szCs w:val="22"/>
              </w:rPr>
              <w:t>TK01020061-V3</w:t>
            </w:r>
          </w:p>
        </w:tc>
        <w:tc>
          <w:tcPr>
            <w:tcW w:w="1701" w:type="dxa"/>
          </w:tcPr>
          <w:p w14:paraId="6EFE37BF" w14:textId="77777777" w:rsidR="00103BC7" w:rsidRPr="00A06BC0" w:rsidRDefault="00103BC7" w:rsidP="00FE48F5">
            <w:pPr>
              <w:pStyle w:val="Default"/>
              <w:rPr>
                <w:sz w:val="18"/>
                <w:szCs w:val="18"/>
              </w:rPr>
            </w:pPr>
            <w:r>
              <w:rPr>
                <w:sz w:val="18"/>
                <w:szCs w:val="18"/>
              </w:rPr>
              <w:t>Fuzit – Užitný vzor</w:t>
            </w:r>
          </w:p>
        </w:tc>
        <w:tc>
          <w:tcPr>
            <w:tcW w:w="3294" w:type="dxa"/>
          </w:tcPr>
          <w:p w14:paraId="29AD8769" w14:textId="77777777" w:rsidR="00103BC7" w:rsidRDefault="00103BC7" w:rsidP="00FE48F5">
            <w:pPr>
              <w:pStyle w:val="Default"/>
              <w:rPr>
                <w:sz w:val="22"/>
                <w:szCs w:val="22"/>
              </w:rPr>
            </w:pPr>
            <w:r w:rsidRPr="00393FF4">
              <w:rPr>
                <w:b/>
                <w:sz w:val="22"/>
                <w:szCs w:val="22"/>
              </w:rPr>
              <w:t>Příjemce:</w:t>
            </w:r>
            <w:r>
              <w:rPr>
                <w:sz w:val="22"/>
                <w:szCs w:val="22"/>
              </w:rPr>
              <w:t xml:space="preserve"> 40 %</w:t>
            </w:r>
          </w:p>
          <w:p w14:paraId="013085B7" w14:textId="77777777" w:rsidR="00103BC7" w:rsidRDefault="00103BC7" w:rsidP="00FE48F5">
            <w:pPr>
              <w:pStyle w:val="Default"/>
              <w:rPr>
                <w:sz w:val="22"/>
                <w:szCs w:val="22"/>
              </w:rPr>
            </w:pPr>
            <w:r w:rsidRPr="00393FF4">
              <w:rPr>
                <w:b/>
                <w:sz w:val="22"/>
                <w:szCs w:val="22"/>
              </w:rPr>
              <w:t>Další účastník 1:</w:t>
            </w:r>
            <w:r>
              <w:rPr>
                <w:sz w:val="22"/>
                <w:szCs w:val="22"/>
              </w:rPr>
              <w:t xml:space="preserve"> </w:t>
            </w:r>
            <w:r w:rsidRPr="006F0B6E">
              <w:rPr>
                <w:i/>
                <w:sz w:val="22"/>
                <w:szCs w:val="22"/>
              </w:rPr>
              <w:t>Ing. Miroslav Šamata, IČO: 74139827:</w:t>
            </w:r>
            <w:r>
              <w:rPr>
                <w:sz w:val="22"/>
                <w:szCs w:val="22"/>
              </w:rPr>
              <w:t xml:space="preserve"> 0 %</w:t>
            </w:r>
          </w:p>
          <w:p w14:paraId="3D86644B" w14:textId="77777777" w:rsidR="00103BC7" w:rsidRPr="00FB6957" w:rsidRDefault="00103BC7" w:rsidP="00FE48F5">
            <w:pPr>
              <w:pStyle w:val="Default"/>
              <w:rPr>
                <w:sz w:val="22"/>
                <w:szCs w:val="22"/>
              </w:rPr>
            </w:pPr>
            <w:r w:rsidRPr="00393FF4">
              <w:rPr>
                <w:b/>
                <w:sz w:val="22"/>
                <w:szCs w:val="22"/>
              </w:rPr>
              <w:t>Další účastník 2:</w:t>
            </w:r>
            <w:r>
              <w:rPr>
                <w:sz w:val="22"/>
                <w:szCs w:val="22"/>
              </w:rPr>
              <w:t xml:space="preserve"> </w:t>
            </w:r>
            <w:r w:rsidRPr="006F0B6E">
              <w:rPr>
                <w:i/>
                <w:sz w:val="22"/>
                <w:szCs w:val="22"/>
              </w:rPr>
              <w:t>BHC Jílové s.r.o., IČO: 27211746:</w:t>
            </w:r>
            <w:r>
              <w:rPr>
                <w:sz w:val="22"/>
                <w:szCs w:val="22"/>
              </w:rPr>
              <w:t xml:space="preserve"> 60 %</w:t>
            </w:r>
          </w:p>
        </w:tc>
      </w:tr>
      <w:tr w:rsidR="00103BC7" w14:paraId="617E0656" w14:textId="77777777" w:rsidTr="00FE48F5">
        <w:tc>
          <w:tcPr>
            <w:tcW w:w="2617" w:type="dxa"/>
          </w:tcPr>
          <w:p w14:paraId="2917422E" w14:textId="77777777" w:rsidR="00103BC7" w:rsidRPr="00956FC1" w:rsidRDefault="00103BC7" w:rsidP="00FE48F5">
            <w:pPr>
              <w:pStyle w:val="Default"/>
              <w:rPr>
                <w:sz w:val="22"/>
                <w:szCs w:val="22"/>
              </w:rPr>
            </w:pPr>
            <w:r>
              <w:rPr>
                <w:sz w:val="22"/>
                <w:szCs w:val="22"/>
              </w:rPr>
              <w:t>Výzkumná zpráva: Zkušenosti s dlouhodobým provozem ORC jednotky</w:t>
            </w:r>
          </w:p>
        </w:tc>
        <w:tc>
          <w:tcPr>
            <w:tcW w:w="5146" w:type="dxa"/>
          </w:tcPr>
          <w:p w14:paraId="7C52B254" w14:textId="77777777" w:rsidR="00103BC7" w:rsidRPr="00956FC1" w:rsidRDefault="00103BC7" w:rsidP="00FE48F5">
            <w:pPr>
              <w:pStyle w:val="Default"/>
              <w:rPr>
                <w:sz w:val="18"/>
                <w:szCs w:val="18"/>
              </w:rPr>
            </w:pPr>
            <w:r w:rsidRPr="003054C4">
              <w:rPr>
                <w:sz w:val="18"/>
                <w:szCs w:val="18"/>
              </w:rPr>
              <w:t>Výzkumná zpráva shrnuje provozní́ zkuše</w:t>
            </w:r>
            <w:r>
              <w:rPr>
                <w:sz w:val="18"/>
                <w:szCs w:val="18"/>
              </w:rPr>
              <w:t xml:space="preserve">nosti s dlouhodobým provozem </w:t>
            </w:r>
            <w:r w:rsidRPr="003054C4">
              <w:rPr>
                <w:sz w:val="18"/>
                <w:szCs w:val="18"/>
              </w:rPr>
              <w:t xml:space="preserve">kogeneračnı́ ORC jednotky, které́ </w:t>
            </w:r>
            <w:r>
              <w:rPr>
                <w:sz w:val="18"/>
                <w:szCs w:val="18"/>
              </w:rPr>
              <w:t>probíhalo v laboratoři UCEEB. Cílem bylo zjištění chování j</w:t>
            </w:r>
            <w:r w:rsidRPr="003054C4">
              <w:rPr>
                <w:sz w:val="18"/>
                <w:szCs w:val="18"/>
              </w:rPr>
              <w:t>ednotky při běžném provozu</w:t>
            </w:r>
            <w:r>
              <w:rPr>
                <w:sz w:val="18"/>
                <w:szCs w:val="18"/>
              </w:rPr>
              <w:t xml:space="preserve"> a při nestandardních stavech </w:t>
            </w:r>
            <w:r w:rsidRPr="003054C4">
              <w:rPr>
                <w:sz w:val="18"/>
                <w:szCs w:val="18"/>
              </w:rPr>
              <w:t xml:space="preserve">(možné výpadky, různé tepelné výkony celé jednotky, různá </w:t>
            </w:r>
            <w:r>
              <w:rPr>
                <w:sz w:val="18"/>
                <w:szCs w:val="18"/>
              </w:rPr>
              <w:t>paliva, různé počasí apod.) a mj. získat informace</w:t>
            </w:r>
            <w:r w:rsidRPr="003054C4">
              <w:rPr>
                <w:sz w:val="18"/>
                <w:szCs w:val="18"/>
              </w:rPr>
              <w:t xml:space="preserve"> o předpokladu životnosti jednotlivých</w:t>
            </w:r>
            <w:r>
              <w:rPr>
                <w:sz w:val="18"/>
                <w:szCs w:val="18"/>
              </w:rPr>
              <w:t xml:space="preserve"> n</w:t>
            </w:r>
            <w:r w:rsidRPr="003054C4">
              <w:rPr>
                <w:sz w:val="18"/>
                <w:szCs w:val="18"/>
              </w:rPr>
              <w:t>ej</w:t>
            </w:r>
            <w:r>
              <w:rPr>
                <w:sz w:val="18"/>
                <w:szCs w:val="18"/>
              </w:rPr>
              <w:t xml:space="preserve">více namáhaných </w:t>
            </w:r>
            <w:r w:rsidRPr="003054C4">
              <w:rPr>
                <w:sz w:val="18"/>
                <w:szCs w:val="18"/>
              </w:rPr>
              <w:t>komponent (expandér, aj.)</w:t>
            </w:r>
            <w:r>
              <w:rPr>
                <w:sz w:val="18"/>
                <w:szCs w:val="18"/>
              </w:rPr>
              <w:t xml:space="preserve">. </w:t>
            </w:r>
          </w:p>
        </w:tc>
        <w:tc>
          <w:tcPr>
            <w:tcW w:w="709" w:type="dxa"/>
          </w:tcPr>
          <w:p w14:paraId="0B9035A2" w14:textId="77777777" w:rsidR="00103BC7" w:rsidRPr="00956FC1" w:rsidRDefault="00103BC7" w:rsidP="00FE48F5">
            <w:pPr>
              <w:pStyle w:val="Default"/>
              <w:rPr>
                <w:sz w:val="22"/>
                <w:szCs w:val="22"/>
              </w:rPr>
            </w:pPr>
            <w:r w:rsidRPr="00956FC1">
              <w:rPr>
                <w:sz w:val="22"/>
                <w:szCs w:val="22"/>
              </w:rPr>
              <w:t>1</w:t>
            </w:r>
          </w:p>
        </w:tc>
        <w:tc>
          <w:tcPr>
            <w:tcW w:w="1842" w:type="dxa"/>
          </w:tcPr>
          <w:p w14:paraId="366637BB" w14:textId="77777777" w:rsidR="00103BC7" w:rsidRPr="00956FC1" w:rsidRDefault="00103BC7" w:rsidP="00FE48F5">
            <w:pPr>
              <w:pStyle w:val="Default"/>
              <w:rPr>
                <w:sz w:val="22"/>
                <w:szCs w:val="22"/>
              </w:rPr>
            </w:pPr>
            <w:r w:rsidRPr="00A31B72">
              <w:rPr>
                <w:sz w:val="22"/>
                <w:szCs w:val="22"/>
              </w:rPr>
              <w:t>TK01020061-V4</w:t>
            </w:r>
          </w:p>
        </w:tc>
        <w:tc>
          <w:tcPr>
            <w:tcW w:w="1701" w:type="dxa"/>
          </w:tcPr>
          <w:p w14:paraId="0A74DD66" w14:textId="77777777" w:rsidR="00103BC7" w:rsidRPr="00956FC1" w:rsidRDefault="00103BC7" w:rsidP="00FE48F5">
            <w:pPr>
              <w:pStyle w:val="Default"/>
              <w:rPr>
                <w:sz w:val="18"/>
                <w:szCs w:val="18"/>
              </w:rPr>
            </w:pPr>
            <w:r>
              <w:rPr>
                <w:sz w:val="18"/>
                <w:szCs w:val="18"/>
              </w:rPr>
              <w:t>O – Ostatní výsledky</w:t>
            </w:r>
          </w:p>
        </w:tc>
        <w:tc>
          <w:tcPr>
            <w:tcW w:w="3294" w:type="dxa"/>
          </w:tcPr>
          <w:p w14:paraId="405E4B13" w14:textId="77777777" w:rsidR="00103BC7" w:rsidRDefault="00103BC7" w:rsidP="00FE48F5">
            <w:pPr>
              <w:pStyle w:val="Default"/>
              <w:rPr>
                <w:sz w:val="22"/>
                <w:szCs w:val="22"/>
              </w:rPr>
            </w:pPr>
            <w:r w:rsidRPr="00393FF4">
              <w:rPr>
                <w:b/>
                <w:sz w:val="22"/>
                <w:szCs w:val="22"/>
              </w:rPr>
              <w:t>Příjemce:</w:t>
            </w:r>
            <w:r>
              <w:rPr>
                <w:sz w:val="22"/>
                <w:szCs w:val="22"/>
              </w:rPr>
              <w:t xml:space="preserve"> 50 %</w:t>
            </w:r>
          </w:p>
          <w:p w14:paraId="7C72FA81" w14:textId="77777777" w:rsidR="00103BC7" w:rsidRDefault="00103BC7" w:rsidP="00FE48F5">
            <w:pPr>
              <w:pStyle w:val="Default"/>
              <w:rPr>
                <w:sz w:val="22"/>
                <w:szCs w:val="22"/>
              </w:rPr>
            </w:pPr>
            <w:r w:rsidRPr="00393FF4">
              <w:rPr>
                <w:b/>
                <w:sz w:val="22"/>
                <w:szCs w:val="22"/>
              </w:rPr>
              <w:t>Další účastník 1:</w:t>
            </w:r>
            <w:r>
              <w:rPr>
                <w:sz w:val="22"/>
                <w:szCs w:val="22"/>
              </w:rPr>
              <w:t xml:space="preserve"> </w:t>
            </w:r>
            <w:r w:rsidRPr="006F0B6E">
              <w:rPr>
                <w:i/>
                <w:sz w:val="22"/>
                <w:szCs w:val="22"/>
              </w:rPr>
              <w:t>Ing. Miroslav Šamata, IČO: 74139827:</w:t>
            </w:r>
            <w:r>
              <w:rPr>
                <w:sz w:val="22"/>
                <w:szCs w:val="22"/>
              </w:rPr>
              <w:t xml:space="preserve"> 25 %</w:t>
            </w:r>
          </w:p>
          <w:p w14:paraId="62012890" w14:textId="77777777" w:rsidR="00103BC7" w:rsidRPr="00FB6957" w:rsidRDefault="00103BC7" w:rsidP="00FE48F5">
            <w:pPr>
              <w:pStyle w:val="Default"/>
              <w:rPr>
                <w:sz w:val="22"/>
                <w:szCs w:val="22"/>
              </w:rPr>
            </w:pPr>
            <w:r w:rsidRPr="00393FF4">
              <w:rPr>
                <w:b/>
                <w:sz w:val="22"/>
                <w:szCs w:val="22"/>
              </w:rPr>
              <w:t>Další účastník 2:</w:t>
            </w:r>
            <w:r>
              <w:rPr>
                <w:sz w:val="22"/>
                <w:szCs w:val="22"/>
              </w:rPr>
              <w:t xml:space="preserve"> </w:t>
            </w:r>
            <w:r w:rsidRPr="006F0B6E">
              <w:rPr>
                <w:i/>
                <w:sz w:val="22"/>
                <w:szCs w:val="22"/>
              </w:rPr>
              <w:t>BHC Jílové s.r.o., IČO: 27211746:</w:t>
            </w:r>
            <w:r>
              <w:rPr>
                <w:sz w:val="22"/>
                <w:szCs w:val="22"/>
              </w:rPr>
              <w:t xml:space="preserve"> 25 %</w:t>
            </w:r>
          </w:p>
        </w:tc>
      </w:tr>
    </w:tbl>
    <w:p w14:paraId="3AC5EBE8" w14:textId="77777777" w:rsidR="00103BC7" w:rsidRPr="008179E6" w:rsidRDefault="00103BC7" w:rsidP="00103BC7">
      <w:pPr>
        <w:pStyle w:val="Default"/>
        <w:rPr>
          <w:sz w:val="22"/>
          <w:szCs w:val="22"/>
        </w:rPr>
        <w:sectPr w:rsidR="00103BC7" w:rsidRPr="008179E6" w:rsidSect="005C701F">
          <w:pgSz w:w="16840" w:h="12406" w:orient="landscape"/>
          <w:pgMar w:top="1134" w:right="896" w:bottom="692" w:left="851" w:header="709" w:footer="709" w:gutter="0"/>
          <w:cols w:space="708"/>
          <w:noEndnote/>
        </w:sectPr>
      </w:pPr>
    </w:p>
    <w:p w14:paraId="55F7F4E1" w14:textId="77777777" w:rsidR="00103BC7" w:rsidRPr="001B5F3F" w:rsidRDefault="00103BC7" w:rsidP="00103BC7">
      <w:pPr>
        <w:autoSpaceDE w:val="0"/>
        <w:autoSpaceDN w:val="0"/>
        <w:adjustRightInd w:val="0"/>
        <w:spacing w:after="0" w:line="240" w:lineRule="auto"/>
        <w:jc w:val="center"/>
        <w:rPr>
          <w:rFonts w:ascii="Calibri" w:hAnsi="Calibri" w:cs="Calibri"/>
          <w:color w:val="000000"/>
          <w:sz w:val="28"/>
          <w:szCs w:val="28"/>
        </w:rPr>
      </w:pPr>
      <w:r w:rsidRPr="001B5F3F">
        <w:rPr>
          <w:rFonts w:ascii="Calibri" w:hAnsi="Calibri" w:cs="Calibri"/>
          <w:b/>
          <w:bCs/>
          <w:color w:val="000000"/>
          <w:sz w:val="28"/>
          <w:szCs w:val="28"/>
        </w:rPr>
        <w:lastRenderedPageBreak/>
        <w:t>Příloha č. 2</w:t>
      </w:r>
    </w:p>
    <w:p w14:paraId="247A2E29" w14:textId="77777777" w:rsidR="00103BC7" w:rsidRPr="001B5F3F" w:rsidRDefault="00103BC7" w:rsidP="00103BC7">
      <w:pPr>
        <w:autoSpaceDE w:val="0"/>
        <w:autoSpaceDN w:val="0"/>
        <w:adjustRightInd w:val="0"/>
        <w:spacing w:after="0" w:line="240" w:lineRule="auto"/>
        <w:jc w:val="center"/>
        <w:rPr>
          <w:rFonts w:ascii="Calibri" w:hAnsi="Calibri" w:cs="Calibri"/>
          <w:color w:val="000000"/>
          <w:sz w:val="28"/>
          <w:szCs w:val="28"/>
        </w:rPr>
      </w:pPr>
      <w:r w:rsidRPr="001B5F3F">
        <w:rPr>
          <w:rFonts w:ascii="Calibri" w:hAnsi="Calibri" w:cs="Calibri"/>
          <w:b/>
          <w:bCs/>
          <w:color w:val="000000"/>
          <w:sz w:val="28"/>
          <w:szCs w:val="28"/>
        </w:rPr>
        <w:t>Výsledky Projektu a jejich srovnání s cíli Projektu</w:t>
      </w:r>
    </w:p>
    <w:p w14:paraId="7E49AD3D" w14:textId="77777777" w:rsidR="00103BC7" w:rsidRDefault="00103BC7" w:rsidP="00103BC7">
      <w:pPr>
        <w:autoSpaceDE w:val="0"/>
        <w:autoSpaceDN w:val="0"/>
        <w:adjustRightInd w:val="0"/>
        <w:spacing w:after="0" w:line="240" w:lineRule="auto"/>
        <w:rPr>
          <w:rFonts w:ascii="Calibri" w:hAnsi="Calibri" w:cs="Calibri"/>
          <w:b/>
          <w:bCs/>
          <w:color w:val="000000"/>
        </w:rPr>
      </w:pPr>
    </w:p>
    <w:p w14:paraId="6B87EEE6" w14:textId="77777777" w:rsidR="00103BC7" w:rsidRPr="00103BC7" w:rsidRDefault="00103BC7" w:rsidP="00103BC7">
      <w:pPr>
        <w:autoSpaceDE w:val="0"/>
        <w:autoSpaceDN w:val="0"/>
        <w:adjustRightInd w:val="0"/>
        <w:spacing w:after="0" w:line="240" w:lineRule="auto"/>
        <w:rPr>
          <w:rFonts w:ascii="Calibri" w:hAnsi="Calibri" w:cs="Calibri"/>
          <w:color w:val="000000"/>
        </w:rPr>
      </w:pPr>
      <w:r w:rsidRPr="00103BC7">
        <w:rPr>
          <w:rFonts w:ascii="Calibri" w:hAnsi="Calibri" w:cs="Calibri"/>
          <w:b/>
          <w:bCs/>
          <w:color w:val="000000"/>
        </w:rPr>
        <w:t xml:space="preserve">1. Textová část </w:t>
      </w:r>
    </w:p>
    <w:p w14:paraId="58E4E391" w14:textId="77777777" w:rsidR="00103BC7" w:rsidRPr="00103BC7" w:rsidRDefault="00103BC7" w:rsidP="00103BC7">
      <w:pPr>
        <w:autoSpaceDE w:val="0"/>
        <w:autoSpaceDN w:val="0"/>
        <w:adjustRightInd w:val="0"/>
        <w:spacing w:after="0" w:line="240" w:lineRule="auto"/>
        <w:rPr>
          <w:rFonts w:ascii="Calibri" w:hAnsi="Calibri" w:cs="ArialMT"/>
        </w:rPr>
      </w:pPr>
      <w:r w:rsidRPr="00103BC7">
        <w:rPr>
          <w:rFonts w:ascii="Calibri" w:hAnsi="Calibri" w:cs="Calibri"/>
          <w:color w:val="000000"/>
        </w:rPr>
        <w:t xml:space="preserve">Všech plánovaných cílů Projektu bylo dosaženo v období a rozsahu podle plánu. </w:t>
      </w:r>
    </w:p>
    <w:p w14:paraId="5FFB0ECF" w14:textId="77777777" w:rsidR="00103BC7" w:rsidRPr="00103BC7" w:rsidRDefault="00103BC7" w:rsidP="00103BC7">
      <w:pPr>
        <w:autoSpaceDE w:val="0"/>
        <w:autoSpaceDN w:val="0"/>
        <w:adjustRightInd w:val="0"/>
        <w:spacing w:after="0" w:line="240" w:lineRule="auto"/>
        <w:rPr>
          <w:rFonts w:ascii="Calibri" w:hAnsi="Calibri" w:cs="Calibri"/>
          <w:color w:val="000000"/>
        </w:rPr>
      </w:pPr>
    </w:p>
    <w:p w14:paraId="3D7412EF" w14:textId="77777777" w:rsidR="00103BC7" w:rsidRPr="00103BC7" w:rsidRDefault="00103BC7" w:rsidP="00103BC7">
      <w:pPr>
        <w:autoSpaceDE w:val="0"/>
        <w:autoSpaceDN w:val="0"/>
        <w:adjustRightInd w:val="0"/>
        <w:spacing w:after="0" w:line="240" w:lineRule="auto"/>
        <w:rPr>
          <w:rFonts w:ascii="Calibri" w:hAnsi="Calibri" w:cs="Calibri"/>
          <w:color w:val="000000"/>
        </w:rPr>
      </w:pPr>
      <w:r w:rsidRPr="00103BC7">
        <w:rPr>
          <w:rFonts w:ascii="Calibri" w:hAnsi="Calibri" w:cs="Calibri"/>
          <w:color w:val="000000"/>
        </w:rPr>
        <w:t xml:space="preserve">Celkově je možné hodnotit projekt jako úspěšný, a to jak vzhledem ke splnění plánovaných cílů, tak k ověření nových technických řešení a technologií. Nové inovativní přístupy jsou jedinečné a do skončení řešení projektu nebylo u výsledků nalezeno žádné přímé konkurenční řešení. </w:t>
      </w:r>
    </w:p>
    <w:p w14:paraId="29073EB5" w14:textId="77777777" w:rsidR="00103BC7" w:rsidRPr="00103BC7" w:rsidRDefault="00103BC7" w:rsidP="00103BC7">
      <w:pPr>
        <w:autoSpaceDE w:val="0"/>
        <w:autoSpaceDN w:val="0"/>
        <w:adjustRightInd w:val="0"/>
        <w:spacing w:after="0" w:line="240" w:lineRule="auto"/>
        <w:rPr>
          <w:rFonts w:ascii="Calibri" w:hAnsi="Calibri" w:cs="Calibri"/>
          <w:color w:val="000000"/>
        </w:rPr>
      </w:pPr>
      <w:r w:rsidRPr="00103BC7">
        <w:rPr>
          <w:rFonts w:ascii="Calibri" w:hAnsi="Calibri" w:cs="Calibri"/>
          <w:color w:val="000000"/>
        </w:rPr>
        <w:t xml:space="preserve">Všechny výsledky jsou plně dokumentovány. Vyvinutý prototyp byl úspěšně zprovozněn a bude následovat jeho komerční realizace. </w:t>
      </w:r>
    </w:p>
    <w:p w14:paraId="15FD5E1A" w14:textId="77777777" w:rsidR="00103BC7" w:rsidRPr="00103BC7" w:rsidRDefault="00103BC7" w:rsidP="00103BC7">
      <w:pPr>
        <w:autoSpaceDE w:val="0"/>
        <w:autoSpaceDN w:val="0"/>
        <w:adjustRightInd w:val="0"/>
        <w:spacing w:after="0" w:line="240" w:lineRule="auto"/>
        <w:rPr>
          <w:rFonts w:ascii="Calibri" w:hAnsi="Calibri" w:cs="Calibri"/>
          <w:color w:val="000000"/>
        </w:rPr>
      </w:pPr>
      <w:r w:rsidRPr="00103BC7">
        <w:rPr>
          <w:rFonts w:ascii="Calibri" w:hAnsi="Calibri" w:cs="Calibri"/>
          <w:color w:val="000000"/>
        </w:rPr>
        <w:t xml:space="preserve">Podklady budou uchovávány podle smluv s Poskytovatelem dotace. </w:t>
      </w:r>
    </w:p>
    <w:p w14:paraId="340FD5B3" w14:textId="77777777" w:rsidR="00103BC7" w:rsidRPr="00103BC7" w:rsidRDefault="00103BC7" w:rsidP="00103BC7">
      <w:pPr>
        <w:autoSpaceDE w:val="0"/>
        <w:autoSpaceDN w:val="0"/>
        <w:adjustRightInd w:val="0"/>
        <w:spacing w:after="0" w:line="240" w:lineRule="auto"/>
        <w:rPr>
          <w:rFonts w:ascii="Calibri" w:hAnsi="Calibri" w:cs="Calibri"/>
          <w:color w:val="000000"/>
        </w:rPr>
      </w:pPr>
    </w:p>
    <w:p w14:paraId="5E860E17" w14:textId="77777777" w:rsidR="00103BC7" w:rsidRPr="00103BC7" w:rsidRDefault="00103BC7" w:rsidP="00103BC7">
      <w:pPr>
        <w:pStyle w:val="Default"/>
        <w:rPr>
          <w:b/>
          <w:bCs/>
          <w:color w:val="auto"/>
          <w:sz w:val="22"/>
          <w:szCs w:val="22"/>
        </w:rPr>
      </w:pPr>
      <w:r w:rsidRPr="00103BC7">
        <w:rPr>
          <w:b/>
          <w:bCs/>
          <w:color w:val="auto"/>
          <w:sz w:val="22"/>
          <w:szCs w:val="22"/>
        </w:rPr>
        <w:t xml:space="preserve">2. Přehled </w:t>
      </w:r>
    </w:p>
    <w:tbl>
      <w:tblPr>
        <w:tblStyle w:val="Mkatabulky"/>
        <w:tblW w:w="14895" w:type="dxa"/>
        <w:tblLook w:val="04A0" w:firstRow="1" w:lastRow="0" w:firstColumn="1" w:lastColumn="0" w:noHBand="0" w:noVBand="1"/>
      </w:tblPr>
      <w:tblGrid>
        <w:gridCol w:w="2617"/>
        <w:gridCol w:w="2587"/>
        <w:gridCol w:w="1000"/>
        <w:gridCol w:w="3643"/>
        <w:gridCol w:w="2423"/>
        <w:gridCol w:w="2625"/>
      </w:tblGrid>
      <w:tr w:rsidR="00103BC7" w:rsidRPr="00103BC7" w14:paraId="7D18FC4B" w14:textId="77777777" w:rsidTr="00FE48F5">
        <w:tc>
          <w:tcPr>
            <w:tcW w:w="2617" w:type="dxa"/>
          </w:tcPr>
          <w:p w14:paraId="57D76EEE" w14:textId="77777777" w:rsidR="00103BC7" w:rsidRPr="00103BC7" w:rsidRDefault="00103BC7" w:rsidP="00FE48F5">
            <w:pPr>
              <w:pStyle w:val="Default"/>
              <w:rPr>
                <w:sz w:val="22"/>
                <w:szCs w:val="22"/>
              </w:rPr>
            </w:pPr>
            <w:r w:rsidRPr="00103BC7">
              <w:rPr>
                <w:b/>
                <w:bCs/>
                <w:sz w:val="22"/>
                <w:szCs w:val="22"/>
              </w:rPr>
              <w:t>Název výsledku</w:t>
            </w:r>
          </w:p>
        </w:tc>
        <w:tc>
          <w:tcPr>
            <w:tcW w:w="2587" w:type="dxa"/>
          </w:tcPr>
          <w:p w14:paraId="7EC793D9" w14:textId="77777777" w:rsidR="00103BC7" w:rsidRPr="00103BC7" w:rsidRDefault="00103BC7" w:rsidP="00FE48F5">
            <w:pPr>
              <w:pStyle w:val="Default"/>
              <w:rPr>
                <w:sz w:val="22"/>
                <w:szCs w:val="22"/>
              </w:rPr>
            </w:pPr>
            <w:r w:rsidRPr="00103BC7">
              <w:rPr>
                <w:b/>
                <w:bCs/>
                <w:sz w:val="22"/>
                <w:szCs w:val="22"/>
              </w:rPr>
              <w:t>Vymezení Výsledku</w:t>
            </w:r>
          </w:p>
        </w:tc>
        <w:tc>
          <w:tcPr>
            <w:tcW w:w="1000" w:type="dxa"/>
          </w:tcPr>
          <w:p w14:paraId="497FE18B" w14:textId="77777777" w:rsidR="00103BC7" w:rsidRPr="00103BC7" w:rsidRDefault="00103BC7" w:rsidP="00FE48F5">
            <w:pPr>
              <w:pStyle w:val="Default"/>
              <w:rPr>
                <w:sz w:val="22"/>
                <w:szCs w:val="22"/>
              </w:rPr>
            </w:pPr>
            <w:r w:rsidRPr="00103BC7">
              <w:rPr>
                <w:b/>
                <w:bCs/>
                <w:sz w:val="22"/>
                <w:szCs w:val="22"/>
              </w:rPr>
              <w:t>Počet</w:t>
            </w:r>
          </w:p>
        </w:tc>
        <w:tc>
          <w:tcPr>
            <w:tcW w:w="3643" w:type="dxa"/>
          </w:tcPr>
          <w:p w14:paraId="49FC791F" w14:textId="77777777" w:rsidR="00103BC7" w:rsidRPr="00103BC7" w:rsidRDefault="00103BC7" w:rsidP="00FE48F5">
            <w:pPr>
              <w:pStyle w:val="Default"/>
              <w:rPr>
                <w:b/>
                <w:bCs/>
                <w:sz w:val="22"/>
                <w:szCs w:val="22"/>
              </w:rPr>
            </w:pPr>
            <w:r w:rsidRPr="00103BC7">
              <w:rPr>
                <w:b/>
                <w:bCs/>
                <w:sz w:val="22"/>
                <w:szCs w:val="22"/>
              </w:rPr>
              <w:t xml:space="preserve">Identifikační číslo </w:t>
            </w:r>
          </w:p>
          <w:p w14:paraId="75BF7C1D" w14:textId="77777777" w:rsidR="00103BC7" w:rsidRPr="00103BC7" w:rsidRDefault="00103BC7" w:rsidP="00FE48F5">
            <w:pPr>
              <w:pStyle w:val="Default"/>
              <w:rPr>
                <w:b/>
                <w:bCs/>
                <w:sz w:val="22"/>
                <w:szCs w:val="22"/>
              </w:rPr>
            </w:pPr>
            <w:r w:rsidRPr="00103BC7">
              <w:rPr>
                <w:b/>
                <w:bCs/>
                <w:sz w:val="22"/>
                <w:szCs w:val="22"/>
              </w:rPr>
              <w:t xml:space="preserve">dle Závazných parametrů </w:t>
            </w:r>
            <w:r w:rsidRPr="00103BC7">
              <w:rPr>
                <w:b/>
                <w:bCs/>
                <w:sz w:val="22"/>
                <w:szCs w:val="22"/>
              </w:rPr>
              <w:br/>
              <w:t xml:space="preserve">projektu a ISTA </w:t>
            </w:r>
          </w:p>
        </w:tc>
        <w:tc>
          <w:tcPr>
            <w:tcW w:w="2423" w:type="dxa"/>
          </w:tcPr>
          <w:p w14:paraId="4E096D47" w14:textId="77777777" w:rsidR="00103BC7" w:rsidRPr="00103BC7" w:rsidRDefault="00103BC7" w:rsidP="00FE48F5">
            <w:pPr>
              <w:pStyle w:val="Default"/>
              <w:rPr>
                <w:sz w:val="22"/>
                <w:szCs w:val="22"/>
              </w:rPr>
            </w:pPr>
            <w:r w:rsidRPr="00103BC7">
              <w:rPr>
                <w:b/>
                <w:bCs/>
                <w:sz w:val="22"/>
                <w:szCs w:val="22"/>
              </w:rPr>
              <w:t>Kategorie Výsledku</w:t>
            </w:r>
          </w:p>
        </w:tc>
        <w:tc>
          <w:tcPr>
            <w:tcW w:w="2625" w:type="dxa"/>
          </w:tcPr>
          <w:p w14:paraId="5AB229AA" w14:textId="77777777" w:rsidR="00103BC7" w:rsidRPr="00103BC7" w:rsidRDefault="00103BC7" w:rsidP="00FE48F5">
            <w:pPr>
              <w:autoSpaceDE w:val="0"/>
              <w:autoSpaceDN w:val="0"/>
              <w:adjustRightInd w:val="0"/>
              <w:rPr>
                <w:rFonts w:ascii="Calibri" w:hAnsi="Calibri" w:cs="Calibri"/>
                <w:color w:val="000000"/>
              </w:rPr>
            </w:pPr>
            <w:r w:rsidRPr="00103BC7">
              <w:rPr>
                <w:rFonts w:ascii="Calibri" w:hAnsi="Calibri" w:cs="Calibri"/>
                <w:b/>
                <w:bCs/>
                <w:color w:val="000000"/>
              </w:rPr>
              <w:t xml:space="preserve">Srovnání s cíli Projektu </w:t>
            </w:r>
          </w:p>
          <w:p w14:paraId="7FF535AC" w14:textId="77777777" w:rsidR="00103BC7" w:rsidRPr="00103BC7" w:rsidRDefault="00103BC7" w:rsidP="00FE48F5">
            <w:pPr>
              <w:autoSpaceDE w:val="0"/>
              <w:autoSpaceDN w:val="0"/>
              <w:adjustRightInd w:val="0"/>
              <w:rPr>
                <w:rFonts w:ascii="Calibri" w:hAnsi="Calibri" w:cs="Calibri"/>
                <w:color w:val="000000"/>
              </w:rPr>
            </w:pPr>
            <w:r w:rsidRPr="00103BC7">
              <w:rPr>
                <w:rFonts w:ascii="Calibri" w:hAnsi="Calibri" w:cs="Calibri"/>
                <w:b/>
                <w:bCs/>
                <w:color w:val="000000"/>
              </w:rPr>
              <w:t>Splněno Ano/Ne</w:t>
            </w:r>
          </w:p>
        </w:tc>
      </w:tr>
      <w:tr w:rsidR="00103BC7" w:rsidRPr="00103BC7" w14:paraId="10897599" w14:textId="77777777" w:rsidTr="00FE48F5">
        <w:tc>
          <w:tcPr>
            <w:tcW w:w="2617" w:type="dxa"/>
          </w:tcPr>
          <w:p w14:paraId="4293D058" w14:textId="77777777" w:rsidR="00103BC7" w:rsidRPr="00103BC7" w:rsidRDefault="00103BC7" w:rsidP="00FE48F5">
            <w:pPr>
              <w:pStyle w:val="Default"/>
              <w:rPr>
                <w:sz w:val="22"/>
                <w:szCs w:val="22"/>
              </w:rPr>
            </w:pPr>
            <w:r w:rsidRPr="00103BC7">
              <w:rPr>
                <w:sz w:val="22"/>
                <w:szCs w:val="22"/>
              </w:rPr>
              <w:t>Prototyp „Kogenerační ORC jednotka o tepelném výkonu 120 kW na dřevní štěpku v kontejnerovém provedení“</w:t>
            </w:r>
          </w:p>
        </w:tc>
        <w:tc>
          <w:tcPr>
            <w:tcW w:w="2587" w:type="dxa"/>
          </w:tcPr>
          <w:p w14:paraId="3BAC86A0" w14:textId="77777777" w:rsidR="00103BC7" w:rsidRPr="00103BC7" w:rsidRDefault="00103BC7" w:rsidP="00FE48F5">
            <w:pPr>
              <w:pStyle w:val="Default"/>
              <w:rPr>
                <w:sz w:val="18"/>
                <w:szCs w:val="18"/>
              </w:rPr>
            </w:pPr>
            <w:r w:rsidRPr="00103BC7">
              <w:rPr>
                <w:sz w:val="18"/>
                <w:szCs w:val="18"/>
              </w:rPr>
              <w:t>Prototyp kogenerační ORC (pracující na základě organického Rankinova cyklu) jednotky o tepelném výkonu 120 kW na dřevní štěpku v kontejnerovém provedení s produktovým označením Wave120 slouží ke kombinované výrobě elektřiny a tepla z dřevní štěpky, přičemž jeho provoz je plně automatický a lze jej ovládat za pomoci vzdáleného přístupu.</w:t>
            </w:r>
          </w:p>
        </w:tc>
        <w:tc>
          <w:tcPr>
            <w:tcW w:w="1000" w:type="dxa"/>
          </w:tcPr>
          <w:p w14:paraId="64B58CFA" w14:textId="77777777" w:rsidR="00103BC7" w:rsidRPr="00103BC7" w:rsidRDefault="00103BC7" w:rsidP="00FE48F5">
            <w:pPr>
              <w:pStyle w:val="Default"/>
              <w:rPr>
                <w:sz w:val="18"/>
                <w:szCs w:val="18"/>
              </w:rPr>
            </w:pPr>
            <w:r w:rsidRPr="00103BC7">
              <w:rPr>
                <w:sz w:val="18"/>
                <w:szCs w:val="18"/>
              </w:rPr>
              <w:t>1</w:t>
            </w:r>
          </w:p>
        </w:tc>
        <w:tc>
          <w:tcPr>
            <w:tcW w:w="3643" w:type="dxa"/>
          </w:tcPr>
          <w:p w14:paraId="23EE3F65" w14:textId="77777777" w:rsidR="00103BC7" w:rsidRPr="00103BC7" w:rsidRDefault="00103BC7" w:rsidP="00FE48F5">
            <w:pPr>
              <w:pStyle w:val="Default"/>
              <w:rPr>
                <w:sz w:val="22"/>
                <w:szCs w:val="22"/>
              </w:rPr>
            </w:pPr>
            <w:r w:rsidRPr="00103BC7">
              <w:rPr>
                <w:sz w:val="22"/>
                <w:szCs w:val="22"/>
              </w:rPr>
              <w:t>TK01020061-V1</w:t>
            </w:r>
          </w:p>
        </w:tc>
        <w:tc>
          <w:tcPr>
            <w:tcW w:w="2423" w:type="dxa"/>
          </w:tcPr>
          <w:p w14:paraId="0602C0BD" w14:textId="77777777" w:rsidR="00103BC7" w:rsidRPr="00103BC7" w:rsidRDefault="00103BC7" w:rsidP="00FE48F5">
            <w:pPr>
              <w:pStyle w:val="Default"/>
              <w:rPr>
                <w:sz w:val="18"/>
                <w:szCs w:val="18"/>
              </w:rPr>
            </w:pPr>
            <w:r w:rsidRPr="00103BC7">
              <w:rPr>
                <w:sz w:val="18"/>
                <w:szCs w:val="18"/>
              </w:rPr>
              <w:t xml:space="preserve">Gprot - Prototyp </w:t>
            </w:r>
          </w:p>
        </w:tc>
        <w:tc>
          <w:tcPr>
            <w:tcW w:w="2625" w:type="dxa"/>
          </w:tcPr>
          <w:p w14:paraId="32A8CB3B" w14:textId="77777777" w:rsidR="00103BC7" w:rsidRPr="00103BC7" w:rsidRDefault="00103BC7" w:rsidP="00FE48F5">
            <w:pPr>
              <w:pStyle w:val="Default"/>
              <w:rPr>
                <w:sz w:val="22"/>
                <w:szCs w:val="22"/>
              </w:rPr>
            </w:pPr>
            <w:r w:rsidRPr="00103BC7">
              <w:rPr>
                <w:sz w:val="22"/>
                <w:szCs w:val="22"/>
              </w:rPr>
              <w:t>ANO</w:t>
            </w:r>
          </w:p>
        </w:tc>
      </w:tr>
      <w:tr w:rsidR="00103BC7" w:rsidRPr="00103BC7" w14:paraId="6477EEE5" w14:textId="77777777" w:rsidTr="00FE48F5">
        <w:tc>
          <w:tcPr>
            <w:tcW w:w="2617" w:type="dxa"/>
          </w:tcPr>
          <w:p w14:paraId="047115EC" w14:textId="77777777" w:rsidR="00103BC7" w:rsidRPr="00103BC7" w:rsidRDefault="00103BC7" w:rsidP="00FE48F5">
            <w:pPr>
              <w:pStyle w:val="Default"/>
              <w:rPr>
                <w:sz w:val="22"/>
                <w:szCs w:val="22"/>
              </w:rPr>
            </w:pPr>
            <w:r w:rsidRPr="00103BC7">
              <w:rPr>
                <w:sz w:val="22"/>
                <w:szCs w:val="22"/>
              </w:rPr>
              <w:t xml:space="preserve">Užitný vzor (UV) „Zařízení s regulovatelnou teplotou spalin s ohništěm a spalinovým výměníkem“ </w:t>
            </w:r>
          </w:p>
        </w:tc>
        <w:tc>
          <w:tcPr>
            <w:tcW w:w="2587" w:type="dxa"/>
          </w:tcPr>
          <w:p w14:paraId="0162C013" w14:textId="77777777" w:rsidR="00103BC7" w:rsidRPr="00103BC7" w:rsidRDefault="00103BC7" w:rsidP="00FE48F5">
            <w:pPr>
              <w:pStyle w:val="Default"/>
              <w:rPr>
                <w:sz w:val="18"/>
                <w:szCs w:val="18"/>
              </w:rPr>
            </w:pPr>
            <w:r w:rsidRPr="00103BC7">
              <w:rPr>
                <w:sz w:val="18"/>
                <w:szCs w:val="18"/>
              </w:rPr>
              <w:t xml:space="preserve">Užitný vzor (název podle návrhu projektu Integrované ohniště na dřevní štěpku se směšovací komorou a systémem recirkulace): Technické řešení – </w:t>
            </w:r>
            <w:r w:rsidRPr="00103BC7">
              <w:rPr>
                <w:sz w:val="18"/>
                <w:szCs w:val="18"/>
              </w:rPr>
              <w:lastRenderedPageBreak/>
              <w:t>integrované ohniště na dřevní štěpku se směšovací komorou a klapkou pro přívod chladicího vzduchu jako součást biomasového mikrokogeneračního zdroje pracujícího s organickým Rankinovým cyklem (ORC). Úkolem integrovaného ohniště v rámci ORC jednotky je přívod paliva, jeho zapálení, vyhoření na roštu, automatický odvod popela a zejména zajištění přívodu spalin o stabilní teplotě do spalinových výměníků ORC.</w:t>
            </w:r>
          </w:p>
          <w:p w14:paraId="446F5B5D" w14:textId="77777777" w:rsidR="00103BC7" w:rsidRPr="00103BC7" w:rsidRDefault="00103BC7" w:rsidP="00FE48F5">
            <w:pPr>
              <w:pStyle w:val="Default"/>
              <w:rPr>
                <w:sz w:val="18"/>
                <w:szCs w:val="18"/>
              </w:rPr>
            </w:pPr>
            <w:r w:rsidRPr="00103BC7">
              <w:rPr>
                <w:sz w:val="18"/>
                <w:szCs w:val="18"/>
              </w:rPr>
              <w:t>Číslo přihlášky: 2020-37596 ze dne 29.5.2020; datum udělení – zápisu užitného vzoru: 7.7.2020, číslo zapsaného UV: 34162</w:t>
            </w:r>
          </w:p>
        </w:tc>
        <w:tc>
          <w:tcPr>
            <w:tcW w:w="1000" w:type="dxa"/>
          </w:tcPr>
          <w:p w14:paraId="7F10DD0B" w14:textId="77777777" w:rsidR="00103BC7" w:rsidRPr="00103BC7" w:rsidRDefault="00103BC7" w:rsidP="00FE48F5">
            <w:pPr>
              <w:pStyle w:val="Default"/>
              <w:rPr>
                <w:sz w:val="18"/>
                <w:szCs w:val="18"/>
              </w:rPr>
            </w:pPr>
            <w:r w:rsidRPr="00103BC7">
              <w:rPr>
                <w:sz w:val="18"/>
                <w:szCs w:val="18"/>
              </w:rPr>
              <w:lastRenderedPageBreak/>
              <w:t>1</w:t>
            </w:r>
          </w:p>
        </w:tc>
        <w:tc>
          <w:tcPr>
            <w:tcW w:w="3643" w:type="dxa"/>
          </w:tcPr>
          <w:p w14:paraId="44FCE7A1" w14:textId="77777777" w:rsidR="00103BC7" w:rsidRPr="00103BC7" w:rsidRDefault="00103BC7" w:rsidP="00FE48F5">
            <w:pPr>
              <w:pStyle w:val="Default"/>
              <w:rPr>
                <w:sz w:val="22"/>
                <w:szCs w:val="22"/>
              </w:rPr>
            </w:pPr>
            <w:r w:rsidRPr="00103BC7">
              <w:rPr>
                <w:sz w:val="22"/>
                <w:szCs w:val="22"/>
              </w:rPr>
              <w:t>TK01020061-V2</w:t>
            </w:r>
          </w:p>
        </w:tc>
        <w:tc>
          <w:tcPr>
            <w:tcW w:w="2423" w:type="dxa"/>
          </w:tcPr>
          <w:p w14:paraId="354EF669" w14:textId="77777777" w:rsidR="00103BC7" w:rsidRPr="00103BC7" w:rsidRDefault="00103BC7" w:rsidP="00FE48F5">
            <w:pPr>
              <w:pStyle w:val="Default"/>
              <w:rPr>
                <w:sz w:val="18"/>
                <w:szCs w:val="18"/>
              </w:rPr>
            </w:pPr>
            <w:r w:rsidRPr="00103BC7">
              <w:rPr>
                <w:sz w:val="18"/>
                <w:szCs w:val="18"/>
              </w:rPr>
              <w:t>Fuzit – Užitný vzor</w:t>
            </w:r>
          </w:p>
        </w:tc>
        <w:tc>
          <w:tcPr>
            <w:tcW w:w="2625" w:type="dxa"/>
          </w:tcPr>
          <w:p w14:paraId="314FFBB4" w14:textId="77777777" w:rsidR="00103BC7" w:rsidRPr="00103BC7" w:rsidRDefault="00103BC7" w:rsidP="00FE48F5">
            <w:pPr>
              <w:pStyle w:val="Default"/>
              <w:rPr>
                <w:sz w:val="22"/>
                <w:szCs w:val="22"/>
              </w:rPr>
            </w:pPr>
            <w:r w:rsidRPr="00103BC7">
              <w:rPr>
                <w:sz w:val="22"/>
                <w:szCs w:val="22"/>
              </w:rPr>
              <w:t>ANO</w:t>
            </w:r>
          </w:p>
        </w:tc>
      </w:tr>
      <w:tr w:rsidR="00103BC7" w:rsidRPr="00103BC7" w14:paraId="531BE6A4" w14:textId="77777777" w:rsidTr="00FE48F5">
        <w:tc>
          <w:tcPr>
            <w:tcW w:w="2617" w:type="dxa"/>
          </w:tcPr>
          <w:p w14:paraId="6814C478" w14:textId="77777777" w:rsidR="00103BC7" w:rsidRPr="00103BC7" w:rsidRDefault="00103BC7" w:rsidP="00FE48F5">
            <w:pPr>
              <w:pStyle w:val="Default"/>
              <w:rPr>
                <w:sz w:val="22"/>
                <w:szCs w:val="22"/>
              </w:rPr>
            </w:pPr>
            <w:r w:rsidRPr="00103BC7">
              <w:rPr>
                <w:sz w:val="22"/>
                <w:szCs w:val="22"/>
              </w:rPr>
              <w:t xml:space="preserve">Užitný vzor (UV) „Spalinový výměník pro ohřev teplosměnného média pomocí spalin“ </w:t>
            </w:r>
          </w:p>
        </w:tc>
        <w:tc>
          <w:tcPr>
            <w:tcW w:w="2587" w:type="dxa"/>
          </w:tcPr>
          <w:p w14:paraId="7FC22467" w14:textId="77777777" w:rsidR="00103BC7" w:rsidRPr="00103BC7" w:rsidRDefault="00103BC7" w:rsidP="00FE48F5">
            <w:pPr>
              <w:pStyle w:val="Default"/>
              <w:rPr>
                <w:sz w:val="18"/>
                <w:szCs w:val="18"/>
              </w:rPr>
            </w:pPr>
            <w:r w:rsidRPr="00103BC7">
              <w:rPr>
                <w:sz w:val="18"/>
                <w:szCs w:val="18"/>
              </w:rPr>
              <w:t xml:space="preserve">Užitný vzor (název podle návrhu projektu Spalinový integrovaný výměník pro přímý ohřev ORC media se systémem automatického čištění. </w:t>
            </w:r>
          </w:p>
          <w:p w14:paraId="55FB8A70" w14:textId="77777777" w:rsidR="00103BC7" w:rsidRPr="00103BC7" w:rsidRDefault="00103BC7" w:rsidP="00FE48F5">
            <w:pPr>
              <w:pStyle w:val="Default"/>
              <w:rPr>
                <w:sz w:val="18"/>
                <w:szCs w:val="18"/>
              </w:rPr>
            </w:pPr>
            <w:r w:rsidRPr="00103BC7">
              <w:rPr>
                <w:sz w:val="18"/>
                <w:szCs w:val="18"/>
              </w:rPr>
              <w:t xml:space="preserve">Technické řešení se týká spalinového výměníku, který může fungovat např. jako dílčí technologický celek kogenerační jednotky pracující na základě organického Rankinova cyklu (ORC). Navržený spalinový výměník je řešen jako průtočný s anuloidním průtočným prostorem, díky čemuž je možné automaticky pravidelně teplosměnné plochy čistit. Průtočné řešení na straně média pak umožňuje rychlé </w:t>
            </w:r>
            <w:r w:rsidRPr="00103BC7">
              <w:rPr>
                <w:sz w:val="18"/>
                <w:szCs w:val="18"/>
              </w:rPr>
              <w:lastRenderedPageBreak/>
              <w:t>dynamické změny parametrů média a tepelného cyklu metodou klouzavého tlaku na konstantní teplotu přehřátí média na výstupu z výměníku.</w:t>
            </w:r>
          </w:p>
          <w:p w14:paraId="2DFAD0D1" w14:textId="77777777" w:rsidR="00103BC7" w:rsidRPr="00103BC7" w:rsidRDefault="00103BC7" w:rsidP="00FE48F5">
            <w:pPr>
              <w:pStyle w:val="Default"/>
              <w:rPr>
                <w:sz w:val="18"/>
                <w:szCs w:val="18"/>
              </w:rPr>
            </w:pPr>
            <w:r w:rsidRPr="00103BC7">
              <w:rPr>
                <w:sz w:val="18"/>
                <w:szCs w:val="18"/>
              </w:rPr>
              <w:t>Číslo přihlášky: 2020-37595 ze dne 29.5.2020; datum udělení – zápisu užitného vzoru: 7.7.2020, číslo zapsaného UV: 34161</w:t>
            </w:r>
          </w:p>
        </w:tc>
        <w:tc>
          <w:tcPr>
            <w:tcW w:w="1000" w:type="dxa"/>
          </w:tcPr>
          <w:p w14:paraId="0A29AB82" w14:textId="77777777" w:rsidR="00103BC7" w:rsidRPr="00103BC7" w:rsidRDefault="00103BC7" w:rsidP="00FE48F5">
            <w:pPr>
              <w:pStyle w:val="Default"/>
              <w:rPr>
                <w:sz w:val="18"/>
                <w:szCs w:val="18"/>
              </w:rPr>
            </w:pPr>
            <w:r w:rsidRPr="00103BC7">
              <w:rPr>
                <w:sz w:val="18"/>
                <w:szCs w:val="18"/>
              </w:rPr>
              <w:lastRenderedPageBreak/>
              <w:t>1</w:t>
            </w:r>
          </w:p>
        </w:tc>
        <w:tc>
          <w:tcPr>
            <w:tcW w:w="3643" w:type="dxa"/>
          </w:tcPr>
          <w:p w14:paraId="7BA55BEF" w14:textId="77777777" w:rsidR="00103BC7" w:rsidRPr="00103BC7" w:rsidRDefault="00103BC7" w:rsidP="00FE48F5">
            <w:pPr>
              <w:pStyle w:val="Default"/>
              <w:rPr>
                <w:sz w:val="22"/>
                <w:szCs w:val="22"/>
              </w:rPr>
            </w:pPr>
            <w:r w:rsidRPr="00103BC7">
              <w:rPr>
                <w:sz w:val="22"/>
                <w:szCs w:val="22"/>
              </w:rPr>
              <w:t>TK01020061-V3</w:t>
            </w:r>
          </w:p>
        </w:tc>
        <w:tc>
          <w:tcPr>
            <w:tcW w:w="2423" w:type="dxa"/>
          </w:tcPr>
          <w:p w14:paraId="11C4EB7E" w14:textId="77777777" w:rsidR="00103BC7" w:rsidRPr="00103BC7" w:rsidRDefault="00103BC7" w:rsidP="00FE48F5">
            <w:pPr>
              <w:pStyle w:val="Default"/>
              <w:rPr>
                <w:sz w:val="18"/>
                <w:szCs w:val="18"/>
              </w:rPr>
            </w:pPr>
            <w:r w:rsidRPr="00103BC7">
              <w:rPr>
                <w:sz w:val="18"/>
                <w:szCs w:val="18"/>
              </w:rPr>
              <w:t>Fuzit – Užitný vzor</w:t>
            </w:r>
          </w:p>
        </w:tc>
        <w:tc>
          <w:tcPr>
            <w:tcW w:w="2625" w:type="dxa"/>
          </w:tcPr>
          <w:p w14:paraId="4A8B0A6D" w14:textId="77777777" w:rsidR="00103BC7" w:rsidRPr="00103BC7" w:rsidRDefault="00103BC7" w:rsidP="00FE48F5">
            <w:pPr>
              <w:pStyle w:val="Default"/>
              <w:rPr>
                <w:sz w:val="22"/>
                <w:szCs w:val="22"/>
              </w:rPr>
            </w:pPr>
            <w:r w:rsidRPr="00103BC7">
              <w:rPr>
                <w:sz w:val="22"/>
                <w:szCs w:val="22"/>
              </w:rPr>
              <w:t>ANO</w:t>
            </w:r>
          </w:p>
        </w:tc>
      </w:tr>
      <w:tr w:rsidR="00103BC7" w:rsidRPr="00103BC7" w14:paraId="667A6508" w14:textId="77777777" w:rsidTr="00FE48F5">
        <w:tc>
          <w:tcPr>
            <w:tcW w:w="2617" w:type="dxa"/>
          </w:tcPr>
          <w:p w14:paraId="706C02C2" w14:textId="77777777" w:rsidR="00103BC7" w:rsidRPr="00103BC7" w:rsidRDefault="00103BC7" w:rsidP="00FE48F5">
            <w:pPr>
              <w:pStyle w:val="Default"/>
              <w:rPr>
                <w:sz w:val="22"/>
                <w:szCs w:val="22"/>
              </w:rPr>
            </w:pPr>
            <w:r w:rsidRPr="00103BC7">
              <w:rPr>
                <w:sz w:val="22"/>
                <w:szCs w:val="22"/>
              </w:rPr>
              <w:t>Výzkumná zpráva: Zkušenosti s dlouhodobým provozem ORC jednotky</w:t>
            </w:r>
          </w:p>
        </w:tc>
        <w:tc>
          <w:tcPr>
            <w:tcW w:w="2587" w:type="dxa"/>
          </w:tcPr>
          <w:p w14:paraId="7AB2BCDE" w14:textId="77777777" w:rsidR="00103BC7" w:rsidRPr="00103BC7" w:rsidRDefault="00103BC7" w:rsidP="00FE48F5">
            <w:pPr>
              <w:pStyle w:val="Default"/>
              <w:rPr>
                <w:rFonts w:cs="Arial"/>
                <w:sz w:val="18"/>
                <w:szCs w:val="18"/>
              </w:rPr>
            </w:pPr>
            <w:r w:rsidRPr="00103BC7">
              <w:rPr>
                <w:rFonts w:cs="Arial"/>
                <w:sz w:val="18"/>
                <w:szCs w:val="18"/>
              </w:rPr>
              <w:t>Výzkumná zpráva shrnuje provozní zkušenosti s dlouhodobým provozem kogenerační ORC jednotky, které probíhalo v laboratoři UCEEB. Cílem bylo zjištění chování jednotky při běžném provozu a při nestandardních stavech (možné výpadky, různé tepelné výkony celé jednotky, různá paliva, různé počasí apod.) a mj. získat informace o předpokladu životnosti jednotlivých nejvíce namáhaných komponent (expandér, aj.).</w:t>
            </w:r>
          </w:p>
        </w:tc>
        <w:tc>
          <w:tcPr>
            <w:tcW w:w="1000" w:type="dxa"/>
          </w:tcPr>
          <w:p w14:paraId="36047C2C" w14:textId="77777777" w:rsidR="00103BC7" w:rsidRPr="00103BC7" w:rsidRDefault="00103BC7" w:rsidP="00FE48F5">
            <w:pPr>
              <w:pStyle w:val="Default"/>
              <w:rPr>
                <w:sz w:val="18"/>
                <w:szCs w:val="18"/>
              </w:rPr>
            </w:pPr>
            <w:r w:rsidRPr="00103BC7">
              <w:rPr>
                <w:sz w:val="18"/>
                <w:szCs w:val="18"/>
              </w:rPr>
              <w:t>1</w:t>
            </w:r>
          </w:p>
        </w:tc>
        <w:tc>
          <w:tcPr>
            <w:tcW w:w="3643" w:type="dxa"/>
          </w:tcPr>
          <w:p w14:paraId="651C70A2" w14:textId="77777777" w:rsidR="00103BC7" w:rsidRPr="00103BC7" w:rsidRDefault="00103BC7" w:rsidP="00FE48F5">
            <w:pPr>
              <w:pStyle w:val="Default"/>
              <w:rPr>
                <w:sz w:val="22"/>
                <w:szCs w:val="22"/>
              </w:rPr>
            </w:pPr>
            <w:r w:rsidRPr="00103BC7">
              <w:rPr>
                <w:sz w:val="22"/>
                <w:szCs w:val="22"/>
              </w:rPr>
              <w:t>TK01020061-V4</w:t>
            </w:r>
          </w:p>
        </w:tc>
        <w:tc>
          <w:tcPr>
            <w:tcW w:w="2423" w:type="dxa"/>
          </w:tcPr>
          <w:p w14:paraId="0F19F017" w14:textId="77777777" w:rsidR="00103BC7" w:rsidRPr="00103BC7" w:rsidRDefault="00103BC7" w:rsidP="00FE48F5">
            <w:pPr>
              <w:pStyle w:val="Default"/>
              <w:rPr>
                <w:sz w:val="18"/>
                <w:szCs w:val="18"/>
              </w:rPr>
            </w:pPr>
            <w:r w:rsidRPr="00103BC7">
              <w:rPr>
                <w:sz w:val="18"/>
                <w:szCs w:val="18"/>
              </w:rPr>
              <w:t>O – Ostatní výsledky</w:t>
            </w:r>
          </w:p>
        </w:tc>
        <w:tc>
          <w:tcPr>
            <w:tcW w:w="2625" w:type="dxa"/>
          </w:tcPr>
          <w:p w14:paraId="711C51C8" w14:textId="77777777" w:rsidR="00103BC7" w:rsidRPr="00103BC7" w:rsidRDefault="00103BC7" w:rsidP="00FE48F5">
            <w:pPr>
              <w:pStyle w:val="Default"/>
              <w:rPr>
                <w:sz w:val="22"/>
                <w:szCs w:val="22"/>
              </w:rPr>
            </w:pPr>
            <w:r w:rsidRPr="00103BC7">
              <w:rPr>
                <w:sz w:val="22"/>
                <w:szCs w:val="22"/>
              </w:rPr>
              <w:t>ANO</w:t>
            </w:r>
          </w:p>
        </w:tc>
      </w:tr>
    </w:tbl>
    <w:p w14:paraId="0082DC05" w14:textId="77777777" w:rsidR="00103BC7" w:rsidRPr="00103BC7" w:rsidRDefault="00103BC7" w:rsidP="00103BC7">
      <w:pPr>
        <w:autoSpaceDE w:val="0"/>
        <w:autoSpaceDN w:val="0"/>
        <w:adjustRightInd w:val="0"/>
        <w:spacing w:after="0" w:line="240" w:lineRule="auto"/>
        <w:jc w:val="center"/>
        <w:rPr>
          <w:rFonts w:ascii="Calibri" w:hAnsi="Calibri" w:cs="Calibri"/>
          <w:color w:val="000000"/>
        </w:rPr>
      </w:pPr>
    </w:p>
    <w:p w14:paraId="373F65D0" w14:textId="77777777" w:rsidR="00103BC7" w:rsidRPr="00103BC7" w:rsidRDefault="00103BC7" w:rsidP="00103BC7">
      <w:pPr>
        <w:autoSpaceDE w:val="0"/>
        <w:autoSpaceDN w:val="0"/>
        <w:adjustRightInd w:val="0"/>
        <w:spacing w:after="0" w:line="240" w:lineRule="auto"/>
        <w:jc w:val="center"/>
        <w:rPr>
          <w:rFonts w:ascii="Calibri" w:hAnsi="Calibri" w:cs="Calibri"/>
          <w:color w:val="000000"/>
        </w:rPr>
      </w:pPr>
    </w:p>
    <w:p w14:paraId="1631A6AC" w14:textId="77777777" w:rsidR="00103BC7" w:rsidRPr="00103BC7" w:rsidRDefault="00103BC7" w:rsidP="00103BC7">
      <w:pPr>
        <w:rPr>
          <w:rFonts w:ascii="Calibri" w:hAnsi="Calibri" w:cs="Calibri"/>
          <w:color w:val="000000"/>
        </w:rPr>
      </w:pPr>
      <w:r w:rsidRPr="00103BC7">
        <w:rPr>
          <w:rFonts w:ascii="Calibri" w:hAnsi="Calibri" w:cs="Calibri"/>
          <w:color w:val="000000"/>
        </w:rPr>
        <w:br w:type="page"/>
      </w:r>
    </w:p>
    <w:p w14:paraId="09D3C5B7" w14:textId="77777777" w:rsidR="00103BC7" w:rsidRPr="00103BC7" w:rsidRDefault="00103BC7" w:rsidP="00103BC7">
      <w:pPr>
        <w:autoSpaceDE w:val="0"/>
        <w:autoSpaceDN w:val="0"/>
        <w:adjustRightInd w:val="0"/>
        <w:spacing w:after="0" w:line="240" w:lineRule="auto"/>
        <w:jc w:val="center"/>
        <w:rPr>
          <w:rFonts w:ascii="Calibri" w:hAnsi="Calibri" w:cs="Calibri"/>
          <w:color w:val="000000"/>
          <w:sz w:val="28"/>
          <w:szCs w:val="28"/>
        </w:rPr>
      </w:pPr>
      <w:r w:rsidRPr="00103BC7">
        <w:rPr>
          <w:rFonts w:ascii="Calibri" w:hAnsi="Calibri" w:cs="Calibri"/>
          <w:b/>
          <w:bCs/>
          <w:color w:val="000000"/>
          <w:sz w:val="28"/>
          <w:szCs w:val="28"/>
        </w:rPr>
        <w:lastRenderedPageBreak/>
        <w:t>Příloha č. 3</w:t>
      </w:r>
    </w:p>
    <w:p w14:paraId="1C54BDEC" w14:textId="77777777" w:rsidR="00103BC7" w:rsidRPr="00103BC7" w:rsidRDefault="00103BC7" w:rsidP="00103BC7">
      <w:pPr>
        <w:autoSpaceDE w:val="0"/>
        <w:autoSpaceDN w:val="0"/>
        <w:adjustRightInd w:val="0"/>
        <w:spacing w:after="0" w:line="240" w:lineRule="auto"/>
        <w:jc w:val="center"/>
        <w:rPr>
          <w:rFonts w:ascii="Calibri" w:hAnsi="Calibri" w:cs="Calibri"/>
          <w:b/>
          <w:bCs/>
          <w:color w:val="000000"/>
          <w:sz w:val="28"/>
          <w:szCs w:val="28"/>
        </w:rPr>
      </w:pPr>
      <w:r w:rsidRPr="00103BC7">
        <w:rPr>
          <w:rFonts w:ascii="Calibri" w:hAnsi="Calibri" w:cs="Calibri"/>
          <w:b/>
          <w:bCs/>
          <w:color w:val="000000"/>
          <w:sz w:val="28"/>
          <w:szCs w:val="28"/>
        </w:rPr>
        <w:t>Implementační plán Projektu</w:t>
      </w:r>
    </w:p>
    <w:p w14:paraId="7A06C24D" w14:textId="77777777" w:rsidR="00103BC7" w:rsidRPr="00103BC7" w:rsidRDefault="00103BC7" w:rsidP="00103BC7">
      <w:pPr>
        <w:autoSpaceDE w:val="0"/>
        <w:autoSpaceDN w:val="0"/>
        <w:adjustRightInd w:val="0"/>
        <w:spacing w:after="0" w:line="240" w:lineRule="auto"/>
        <w:jc w:val="center"/>
        <w:rPr>
          <w:rFonts w:ascii="Calibri" w:hAnsi="Calibri" w:cs="Calibri"/>
          <w:color w:val="000000"/>
        </w:rPr>
      </w:pPr>
    </w:p>
    <w:p w14:paraId="7058ED52" w14:textId="77777777" w:rsidR="00103BC7" w:rsidRPr="00103BC7" w:rsidRDefault="00103BC7" w:rsidP="00103BC7">
      <w:pPr>
        <w:autoSpaceDE w:val="0"/>
        <w:autoSpaceDN w:val="0"/>
        <w:adjustRightInd w:val="0"/>
        <w:spacing w:after="0" w:line="240" w:lineRule="auto"/>
        <w:rPr>
          <w:rFonts w:ascii="Calibri" w:hAnsi="Calibri" w:cs="Calibri"/>
          <w:color w:val="000000"/>
        </w:rPr>
      </w:pPr>
      <w:r w:rsidRPr="00103BC7">
        <w:rPr>
          <w:rFonts w:ascii="Calibri" w:hAnsi="Calibri" w:cs="Calibri"/>
          <w:b/>
          <w:bCs/>
          <w:color w:val="000000"/>
        </w:rPr>
        <w:t xml:space="preserve">1. Textová část </w:t>
      </w:r>
    </w:p>
    <w:p w14:paraId="1E954B9E" w14:textId="77777777" w:rsidR="00103BC7" w:rsidRPr="00103BC7" w:rsidRDefault="00103BC7" w:rsidP="00103BC7">
      <w:pPr>
        <w:autoSpaceDE w:val="0"/>
        <w:autoSpaceDN w:val="0"/>
        <w:adjustRightInd w:val="0"/>
        <w:spacing w:after="0" w:line="240" w:lineRule="auto"/>
        <w:rPr>
          <w:rFonts w:ascii="Calibri" w:hAnsi="Calibri" w:cs="Calibri"/>
          <w:color w:val="000000"/>
        </w:rPr>
      </w:pPr>
      <w:r w:rsidRPr="00103BC7">
        <w:rPr>
          <w:rFonts w:ascii="Calibri" w:hAnsi="Calibri" w:cs="Calibri"/>
          <w:color w:val="000000"/>
        </w:rPr>
        <w:t>Všechny výsledky Projektu obsahují implementační plány sumarizované níže. Celkově lze implementační plány shrnout tak, že na prototyp navazuje komerční realizace u aplikačního garanta. Pro docílení parametrů umožňujících větší komerční potenciál bude pokračovat další výzkum a vývoj, pro nějž výsledky Projektu (převážně oba užitné vzory a výzkumná zpráva) budou použity. Díky Projektu se dále výrazně zvýšila obecně kvalita produktů Dalších účastníků díky prozkoumání řady parametrů a možností v rámci předmětného technického řešení. Celková zhodnocení  implementačních plánů: implementační  plány odpovídají cílům a rozsahu Projektu.</w:t>
      </w:r>
    </w:p>
    <w:p w14:paraId="6082A45E" w14:textId="77777777" w:rsidR="00103BC7" w:rsidRPr="00103BC7" w:rsidRDefault="00103BC7" w:rsidP="00103BC7">
      <w:pPr>
        <w:autoSpaceDE w:val="0"/>
        <w:autoSpaceDN w:val="0"/>
        <w:adjustRightInd w:val="0"/>
        <w:spacing w:after="0" w:line="240" w:lineRule="auto"/>
        <w:rPr>
          <w:rFonts w:ascii="Calibri" w:hAnsi="Calibri" w:cs="Calibri"/>
          <w:color w:val="000000"/>
        </w:rPr>
      </w:pPr>
    </w:p>
    <w:p w14:paraId="0EE89E4A" w14:textId="77777777" w:rsidR="00103BC7" w:rsidRPr="00103BC7" w:rsidRDefault="00103BC7" w:rsidP="00103BC7">
      <w:pPr>
        <w:pStyle w:val="Default"/>
        <w:rPr>
          <w:b/>
          <w:bCs/>
          <w:color w:val="auto"/>
          <w:sz w:val="22"/>
          <w:szCs w:val="22"/>
        </w:rPr>
      </w:pPr>
      <w:r w:rsidRPr="00103BC7">
        <w:rPr>
          <w:b/>
          <w:bCs/>
          <w:color w:val="auto"/>
          <w:sz w:val="22"/>
          <w:szCs w:val="22"/>
        </w:rPr>
        <w:t xml:space="preserve">2. Přehled </w:t>
      </w:r>
    </w:p>
    <w:tbl>
      <w:tblPr>
        <w:tblStyle w:val="Mkatabulky"/>
        <w:tblW w:w="15021" w:type="dxa"/>
        <w:tblLook w:val="04A0" w:firstRow="1" w:lastRow="0" w:firstColumn="1" w:lastColumn="0" w:noHBand="0" w:noVBand="1"/>
      </w:tblPr>
      <w:tblGrid>
        <w:gridCol w:w="2927"/>
        <w:gridCol w:w="4723"/>
        <w:gridCol w:w="5103"/>
        <w:gridCol w:w="2268"/>
      </w:tblGrid>
      <w:tr w:rsidR="00103BC7" w:rsidRPr="00103BC7" w14:paraId="22B7AE8A" w14:textId="77777777" w:rsidTr="00103BC7">
        <w:tc>
          <w:tcPr>
            <w:tcW w:w="2927" w:type="dxa"/>
          </w:tcPr>
          <w:p w14:paraId="0D0D4531" w14:textId="77777777" w:rsidR="00103BC7" w:rsidRPr="00103BC7" w:rsidRDefault="00103BC7" w:rsidP="00103BC7">
            <w:pPr>
              <w:pStyle w:val="Default"/>
              <w:rPr>
                <w:sz w:val="22"/>
                <w:szCs w:val="22"/>
              </w:rPr>
            </w:pPr>
            <w:r w:rsidRPr="00103BC7">
              <w:rPr>
                <w:b/>
                <w:bCs/>
                <w:sz w:val="22"/>
                <w:szCs w:val="22"/>
              </w:rPr>
              <w:t>Název implementačního plánu</w:t>
            </w:r>
          </w:p>
        </w:tc>
        <w:tc>
          <w:tcPr>
            <w:tcW w:w="4723" w:type="dxa"/>
          </w:tcPr>
          <w:p w14:paraId="51242724" w14:textId="77777777" w:rsidR="00103BC7" w:rsidRPr="00103BC7" w:rsidRDefault="00103BC7" w:rsidP="00103BC7">
            <w:pPr>
              <w:pStyle w:val="Default"/>
              <w:rPr>
                <w:b/>
                <w:bCs/>
                <w:sz w:val="22"/>
                <w:szCs w:val="22"/>
              </w:rPr>
            </w:pPr>
            <w:r w:rsidRPr="00103BC7">
              <w:rPr>
                <w:b/>
                <w:bCs/>
                <w:sz w:val="22"/>
                <w:szCs w:val="22"/>
              </w:rPr>
              <w:t>Výsledky v implementačním plánu</w:t>
            </w:r>
          </w:p>
        </w:tc>
        <w:tc>
          <w:tcPr>
            <w:tcW w:w="5103" w:type="dxa"/>
          </w:tcPr>
          <w:p w14:paraId="72FE6EB6" w14:textId="77777777" w:rsidR="00103BC7" w:rsidRPr="00103BC7" w:rsidRDefault="00103BC7" w:rsidP="00103BC7">
            <w:pPr>
              <w:pStyle w:val="Default"/>
              <w:rPr>
                <w:sz w:val="22"/>
                <w:szCs w:val="22"/>
              </w:rPr>
            </w:pPr>
            <w:r w:rsidRPr="00103BC7">
              <w:rPr>
                <w:b/>
                <w:bCs/>
                <w:sz w:val="22"/>
                <w:szCs w:val="22"/>
              </w:rPr>
              <w:t>Shrnutí implementačního plánu</w:t>
            </w:r>
          </w:p>
        </w:tc>
        <w:tc>
          <w:tcPr>
            <w:tcW w:w="2268" w:type="dxa"/>
          </w:tcPr>
          <w:p w14:paraId="25EA25C5" w14:textId="77777777" w:rsidR="00103BC7" w:rsidRPr="00103BC7" w:rsidRDefault="00103BC7" w:rsidP="00103BC7">
            <w:pPr>
              <w:pStyle w:val="Default"/>
              <w:rPr>
                <w:sz w:val="22"/>
                <w:szCs w:val="22"/>
              </w:rPr>
            </w:pPr>
            <w:r w:rsidRPr="00103BC7">
              <w:rPr>
                <w:b/>
                <w:bCs/>
                <w:sz w:val="22"/>
                <w:szCs w:val="22"/>
              </w:rPr>
              <w:t>Kategorie Výsledků</w:t>
            </w:r>
          </w:p>
        </w:tc>
      </w:tr>
      <w:tr w:rsidR="00103BC7" w:rsidRPr="00103BC7" w14:paraId="26FC8D78" w14:textId="77777777" w:rsidTr="00103BC7">
        <w:tc>
          <w:tcPr>
            <w:tcW w:w="2927" w:type="dxa"/>
          </w:tcPr>
          <w:p w14:paraId="7BAFB1E8" w14:textId="77777777" w:rsidR="00103BC7" w:rsidRPr="00103BC7" w:rsidRDefault="00103BC7" w:rsidP="00103BC7">
            <w:pPr>
              <w:pStyle w:val="Default"/>
              <w:rPr>
                <w:sz w:val="22"/>
                <w:szCs w:val="22"/>
              </w:rPr>
            </w:pPr>
            <w:r w:rsidRPr="00103BC7">
              <w:rPr>
                <w:sz w:val="22"/>
                <w:szCs w:val="22"/>
              </w:rPr>
              <w:t>TK01020061-IP1</w:t>
            </w:r>
          </w:p>
        </w:tc>
        <w:tc>
          <w:tcPr>
            <w:tcW w:w="4723" w:type="dxa"/>
          </w:tcPr>
          <w:p w14:paraId="1E48FFF4" w14:textId="77777777" w:rsidR="00103BC7" w:rsidRPr="00103BC7" w:rsidRDefault="00103BC7" w:rsidP="00103BC7">
            <w:pPr>
              <w:pStyle w:val="Default"/>
              <w:rPr>
                <w:sz w:val="22"/>
                <w:szCs w:val="22"/>
              </w:rPr>
            </w:pPr>
            <w:r w:rsidRPr="00103BC7">
              <w:rPr>
                <w:sz w:val="22"/>
                <w:szCs w:val="22"/>
              </w:rPr>
              <w:t>Kogenerační ORC jednotka o tepelném výkonu 120 kW na dřevní štěpku v kontejnerovém provedení (TK01020061-V1)</w:t>
            </w:r>
          </w:p>
        </w:tc>
        <w:tc>
          <w:tcPr>
            <w:tcW w:w="5103" w:type="dxa"/>
          </w:tcPr>
          <w:p w14:paraId="718FF20E" w14:textId="77777777" w:rsidR="00103BC7" w:rsidRPr="00103BC7" w:rsidRDefault="00103BC7" w:rsidP="00103BC7">
            <w:pPr>
              <w:spacing w:after="0" w:line="240" w:lineRule="auto"/>
              <w:rPr>
                <w:rFonts w:ascii="Calibri" w:hAnsi="Calibri" w:cs="Calibri"/>
                <w:color w:val="000000"/>
              </w:rPr>
            </w:pPr>
            <w:r w:rsidRPr="00103BC7">
              <w:rPr>
                <w:rFonts w:ascii="Calibri" w:hAnsi="Calibri" w:cs="Calibri"/>
                <w:color w:val="000000"/>
              </w:rPr>
              <w:t xml:space="preserve">Výsledek bude implementován a aplikován do praxe prostřednictvím aplikačního garanta (Damgaard Consulting s.r.o.), se kterým hlavní příjemce (České vysoké učení technické v Praze, Univerzitní centrum energeticky efektivních budov) uzavírá licenční smlouvu. Další účastníci (Ing. Miroslav Šamata; BHC Jílové s.r.o.) upravují dále spolupráci s aplikačním garantem svými vlastními dvoustrannými smlouvami. </w:t>
            </w:r>
          </w:p>
        </w:tc>
        <w:tc>
          <w:tcPr>
            <w:tcW w:w="2268" w:type="dxa"/>
          </w:tcPr>
          <w:p w14:paraId="3A45E8B0" w14:textId="77777777" w:rsidR="00103BC7" w:rsidRPr="00103BC7" w:rsidRDefault="00103BC7" w:rsidP="00103BC7">
            <w:pPr>
              <w:pStyle w:val="Default"/>
              <w:rPr>
                <w:sz w:val="18"/>
                <w:szCs w:val="18"/>
              </w:rPr>
            </w:pPr>
            <w:r w:rsidRPr="00103BC7">
              <w:rPr>
                <w:sz w:val="18"/>
                <w:szCs w:val="18"/>
              </w:rPr>
              <w:t>Gprot - Prototyp</w:t>
            </w:r>
          </w:p>
        </w:tc>
      </w:tr>
      <w:tr w:rsidR="00103BC7" w:rsidRPr="00103BC7" w14:paraId="36357515" w14:textId="77777777" w:rsidTr="00103BC7">
        <w:tc>
          <w:tcPr>
            <w:tcW w:w="2927" w:type="dxa"/>
          </w:tcPr>
          <w:p w14:paraId="41CBECCA" w14:textId="77777777" w:rsidR="00103BC7" w:rsidRPr="00103BC7" w:rsidRDefault="00103BC7" w:rsidP="00103BC7">
            <w:pPr>
              <w:shd w:val="clear" w:color="auto" w:fill="FFFFFF"/>
              <w:spacing w:after="0" w:line="240" w:lineRule="auto"/>
              <w:outlineLvl w:val="0"/>
              <w:rPr>
                <w:rFonts w:ascii="Calibri" w:hAnsi="Calibri" w:cs="Calibri"/>
                <w:color w:val="000000"/>
              </w:rPr>
            </w:pPr>
            <w:r w:rsidRPr="00103BC7">
              <w:rPr>
                <w:rFonts w:ascii="Calibri" w:hAnsi="Calibri" w:cs="Calibri"/>
                <w:color w:val="000000"/>
              </w:rPr>
              <w:t>TK01020061-IP2</w:t>
            </w:r>
          </w:p>
          <w:p w14:paraId="4747E410" w14:textId="77777777" w:rsidR="00103BC7" w:rsidRPr="00103BC7" w:rsidRDefault="00103BC7" w:rsidP="00103BC7">
            <w:pPr>
              <w:pStyle w:val="Default"/>
              <w:rPr>
                <w:sz w:val="22"/>
                <w:szCs w:val="22"/>
              </w:rPr>
            </w:pPr>
          </w:p>
        </w:tc>
        <w:tc>
          <w:tcPr>
            <w:tcW w:w="4723" w:type="dxa"/>
          </w:tcPr>
          <w:p w14:paraId="2C051C1F" w14:textId="77777777" w:rsidR="00103BC7" w:rsidRPr="00103BC7" w:rsidRDefault="00103BC7" w:rsidP="00103BC7">
            <w:pPr>
              <w:pStyle w:val="Default"/>
              <w:rPr>
                <w:sz w:val="22"/>
                <w:szCs w:val="22"/>
              </w:rPr>
            </w:pPr>
            <w:r w:rsidRPr="00103BC7">
              <w:rPr>
                <w:sz w:val="22"/>
                <w:szCs w:val="22"/>
              </w:rPr>
              <w:t>Zařízení s regulovatelnou teplotou spalin s ohništěm a spalinovým výměníkem (TK01020061-V2)</w:t>
            </w:r>
          </w:p>
          <w:p w14:paraId="5B1490BA" w14:textId="77777777" w:rsidR="00103BC7" w:rsidRPr="00103BC7" w:rsidRDefault="00103BC7" w:rsidP="00103BC7">
            <w:pPr>
              <w:pStyle w:val="Default"/>
              <w:rPr>
                <w:sz w:val="22"/>
                <w:szCs w:val="22"/>
              </w:rPr>
            </w:pPr>
            <w:r w:rsidRPr="00103BC7">
              <w:rPr>
                <w:sz w:val="22"/>
                <w:szCs w:val="22"/>
              </w:rPr>
              <w:br/>
              <w:t>Spalinový výměník pro ohřev teplosměnného média pomocí spalin (TK01020061-V3)</w:t>
            </w:r>
          </w:p>
          <w:p w14:paraId="3F0103A4" w14:textId="77777777" w:rsidR="00103BC7" w:rsidRPr="00103BC7" w:rsidRDefault="00103BC7" w:rsidP="00103BC7">
            <w:pPr>
              <w:pStyle w:val="Default"/>
              <w:rPr>
                <w:sz w:val="22"/>
                <w:szCs w:val="22"/>
              </w:rPr>
            </w:pPr>
            <w:r w:rsidRPr="00103BC7">
              <w:rPr>
                <w:sz w:val="22"/>
                <w:szCs w:val="22"/>
              </w:rPr>
              <w:br/>
              <w:t>Výzkumná zpráva: Zkušenosti s dlouhodobým provozem ORC jednotky (TK01020061-V4)</w:t>
            </w:r>
          </w:p>
        </w:tc>
        <w:tc>
          <w:tcPr>
            <w:tcW w:w="5103" w:type="dxa"/>
          </w:tcPr>
          <w:p w14:paraId="24F57CC7" w14:textId="77777777" w:rsidR="00103BC7" w:rsidRPr="00103BC7" w:rsidRDefault="00103BC7" w:rsidP="00103BC7">
            <w:pPr>
              <w:spacing w:after="0" w:line="240" w:lineRule="auto"/>
              <w:rPr>
                <w:rFonts w:ascii="Calibri" w:hAnsi="Calibri" w:cs="Calibri"/>
                <w:color w:val="000000"/>
                <w:sz w:val="18"/>
                <w:szCs w:val="18"/>
              </w:rPr>
            </w:pPr>
            <w:r w:rsidRPr="00103BC7">
              <w:rPr>
                <w:rFonts w:ascii="Calibri" w:hAnsi="Calibri" w:cs="Calibri"/>
                <w:color w:val="000000"/>
              </w:rPr>
              <w:t>Duševní vlastnictví definované oběma užitnými vzory a výzkumnou zprávou bude využito v podobě dalšího vývoje příslušných technologických celků u jednotlivých dalších účastníků i hlavního příjemce. Všechny 3 subjekty vyjádřili zájem i nadále pracovat a spolupracovat na vylepšování a optimalizaci příslušných technologických celků, ať už komerční formou nebo dalších výzkumných projektů.</w:t>
            </w:r>
          </w:p>
        </w:tc>
        <w:tc>
          <w:tcPr>
            <w:tcW w:w="2268" w:type="dxa"/>
          </w:tcPr>
          <w:p w14:paraId="78C09BBB" w14:textId="77777777" w:rsidR="00103BC7" w:rsidRPr="00103BC7" w:rsidRDefault="00103BC7" w:rsidP="00103BC7">
            <w:pPr>
              <w:pStyle w:val="Default"/>
              <w:rPr>
                <w:sz w:val="18"/>
                <w:szCs w:val="18"/>
              </w:rPr>
            </w:pPr>
            <w:r w:rsidRPr="00103BC7">
              <w:rPr>
                <w:sz w:val="18"/>
                <w:szCs w:val="18"/>
              </w:rPr>
              <w:t>Fuzit – Užitný vzor</w:t>
            </w:r>
          </w:p>
          <w:p w14:paraId="1023530B" w14:textId="77777777" w:rsidR="00103BC7" w:rsidRPr="00103BC7" w:rsidRDefault="00103BC7" w:rsidP="00103BC7">
            <w:pPr>
              <w:pStyle w:val="Default"/>
              <w:rPr>
                <w:sz w:val="18"/>
                <w:szCs w:val="18"/>
              </w:rPr>
            </w:pPr>
            <w:r w:rsidRPr="00103BC7">
              <w:rPr>
                <w:sz w:val="18"/>
                <w:szCs w:val="18"/>
              </w:rPr>
              <w:t>O – Ostatní výsledky</w:t>
            </w:r>
          </w:p>
        </w:tc>
      </w:tr>
    </w:tbl>
    <w:p w14:paraId="5EABC2B2" w14:textId="24AD47E2" w:rsidR="008049C9" w:rsidRPr="00103BC7" w:rsidRDefault="008049C9" w:rsidP="00103BC7">
      <w:pPr>
        <w:pStyle w:val="Default"/>
        <w:rPr>
          <w:rFonts w:eastAsia="Calibri"/>
        </w:rPr>
      </w:pPr>
    </w:p>
    <w:sectPr w:rsidR="008049C9" w:rsidRPr="00103BC7" w:rsidSect="00103BC7">
      <w:pgSz w:w="16840" w:h="12406" w:orient="landscape"/>
      <w:pgMar w:top="1134" w:right="896" w:bottom="6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4E46D" w14:textId="77777777" w:rsidR="001F6A36" w:rsidRDefault="001F6A36" w:rsidP="004010A7">
      <w:pPr>
        <w:spacing w:line="240" w:lineRule="auto"/>
      </w:pPr>
      <w:r>
        <w:separator/>
      </w:r>
    </w:p>
  </w:endnote>
  <w:endnote w:type="continuationSeparator" w:id="0">
    <w:p w14:paraId="1C040BAC" w14:textId="77777777" w:rsidR="001F6A36" w:rsidRDefault="001F6A36"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B2"/>
    <w:family w:val="swiss"/>
    <w:notTrueType/>
    <w:pitch w:val="default"/>
    <w:sig w:usb0="00002005" w:usb1="00000000" w:usb2="00000000" w:usb3="00000000" w:csb0="0000004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776452" w14:paraId="5CD99452" w14:textId="77777777" w:rsidTr="002D4758">
      <w:trPr>
        <w:trHeight w:val="800"/>
      </w:trPr>
      <w:tc>
        <w:tcPr>
          <w:tcW w:w="5000" w:type="pct"/>
          <w:shd w:val="clear" w:color="auto" w:fill="auto"/>
        </w:tcPr>
        <w:p w14:paraId="45E0793D" w14:textId="77777777" w:rsidR="00776452" w:rsidRDefault="00776452" w:rsidP="007569BA">
          <w:pPr>
            <w:pStyle w:val="Zpat"/>
            <w:rPr>
              <w:caps w:val="0"/>
              <w:lang w:val="en-GB"/>
            </w:rPr>
          </w:pPr>
        </w:p>
        <w:p w14:paraId="4F9805E1" w14:textId="77777777" w:rsidR="00776452" w:rsidRDefault="00776452" w:rsidP="007569BA">
          <w:pPr>
            <w:pStyle w:val="Zpat"/>
            <w:rPr>
              <w:caps w:val="0"/>
              <w:lang w:val="en-GB"/>
            </w:rPr>
          </w:pPr>
        </w:p>
        <w:p w14:paraId="16267816" w14:textId="4D8BDD1C" w:rsidR="00776452" w:rsidRPr="00B26E8E" w:rsidRDefault="00776452" w:rsidP="007569BA">
          <w:pPr>
            <w:pStyle w:val="Zpat"/>
            <w:jc w:val="right"/>
          </w:pPr>
          <w:r>
            <w:fldChar w:fldCharType="begin"/>
          </w:r>
          <w:r>
            <w:instrText xml:space="preserve"> PAGE   \* MERGEFORMAT </w:instrText>
          </w:r>
          <w:r>
            <w:fldChar w:fldCharType="separate"/>
          </w:r>
          <w:r w:rsidR="002E17C2">
            <w:rPr>
              <w:noProof/>
            </w:rPr>
            <w:t>14</w:t>
          </w:r>
          <w:r>
            <w:fldChar w:fldCharType="end"/>
          </w:r>
          <w:r>
            <w:t xml:space="preserve"> / </w:t>
          </w:r>
          <w:r w:rsidR="001F6A36">
            <w:rPr>
              <w:noProof/>
            </w:rPr>
            <w:fldChar w:fldCharType="begin"/>
          </w:r>
          <w:r w:rsidR="001F6A36">
            <w:rPr>
              <w:noProof/>
            </w:rPr>
            <w:instrText xml:space="preserve"> NUMPAGES   \* MERGEFORMAT </w:instrText>
          </w:r>
          <w:r w:rsidR="001F6A36">
            <w:rPr>
              <w:noProof/>
            </w:rPr>
            <w:fldChar w:fldCharType="separate"/>
          </w:r>
          <w:r w:rsidR="002E17C2">
            <w:rPr>
              <w:noProof/>
            </w:rPr>
            <w:t>14</w:t>
          </w:r>
          <w:r w:rsidR="001F6A36">
            <w:rPr>
              <w:noProof/>
            </w:rPr>
            <w:fldChar w:fldCharType="end"/>
          </w:r>
        </w:p>
      </w:tc>
    </w:tr>
  </w:tbl>
  <w:p w14:paraId="221BEDB3" w14:textId="77777777" w:rsidR="00776452" w:rsidRPr="00B26E8E" w:rsidRDefault="00776452"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97"/>
      <w:gridCol w:w="1920"/>
      <w:gridCol w:w="2794"/>
      <w:gridCol w:w="1794"/>
    </w:tblGrid>
    <w:tr w:rsidR="00776452" w14:paraId="1C787E53" w14:textId="77777777" w:rsidTr="00382D47">
      <w:trPr>
        <w:trHeight w:val="567"/>
      </w:trPr>
      <w:tc>
        <w:tcPr>
          <w:tcW w:w="2041" w:type="dxa"/>
          <w:shd w:val="clear" w:color="auto" w:fill="auto"/>
        </w:tcPr>
        <w:p w14:paraId="2864FE4E" w14:textId="77777777" w:rsidR="00776452" w:rsidRDefault="00776452" w:rsidP="00BB0493">
          <w:pPr>
            <w:pStyle w:val="Zpat"/>
            <w:rPr>
              <w:caps w:val="0"/>
              <w:lang w:val="en-GB"/>
            </w:rPr>
          </w:pPr>
          <w:r>
            <w:rPr>
              <w:lang w:val="en-GB"/>
            </w:rPr>
            <w:t>ČVUT UCEEB</w:t>
          </w:r>
        </w:p>
        <w:p w14:paraId="457CB8CC" w14:textId="77777777" w:rsidR="00776452" w:rsidRDefault="00776452" w:rsidP="00BB0493">
          <w:pPr>
            <w:pStyle w:val="Zpat"/>
            <w:rPr>
              <w:caps w:val="0"/>
              <w:lang w:val="en-GB"/>
            </w:rPr>
          </w:pPr>
          <w:r>
            <w:rPr>
              <w:caps w:val="0"/>
              <w:lang w:val="en-GB"/>
            </w:rPr>
            <w:t>T</w:t>
          </w:r>
          <w:r w:rsidRPr="005B0E46">
            <w:rPr>
              <w:lang w:val="en-GB"/>
            </w:rPr>
            <w:t>řinecká 1024</w:t>
          </w:r>
        </w:p>
        <w:p w14:paraId="5CCA485E" w14:textId="77777777" w:rsidR="00776452" w:rsidRPr="00B26E8E" w:rsidRDefault="00776452"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57472B51" w14:textId="150982AC" w:rsidR="00776452" w:rsidRPr="00B26E8E" w:rsidRDefault="00CF0F29" w:rsidP="00B26E8E">
          <w:pPr>
            <w:pStyle w:val="Zpat"/>
            <w:rPr>
              <w:caps w:val="0"/>
            </w:rPr>
          </w:pPr>
          <w:r>
            <w:t>XXXXXXXXXXXX</w:t>
          </w:r>
        </w:p>
        <w:p w14:paraId="6055B537" w14:textId="4C3FBC49" w:rsidR="00776452" w:rsidRPr="00B26E8E" w:rsidRDefault="00CF0F29" w:rsidP="00B26E8E">
          <w:pPr>
            <w:pStyle w:val="Zpat"/>
            <w:rPr>
              <w:caps w:val="0"/>
            </w:rPr>
          </w:pPr>
          <w:r>
            <w:t>XXXXXXXXXXXX</w:t>
          </w:r>
        </w:p>
        <w:p w14:paraId="5315E34F" w14:textId="77777777" w:rsidR="00776452" w:rsidRDefault="00776452" w:rsidP="00B26E8E">
          <w:pPr>
            <w:pStyle w:val="Zpat"/>
            <w:rPr>
              <w:caps w:val="0"/>
            </w:rPr>
          </w:pPr>
          <w:r w:rsidRPr="00B26E8E">
            <w:t>www.uceeb.cz</w:t>
          </w:r>
        </w:p>
      </w:tc>
      <w:tc>
        <w:tcPr>
          <w:tcW w:w="2840" w:type="dxa"/>
          <w:shd w:val="clear" w:color="auto" w:fill="auto"/>
        </w:tcPr>
        <w:p w14:paraId="09BE2FDC" w14:textId="77777777" w:rsidR="00776452" w:rsidRPr="00B26E8E" w:rsidRDefault="00776452" w:rsidP="00B26E8E">
          <w:pPr>
            <w:pStyle w:val="Zpat"/>
            <w:rPr>
              <w:caps w:val="0"/>
            </w:rPr>
          </w:pPr>
          <w:r w:rsidRPr="00B26E8E">
            <w:t>IČ 68407700 | DIČ CZ68407700</w:t>
          </w:r>
        </w:p>
        <w:p w14:paraId="603EBC73" w14:textId="7D1B26E5" w:rsidR="00776452" w:rsidRPr="00B26E8E" w:rsidRDefault="00CF0F29" w:rsidP="00B26E8E">
          <w:pPr>
            <w:pStyle w:val="Zpat"/>
            <w:rPr>
              <w:caps w:val="0"/>
            </w:rPr>
          </w:pPr>
          <w:r>
            <w:t>BANKOVNÍ SPOJENÍ XXXXXX</w:t>
          </w:r>
        </w:p>
        <w:p w14:paraId="61D06416" w14:textId="28E68635" w:rsidR="00776452" w:rsidRPr="00B26E8E" w:rsidRDefault="00776452" w:rsidP="00B26E8E">
          <w:pPr>
            <w:pStyle w:val="Zpat"/>
            <w:rPr>
              <w:caps w:val="0"/>
              <w:lang w:val="en-GB"/>
            </w:rPr>
          </w:pPr>
          <w:r w:rsidRPr="000403B8">
            <w:rPr>
              <w:lang w:val="en-GB"/>
            </w:rPr>
            <w:t xml:space="preserve">Č. Ú. </w:t>
          </w:r>
          <w:r w:rsidR="00CF0F29">
            <w:rPr>
              <w:lang w:val="en-GB"/>
            </w:rPr>
            <w:t>XXXXXXXXXXXXXXXXX</w:t>
          </w:r>
        </w:p>
      </w:tc>
      <w:tc>
        <w:tcPr>
          <w:tcW w:w="1860" w:type="dxa"/>
          <w:tcMar>
            <w:right w:w="0" w:type="dxa"/>
          </w:tcMar>
          <w:vAlign w:val="bottom"/>
        </w:tcPr>
        <w:p w14:paraId="129C97CE" w14:textId="05CD4768" w:rsidR="00776452" w:rsidRPr="00B26E8E" w:rsidRDefault="00776452" w:rsidP="00B26E8E">
          <w:pPr>
            <w:pStyle w:val="Zpat"/>
            <w:jc w:val="right"/>
          </w:pPr>
          <w:r>
            <w:fldChar w:fldCharType="begin"/>
          </w:r>
          <w:r>
            <w:instrText xml:space="preserve"> PAGE   \* MERGEFORMAT </w:instrText>
          </w:r>
          <w:r>
            <w:fldChar w:fldCharType="separate"/>
          </w:r>
          <w:r w:rsidR="00944157">
            <w:rPr>
              <w:noProof/>
            </w:rPr>
            <w:t>1</w:t>
          </w:r>
          <w:r>
            <w:fldChar w:fldCharType="end"/>
          </w:r>
          <w:r>
            <w:t xml:space="preserve"> / </w:t>
          </w:r>
          <w:r w:rsidR="001F6A36">
            <w:rPr>
              <w:noProof/>
            </w:rPr>
            <w:fldChar w:fldCharType="begin"/>
          </w:r>
          <w:r w:rsidR="001F6A36">
            <w:rPr>
              <w:noProof/>
            </w:rPr>
            <w:instrText xml:space="preserve"> NUMPAGES   \* MERGEFORMAT </w:instrText>
          </w:r>
          <w:r w:rsidR="001F6A36">
            <w:rPr>
              <w:noProof/>
            </w:rPr>
            <w:fldChar w:fldCharType="separate"/>
          </w:r>
          <w:r w:rsidR="00944157">
            <w:rPr>
              <w:noProof/>
            </w:rPr>
            <w:t>14</w:t>
          </w:r>
          <w:r w:rsidR="001F6A36">
            <w:rPr>
              <w:noProof/>
            </w:rPr>
            <w:fldChar w:fldCharType="end"/>
          </w:r>
        </w:p>
      </w:tc>
    </w:tr>
  </w:tbl>
  <w:p w14:paraId="5592EA60" w14:textId="77777777" w:rsidR="00776452" w:rsidRDefault="00776452" w:rsidP="00B26E8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93FCB" w14:textId="77777777" w:rsidR="00E068F7" w:rsidRDefault="00D42304">
    <w:pPr>
      <w:spacing w:before="60" w:after="60" w:line="276" w:lineRule="auto"/>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end"/>
    </w:r>
    <w:r>
      <w:rPr>
        <w:rFonts w:ascii="Calibri" w:eastAsia="Calibri" w:hAnsi="Calibri" w:cs="Calibri"/>
      </w:rPr>
      <w:t>-</w:t>
    </w:r>
  </w:p>
  <w:p w14:paraId="00C1134F" w14:textId="77777777" w:rsidR="00E068F7" w:rsidRDefault="001F6A36">
    <w:pPr>
      <w:spacing w:before="60" w:after="769" w:line="276" w:lineRule="auto"/>
      <w:rPr>
        <w:rFonts w:ascii="Calibri" w:eastAsia="Calibri" w:hAnsi="Calibri" w:cs="Calibri"/>
      </w:rPr>
    </w:pPr>
  </w:p>
  <w:p w14:paraId="0259003A" w14:textId="77777777" w:rsidR="00EC0FDD" w:rsidRDefault="00EC0FDD"/>
  <w:p w14:paraId="17220A4D" w14:textId="77777777" w:rsidR="00EC0FDD" w:rsidRDefault="00EC0FDD"/>
  <w:p w14:paraId="05DD56EB" w14:textId="77777777" w:rsidR="00EC0FDD" w:rsidRDefault="00EC0FDD"/>
  <w:p w14:paraId="346D201A" w14:textId="77777777" w:rsidR="00EC0FDD" w:rsidRDefault="00EC0F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C19BE" w14:textId="77777777" w:rsidR="001F6A36" w:rsidRDefault="001F6A36" w:rsidP="004010A7">
      <w:pPr>
        <w:spacing w:line="240" w:lineRule="auto"/>
      </w:pPr>
      <w:r>
        <w:separator/>
      </w:r>
    </w:p>
  </w:footnote>
  <w:footnote w:type="continuationSeparator" w:id="0">
    <w:p w14:paraId="13955F19" w14:textId="77777777" w:rsidR="001F6A36" w:rsidRDefault="001F6A36"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5AF0" w14:textId="77777777" w:rsidR="00776452" w:rsidRDefault="00776452" w:rsidP="000120A8">
    <w:pPr>
      <w:pStyle w:val="Zhlav"/>
      <w:ind w:left="-1134"/>
    </w:pPr>
    <w:r>
      <w:rPr>
        <w:noProof/>
        <w:lang w:eastAsia="cs-CZ"/>
      </w:rPr>
      <w:drawing>
        <wp:inline distT="0" distB="0" distL="0" distR="0" wp14:anchorId="3F88FC31" wp14:editId="053FB5C7">
          <wp:extent cx="1476375" cy="723900"/>
          <wp:effectExtent l="0" t="0" r="9525" b="0"/>
          <wp:docPr id="2" name="Obrázek 2"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776452" w14:paraId="2814CC7B" w14:textId="77777777" w:rsidTr="00060B77">
      <w:trPr>
        <w:trHeight w:val="1138"/>
      </w:trPr>
      <w:tc>
        <w:tcPr>
          <w:tcW w:w="2835" w:type="dxa"/>
        </w:tcPr>
        <w:p w14:paraId="1225C86E" w14:textId="77777777" w:rsidR="00776452" w:rsidRDefault="00776452">
          <w:pPr>
            <w:pStyle w:val="Zhlav"/>
          </w:pPr>
          <w:r>
            <w:rPr>
              <w:b/>
              <w:noProof/>
              <w:lang w:eastAsia="cs-CZ"/>
            </w:rPr>
            <mc:AlternateContent>
              <mc:Choice Requires="wps">
                <w:drawing>
                  <wp:anchor distT="0" distB="0" distL="114300" distR="114300" simplePos="0" relativeHeight="251663360" behindDoc="0" locked="0" layoutInCell="1" allowOverlap="1" wp14:anchorId="782D4A36" wp14:editId="7C84FF49">
                    <wp:simplePos x="0" y="0"/>
                    <wp:positionH relativeFrom="column">
                      <wp:posOffset>1492250</wp:posOffset>
                    </wp:positionH>
                    <wp:positionV relativeFrom="paragraph">
                      <wp:posOffset>310515</wp:posOffset>
                    </wp:positionV>
                    <wp:extent cx="4643120" cy="0"/>
                    <wp:effectExtent l="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noFill/>
                            <a:ln w="38100" cap="flat" cmpd="sng" algn="ctr">
                              <a:solidFill>
                                <a:srgbClr val="0065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2091CE" id="Přímá spojnice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24.45pt" to="483.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" strokecolor="#0063bd" strokeweight="3pt"/>
                </w:pict>
              </mc:Fallback>
            </mc:AlternateContent>
          </w:r>
          <w:r w:rsidRPr="008626C6">
            <w:rPr>
              <w:b/>
              <w:noProof/>
              <w:lang w:eastAsia="cs-CZ"/>
            </w:rPr>
            <mc:AlternateContent>
              <mc:Choice Requires="wps">
                <w:drawing>
                  <wp:anchor distT="45720" distB="45720" distL="114300" distR="114300" simplePos="0" relativeHeight="251662336" behindDoc="0" locked="0" layoutInCell="1" allowOverlap="1" wp14:anchorId="15429586" wp14:editId="366EEEDA">
                    <wp:simplePos x="0" y="0"/>
                    <wp:positionH relativeFrom="column">
                      <wp:posOffset>1414780</wp:posOffset>
                    </wp:positionH>
                    <wp:positionV relativeFrom="paragraph">
                      <wp:posOffset>-27940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2A0B3FB6" w14:textId="77777777" w:rsidR="00776452" w:rsidRPr="008626C6" w:rsidRDefault="00776452" w:rsidP="008626C6">
                                <w:pPr>
                                  <w:spacing w:after="0" w:line="240" w:lineRule="auto"/>
                                  <w:jc w:val="right"/>
                                  <w:rPr>
                                    <w:b/>
                                    <w:sz w:val="18"/>
                                  </w:rPr>
                                </w:pPr>
                                <w:r w:rsidRPr="008626C6">
                                  <w:rPr>
                                    <w:b/>
                                    <w:sz w:val="18"/>
                                  </w:rPr>
                                  <w:t xml:space="preserve">ČESKÉ VYSOKÉ UČENÍ TECHNICKÉ V PRAZE </w:t>
                                </w:r>
                              </w:p>
                              <w:p w14:paraId="0C97EF1B" w14:textId="77777777" w:rsidR="00776452" w:rsidRPr="008626C6" w:rsidRDefault="00776452" w:rsidP="008626C6">
                                <w:pPr>
                                  <w:spacing w:after="0" w:line="240" w:lineRule="auto"/>
                                  <w:jc w:val="right"/>
                                  <w:rPr>
                                    <w:b/>
                                    <w:sz w:val="18"/>
                                  </w:rPr>
                                </w:pPr>
                                <w:r w:rsidRPr="008626C6">
                                  <w:rPr>
                                    <w:b/>
                                    <w:sz w:val="18"/>
                                  </w:rPr>
                                  <w:t>UNIVERZITNÍ CENTRUM ENERGETICKY EFEKTIVNÍCH BUDOV</w:t>
                                </w:r>
                              </w:p>
                              <w:p w14:paraId="3BBC84F3" w14:textId="77777777" w:rsidR="00776452" w:rsidRDefault="00776452" w:rsidP="008626C6">
                                <w:pPr>
                                  <w:spacing w:after="0" w:line="240" w:lineRule="auto"/>
                                  <w:jc w:val="right"/>
                                  <w:rPr>
                                    <w:sz w:val="16"/>
                                  </w:rPr>
                                </w:pPr>
                              </w:p>
                              <w:p w14:paraId="4A452336" w14:textId="77777777" w:rsidR="00776452" w:rsidRDefault="00776452" w:rsidP="008626C6">
                                <w:pPr>
                                  <w:spacing w:after="0" w:line="240" w:lineRule="auto"/>
                                  <w:jc w:val="right"/>
                                  <w:rPr>
                                    <w:sz w:val="16"/>
                                  </w:rPr>
                                </w:pPr>
                                <w:r w:rsidRPr="008626C6">
                                  <w:rPr>
                                    <w:sz w:val="16"/>
                                  </w:rPr>
                                  <w:t>TŘINECKÁ 1024, 273 43 BUŠTĚHRAD</w:t>
                                </w:r>
                              </w:p>
                              <w:p w14:paraId="5964ACA7" w14:textId="77777777" w:rsidR="00776452" w:rsidRPr="008626C6" w:rsidRDefault="00776452"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29586" id="_x0000_t202" coordsize="21600,21600" o:spt="202" path="m,l,21600r21600,l21600,xe">
                    <v:stroke joinstyle="miter"/>
                    <v:path gradientshapeok="t" o:connecttype="rect"/>
                  </v:shapetype>
                  <v:shape id="Textové pole 2" o:spid="_x0000_s1026" type="#_x0000_t202" style="position:absolute;left:0;text-align:left;margin-left:111.4pt;margin-top:-2.2pt;width:378.7pt;height:5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" filled="f" stroked="f">
                    <v:textbox>
                      <w:txbxContent>
                        <w:p w14:paraId="2A0B3FB6" w14:textId="77777777" w:rsidR="00776452" w:rsidRPr="008626C6" w:rsidRDefault="00776452" w:rsidP="008626C6">
                          <w:pPr>
                            <w:spacing w:after="0" w:line="240" w:lineRule="auto"/>
                            <w:jc w:val="right"/>
                            <w:rPr>
                              <w:b/>
                              <w:sz w:val="18"/>
                            </w:rPr>
                          </w:pPr>
                          <w:r w:rsidRPr="008626C6">
                            <w:rPr>
                              <w:b/>
                              <w:sz w:val="18"/>
                            </w:rPr>
                            <w:t xml:space="preserve">ČESKÉ VYSOKÉ UČENÍ TECHNICKÉ V PRAZE </w:t>
                          </w:r>
                        </w:p>
                        <w:p w14:paraId="0C97EF1B" w14:textId="77777777" w:rsidR="00776452" w:rsidRPr="008626C6" w:rsidRDefault="00776452" w:rsidP="008626C6">
                          <w:pPr>
                            <w:spacing w:after="0" w:line="240" w:lineRule="auto"/>
                            <w:jc w:val="right"/>
                            <w:rPr>
                              <w:b/>
                              <w:sz w:val="18"/>
                            </w:rPr>
                          </w:pPr>
                          <w:r w:rsidRPr="008626C6">
                            <w:rPr>
                              <w:b/>
                              <w:sz w:val="18"/>
                            </w:rPr>
                            <w:t>UNIVERZITNÍ CENTRUM ENERGETICKY EFEKTIVNÍCH BUDOV</w:t>
                          </w:r>
                        </w:p>
                        <w:p w14:paraId="3BBC84F3" w14:textId="77777777" w:rsidR="00776452" w:rsidRDefault="00776452" w:rsidP="008626C6">
                          <w:pPr>
                            <w:spacing w:after="0" w:line="240" w:lineRule="auto"/>
                            <w:jc w:val="right"/>
                            <w:rPr>
                              <w:sz w:val="16"/>
                            </w:rPr>
                          </w:pPr>
                        </w:p>
                        <w:p w14:paraId="4A452336" w14:textId="77777777" w:rsidR="00776452" w:rsidRDefault="00776452" w:rsidP="008626C6">
                          <w:pPr>
                            <w:spacing w:after="0" w:line="240" w:lineRule="auto"/>
                            <w:jc w:val="right"/>
                            <w:rPr>
                              <w:sz w:val="16"/>
                            </w:rPr>
                          </w:pPr>
                          <w:r w:rsidRPr="008626C6">
                            <w:rPr>
                              <w:sz w:val="16"/>
                            </w:rPr>
                            <w:t>TŘINECKÁ 1024, 273 43 BUŠTĚHRAD</w:t>
                          </w:r>
                        </w:p>
                        <w:p w14:paraId="5964ACA7" w14:textId="77777777" w:rsidR="00776452" w:rsidRPr="008626C6" w:rsidRDefault="00776452" w:rsidP="008626C6">
                          <w:pPr>
                            <w:spacing w:after="0" w:line="240" w:lineRule="auto"/>
                            <w:jc w:val="right"/>
                            <w:rPr>
                              <w:sz w:val="16"/>
                            </w:rPr>
                          </w:pPr>
                          <w:r>
                            <w:rPr>
                              <w:sz w:val="16"/>
                            </w:rPr>
                            <w:t>WWW.UCEEB.CZ</w:t>
                          </w:r>
                        </w:p>
                      </w:txbxContent>
                    </v:textbox>
                  </v:shape>
                </w:pict>
              </mc:Fallback>
            </mc:AlternateContent>
          </w:r>
        </w:p>
      </w:tc>
      <w:tc>
        <w:tcPr>
          <w:tcW w:w="6804" w:type="dxa"/>
        </w:tcPr>
        <w:p w14:paraId="4E86EA2B" w14:textId="77777777" w:rsidR="00776452" w:rsidRPr="00060B77" w:rsidRDefault="00776452" w:rsidP="00060B77">
          <w:pPr>
            <w:pStyle w:val="VUT"/>
            <w:spacing w:line="276" w:lineRule="auto"/>
            <w:ind w:left="705"/>
            <w:jc w:val="left"/>
            <w:rPr>
              <w:sz w:val="18"/>
            </w:rPr>
          </w:pPr>
        </w:p>
        <w:p w14:paraId="28D25508" w14:textId="77777777" w:rsidR="00776452" w:rsidRPr="00060B77" w:rsidRDefault="00776452" w:rsidP="00060B77">
          <w:pPr>
            <w:pStyle w:val="VUT"/>
            <w:spacing w:line="276" w:lineRule="auto"/>
            <w:ind w:left="705"/>
            <w:jc w:val="left"/>
            <w:rPr>
              <w:b w:val="0"/>
            </w:rPr>
          </w:pPr>
        </w:p>
      </w:tc>
    </w:tr>
  </w:tbl>
  <w:p w14:paraId="40F5437B" w14:textId="77777777" w:rsidR="00776452" w:rsidRPr="004F2D73" w:rsidRDefault="00776452" w:rsidP="004F2D73">
    <w:pPr>
      <w:pStyle w:val="Zhlav"/>
      <w:spacing w:after="0"/>
      <w:rPr>
        <w:sz w:val="2"/>
      </w:rPr>
    </w:pPr>
    <w:r>
      <w:rPr>
        <w:noProof/>
        <w:lang w:eastAsia="cs-CZ"/>
      </w:rPr>
      <w:drawing>
        <wp:anchor distT="0" distB="0" distL="114300" distR="114300" simplePos="0" relativeHeight="251661312" behindDoc="0" locked="0" layoutInCell="1" allowOverlap="1" wp14:anchorId="58CDEB60" wp14:editId="6ECB94F8">
          <wp:simplePos x="0" y="0"/>
          <wp:positionH relativeFrom="column">
            <wp:posOffset>-742950</wp:posOffset>
          </wp:positionH>
          <wp:positionV relativeFrom="paragraph">
            <wp:posOffset>-755955</wp:posOffset>
          </wp:positionV>
          <wp:extent cx="1476375" cy="723900"/>
          <wp:effectExtent l="0" t="0" r="9525" b="0"/>
          <wp:wrapNone/>
          <wp:docPr id="3" name="Obrázek 3"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98A56" w14:textId="58818D9A" w:rsidR="00E068F7" w:rsidRDefault="007C77EF">
    <w:pPr>
      <w:spacing w:before="769" w:after="60" w:line="276" w:lineRule="auto"/>
      <w:rPr>
        <w:rFonts w:ascii="Calibri" w:eastAsia="Calibri" w:hAnsi="Calibri" w:cs="Calibri"/>
      </w:rPr>
    </w:pPr>
    <w:r>
      <w:rPr>
        <w:noProof/>
        <w:lang w:eastAsia="cs-CZ"/>
      </w:rPr>
      <w:drawing>
        <wp:anchor distT="0" distB="0" distL="114300" distR="114300" simplePos="0" relativeHeight="251659264" behindDoc="0" locked="0" layoutInCell="1" allowOverlap="1" wp14:anchorId="0B8A306F" wp14:editId="4F70D59C">
          <wp:simplePos x="0" y="0"/>
          <wp:positionH relativeFrom="column">
            <wp:posOffset>-794385</wp:posOffset>
          </wp:positionH>
          <wp:positionV relativeFrom="paragraph">
            <wp:posOffset>327025</wp:posOffset>
          </wp:positionV>
          <wp:extent cx="1476375" cy="723900"/>
          <wp:effectExtent l="0" t="0" r="9525" b="0"/>
          <wp:wrapNone/>
          <wp:docPr id="5" name="Obrázek 5"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2EB5C" w14:textId="77777777" w:rsidR="00EC0FDD" w:rsidRDefault="00EC0FDD"/>
  <w:p w14:paraId="2A19FB30" w14:textId="77777777" w:rsidR="00EC0FDD" w:rsidRDefault="00EC0FDD" w:rsidP="003C3AF5"/>
  <w:p w14:paraId="27F9F904" w14:textId="77777777" w:rsidR="00724750" w:rsidRDefault="0072475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52A13D"/>
    <w:multiLevelType w:val="hybridMultilevel"/>
    <w:tmpl w:val="01D0B4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E33C00"/>
    <w:multiLevelType w:val="hybridMultilevel"/>
    <w:tmpl w:val="6BFBEE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BC0E7F"/>
    <w:multiLevelType w:val="hybridMultilevel"/>
    <w:tmpl w:val="448B8A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8D22F7"/>
    <w:multiLevelType w:val="hybridMultilevel"/>
    <w:tmpl w:val="C7954D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016F8E"/>
    <w:multiLevelType w:val="multilevel"/>
    <w:tmpl w:val="E6B07342"/>
    <w:lvl w:ilvl="0">
      <w:start w:val="1"/>
      <w:numFmt w:val="decimal"/>
      <w:lvlText w:val="%1."/>
      <w:lvlJc w:val="left"/>
      <w:pPr>
        <w:ind w:left="5387" w:hanging="1133"/>
      </w:pPr>
      <w:rPr>
        <w:vertAlign w:val="baseline"/>
      </w:rPr>
    </w:lvl>
    <w:lvl w:ilvl="1">
      <w:start w:val="1"/>
      <w:numFmt w:val="decimal"/>
      <w:lvlText w:val="%1.%2."/>
      <w:lvlJc w:val="left"/>
      <w:pPr>
        <w:ind w:left="2552" w:hanging="1134"/>
      </w:pPr>
      <w:rPr>
        <w:b w:val="0"/>
        <w:vertAlign w:val="baseline"/>
      </w:rPr>
    </w:lvl>
    <w:lvl w:ilvl="2">
      <w:start w:val="1"/>
      <w:numFmt w:val="decimal"/>
      <w:lvlText w:val="%1.%2.%3."/>
      <w:lvlJc w:val="left"/>
      <w:pPr>
        <w:ind w:left="1134" w:hanging="1134"/>
      </w:pPr>
      <w:rPr>
        <w:vertAlign w:val="baseline"/>
      </w:rPr>
    </w:lvl>
    <w:lvl w:ilvl="3">
      <w:start w:val="1"/>
      <w:numFmt w:val="decimal"/>
      <w:lvlText w:val="%1.%2.%3.%4."/>
      <w:lvlJc w:val="left"/>
      <w:pPr>
        <w:ind w:left="2438" w:hanging="648"/>
      </w:pPr>
      <w:rPr>
        <w:vertAlign w:val="baseline"/>
      </w:rPr>
    </w:lvl>
    <w:lvl w:ilvl="4">
      <w:start w:val="1"/>
      <w:numFmt w:val="decimal"/>
      <w:lvlText w:val="%1.%2.%3.%4.%5."/>
      <w:lvlJc w:val="left"/>
      <w:pPr>
        <w:ind w:left="2942" w:hanging="792"/>
      </w:pPr>
      <w:rPr>
        <w:vertAlign w:val="baseline"/>
      </w:rPr>
    </w:lvl>
    <w:lvl w:ilvl="5">
      <w:start w:val="1"/>
      <w:numFmt w:val="decimal"/>
      <w:lvlText w:val="%1.%2.%3.%4.%5.%6."/>
      <w:lvlJc w:val="left"/>
      <w:pPr>
        <w:ind w:left="3446" w:hanging="935"/>
      </w:pPr>
      <w:rPr>
        <w:vertAlign w:val="baseline"/>
      </w:rPr>
    </w:lvl>
    <w:lvl w:ilvl="6">
      <w:start w:val="1"/>
      <w:numFmt w:val="decimal"/>
      <w:lvlText w:val="%1.%2.%3.%4.%5.%6.%7."/>
      <w:lvlJc w:val="left"/>
      <w:pPr>
        <w:ind w:left="3950" w:hanging="1080"/>
      </w:pPr>
      <w:rPr>
        <w:vertAlign w:val="baseline"/>
      </w:rPr>
    </w:lvl>
    <w:lvl w:ilvl="7">
      <w:start w:val="1"/>
      <w:numFmt w:val="decimal"/>
      <w:lvlText w:val="%1.%2.%3.%4.%5.%6.%7.%8."/>
      <w:lvlJc w:val="left"/>
      <w:pPr>
        <w:ind w:left="4454" w:hanging="1224"/>
      </w:pPr>
      <w:rPr>
        <w:vertAlign w:val="baseline"/>
      </w:rPr>
    </w:lvl>
    <w:lvl w:ilvl="8">
      <w:start w:val="1"/>
      <w:numFmt w:val="decimal"/>
      <w:lvlText w:val="%1.%2.%3.%4.%5.%6.%7.%8.%9."/>
      <w:lvlJc w:val="left"/>
      <w:pPr>
        <w:ind w:left="5030" w:hanging="1440"/>
      </w:pPr>
      <w:rPr>
        <w:vertAlign w:val="baseline"/>
      </w:rPr>
    </w:lvl>
  </w:abstractNum>
  <w:abstractNum w:abstractNumId="5" w15:restartNumberingAfterBreak="0">
    <w:nsid w:val="09263664"/>
    <w:multiLevelType w:val="hybridMultilevel"/>
    <w:tmpl w:val="98C669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7A30EE"/>
    <w:multiLevelType w:val="hybridMultilevel"/>
    <w:tmpl w:val="A83A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4790B"/>
    <w:multiLevelType w:val="hybridMultilevel"/>
    <w:tmpl w:val="8D78CF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BA6622"/>
    <w:multiLevelType w:val="hybridMultilevel"/>
    <w:tmpl w:val="FAE47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86BBF04"/>
    <w:multiLevelType w:val="hybridMultilevel"/>
    <w:tmpl w:val="B0BAF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C8B0956"/>
    <w:multiLevelType w:val="hybridMultilevel"/>
    <w:tmpl w:val="B0E6D4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B4361B"/>
    <w:multiLevelType w:val="hybridMultilevel"/>
    <w:tmpl w:val="AC106A1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E4477D1"/>
    <w:multiLevelType w:val="hybridMultilevel"/>
    <w:tmpl w:val="FAE47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4937906"/>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3963A1"/>
    <w:multiLevelType w:val="hybridMultilevel"/>
    <w:tmpl w:val="DBF612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4D5C0830"/>
    <w:multiLevelType w:val="hybridMultilevel"/>
    <w:tmpl w:val="CEFC4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1394AF"/>
    <w:multiLevelType w:val="hybridMultilevel"/>
    <w:tmpl w:val="A71EC5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8520C28"/>
    <w:multiLevelType w:val="hybridMultilevel"/>
    <w:tmpl w:val="EBEA11E4"/>
    <w:lvl w:ilvl="0" w:tplc="BE2AE328">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2716544"/>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56654F3"/>
    <w:multiLevelType w:val="hybridMultilevel"/>
    <w:tmpl w:val="D63AED46"/>
    <w:lvl w:ilvl="0" w:tplc="8A72A2B0">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6D33189D"/>
    <w:multiLevelType w:val="hybridMultilevel"/>
    <w:tmpl w:val="DBF6F702"/>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CD1652"/>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FC410F"/>
    <w:multiLevelType w:val="multilevel"/>
    <w:tmpl w:val="18000C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23"/>
  </w:num>
  <w:num w:numId="3">
    <w:abstractNumId w:val="20"/>
  </w:num>
  <w:num w:numId="4">
    <w:abstractNumId w:val="11"/>
  </w:num>
  <w:num w:numId="5">
    <w:abstractNumId w:val="1"/>
  </w:num>
  <w:num w:numId="6">
    <w:abstractNumId w:val="9"/>
  </w:num>
  <w:num w:numId="7">
    <w:abstractNumId w:val="3"/>
  </w:num>
  <w:num w:numId="8">
    <w:abstractNumId w:val="16"/>
  </w:num>
  <w:num w:numId="9">
    <w:abstractNumId w:val="2"/>
  </w:num>
  <w:num w:numId="10">
    <w:abstractNumId w:val="0"/>
  </w:num>
  <w:num w:numId="11">
    <w:abstractNumId w:val="6"/>
  </w:num>
  <w:num w:numId="12">
    <w:abstractNumId w:val="14"/>
  </w:num>
  <w:num w:numId="13">
    <w:abstractNumId w:val="21"/>
  </w:num>
  <w:num w:numId="14">
    <w:abstractNumId w:val="18"/>
  </w:num>
  <w:num w:numId="15">
    <w:abstractNumId w:val="15"/>
  </w:num>
  <w:num w:numId="16">
    <w:abstractNumId w:val="19"/>
  </w:num>
  <w:num w:numId="17">
    <w:abstractNumId w:val="5"/>
  </w:num>
  <w:num w:numId="18">
    <w:abstractNumId w:val="13"/>
  </w:num>
  <w:num w:numId="19">
    <w:abstractNumId w:val="17"/>
  </w:num>
  <w:num w:numId="20">
    <w:abstractNumId w:val="7"/>
  </w:num>
  <w:num w:numId="21">
    <w:abstractNumId w:val="22"/>
  </w:num>
  <w:num w:numId="22">
    <w:abstractNumId w:val="1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EB"/>
    <w:rsid w:val="00004BF8"/>
    <w:rsid w:val="00006D32"/>
    <w:rsid w:val="000120A8"/>
    <w:rsid w:val="000131B7"/>
    <w:rsid w:val="00027A7E"/>
    <w:rsid w:val="00027EBF"/>
    <w:rsid w:val="0004592B"/>
    <w:rsid w:val="0004782A"/>
    <w:rsid w:val="00047B29"/>
    <w:rsid w:val="000550D5"/>
    <w:rsid w:val="00060B77"/>
    <w:rsid w:val="00066B3C"/>
    <w:rsid w:val="0007051F"/>
    <w:rsid w:val="000762DD"/>
    <w:rsid w:val="0007689A"/>
    <w:rsid w:val="00087FA8"/>
    <w:rsid w:val="00093076"/>
    <w:rsid w:val="00093312"/>
    <w:rsid w:val="000A0AA7"/>
    <w:rsid w:val="000A3FA0"/>
    <w:rsid w:val="000A73F6"/>
    <w:rsid w:val="000B0C2E"/>
    <w:rsid w:val="000B4D58"/>
    <w:rsid w:val="000B7BC0"/>
    <w:rsid w:val="000C1820"/>
    <w:rsid w:val="000C5559"/>
    <w:rsid w:val="000E26C5"/>
    <w:rsid w:val="000E45B6"/>
    <w:rsid w:val="000F0390"/>
    <w:rsid w:val="00101204"/>
    <w:rsid w:val="00103A68"/>
    <w:rsid w:val="00103BC7"/>
    <w:rsid w:val="00111D90"/>
    <w:rsid w:val="001134EB"/>
    <w:rsid w:val="00113ECD"/>
    <w:rsid w:val="00114211"/>
    <w:rsid w:val="001216A4"/>
    <w:rsid w:val="00124F6A"/>
    <w:rsid w:val="00136F23"/>
    <w:rsid w:val="001407B8"/>
    <w:rsid w:val="00152FDC"/>
    <w:rsid w:val="00166AE1"/>
    <w:rsid w:val="001707BB"/>
    <w:rsid w:val="001A4FE6"/>
    <w:rsid w:val="001A60B5"/>
    <w:rsid w:val="001A65A3"/>
    <w:rsid w:val="001A6A1D"/>
    <w:rsid w:val="001C118D"/>
    <w:rsid w:val="001C274E"/>
    <w:rsid w:val="001C2EE2"/>
    <w:rsid w:val="001C577D"/>
    <w:rsid w:val="001D4182"/>
    <w:rsid w:val="001D6326"/>
    <w:rsid w:val="001E0BCF"/>
    <w:rsid w:val="001E2712"/>
    <w:rsid w:val="001F137E"/>
    <w:rsid w:val="001F2E75"/>
    <w:rsid w:val="001F6A36"/>
    <w:rsid w:val="00205EF4"/>
    <w:rsid w:val="00213898"/>
    <w:rsid w:val="00230E37"/>
    <w:rsid w:val="00231BDA"/>
    <w:rsid w:val="0023470A"/>
    <w:rsid w:val="00242A5C"/>
    <w:rsid w:val="002567D4"/>
    <w:rsid w:val="0026144A"/>
    <w:rsid w:val="00263408"/>
    <w:rsid w:val="002729D8"/>
    <w:rsid w:val="002815CA"/>
    <w:rsid w:val="0028469B"/>
    <w:rsid w:val="002A1117"/>
    <w:rsid w:val="002A5EB1"/>
    <w:rsid w:val="002C06B0"/>
    <w:rsid w:val="002C0FE4"/>
    <w:rsid w:val="002D4758"/>
    <w:rsid w:val="002D7212"/>
    <w:rsid w:val="002E070B"/>
    <w:rsid w:val="002E17C2"/>
    <w:rsid w:val="002F4C99"/>
    <w:rsid w:val="002F607F"/>
    <w:rsid w:val="0030276E"/>
    <w:rsid w:val="00305E29"/>
    <w:rsid w:val="00313D91"/>
    <w:rsid w:val="00333AE8"/>
    <w:rsid w:val="00333C14"/>
    <w:rsid w:val="0033654D"/>
    <w:rsid w:val="00336BEA"/>
    <w:rsid w:val="00347324"/>
    <w:rsid w:val="00350402"/>
    <w:rsid w:val="00357AD2"/>
    <w:rsid w:val="0037690F"/>
    <w:rsid w:val="003770BC"/>
    <w:rsid w:val="003815E8"/>
    <w:rsid w:val="00382D47"/>
    <w:rsid w:val="00383471"/>
    <w:rsid w:val="00383D41"/>
    <w:rsid w:val="00383FC4"/>
    <w:rsid w:val="003929A6"/>
    <w:rsid w:val="00393DEA"/>
    <w:rsid w:val="0039704E"/>
    <w:rsid w:val="003A31D5"/>
    <w:rsid w:val="003A56CF"/>
    <w:rsid w:val="003A785F"/>
    <w:rsid w:val="003B074A"/>
    <w:rsid w:val="003B2456"/>
    <w:rsid w:val="003C2B91"/>
    <w:rsid w:val="003C3AF5"/>
    <w:rsid w:val="003C6097"/>
    <w:rsid w:val="003C7672"/>
    <w:rsid w:val="003D27B5"/>
    <w:rsid w:val="003D2E57"/>
    <w:rsid w:val="0040069A"/>
    <w:rsid w:val="004010A7"/>
    <w:rsid w:val="0040179C"/>
    <w:rsid w:val="00402C08"/>
    <w:rsid w:val="00410A02"/>
    <w:rsid w:val="004213D2"/>
    <w:rsid w:val="00424E6F"/>
    <w:rsid w:val="00432321"/>
    <w:rsid w:val="00442706"/>
    <w:rsid w:val="00443FA6"/>
    <w:rsid w:val="00446514"/>
    <w:rsid w:val="0045070B"/>
    <w:rsid w:val="00451539"/>
    <w:rsid w:val="004516EF"/>
    <w:rsid w:val="00453C31"/>
    <w:rsid w:val="004541AE"/>
    <w:rsid w:val="0045438D"/>
    <w:rsid w:val="0047094F"/>
    <w:rsid w:val="004709F0"/>
    <w:rsid w:val="0047113A"/>
    <w:rsid w:val="004857DD"/>
    <w:rsid w:val="00485C5E"/>
    <w:rsid w:val="00497EF6"/>
    <w:rsid w:val="004A00AD"/>
    <w:rsid w:val="004A2BDC"/>
    <w:rsid w:val="004A3315"/>
    <w:rsid w:val="004A5B59"/>
    <w:rsid w:val="004B1E3B"/>
    <w:rsid w:val="004D026D"/>
    <w:rsid w:val="004D0F0A"/>
    <w:rsid w:val="004E1C68"/>
    <w:rsid w:val="004E40C2"/>
    <w:rsid w:val="004E4329"/>
    <w:rsid w:val="004E556B"/>
    <w:rsid w:val="004F2D73"/>
    <w:rsid w:val="004F5BF9"/>
    <w:rsid w:val="004F7038"/>
    <w:rsid w:val="004F787D"/>
    <w:rsid w:val="00500CEA"/>
    <w:rsid w:val="00503544"/>
    <w:rsid w:val="00505599"/>
    <w:rsid w:val="005068EB"/>
    <w:rsid w:val="00507DA8"/>
    <w:rsid w:val="00514406"/>
    <w:rsid w:val="00516578"/>
    <w:rsid w:val="0051718F"/>
    <w:rsid w:val="00517F88"/>
    <w:rsid w:val="005224B1"/>
    <w:rsid w:val="005236F3"/>
    <w:rsid w:val="00542302"/>
    <w:rsid w:val="00544504"/>
    <w:rsid w:val="005450E4"/>
    <w:rsid w:val="00545B3A"/>
    <w:rsid w:val="0055423B"/>
    <w:rsid w:val="0055793C"/>
    <w:rsid w:val="00562109"/>
    <w:rsid w:val="00563241"/>
    <w:rsid w:val="00564C9D"/>
    <w:rsid w:val="005652AB"/>
    <w:rsid w:val="00580D61"/>
    <w:rsid w:val="0058556C"/>
    <w:rsid w:val="005864E5"/>
    <w:rsid w:val="0059251B"/>
    <w:rsid w:val="005928A5"/>
    <w:rsid w:val="00592C5E"/>
    <w:rsid w:val="005A17EC"/>
    <w:rsid w:val="005A6706"/>
    <w:rsid w:val="005A744D"/>
    <w:rsid w:val="005B15F2"/>
    <w:rsid w:val="005B189E"/>
    <w:rsid w:val="005C1315"/>
    <w:rsid w:val="005C2392"/>
    <w:rsid w:val="005C259D"/>
    <w:rsid w:val="005C483E"/>
    <w:rsid w:val="005C4B6C"/>
    <w:rsid w:val="005C5FA4"/>
    <w:rsid w:val="005C78D9"/>
    <w:rsid w:val="005D3D30"/>
    <w:rsid w:val="005D57BB"/>
    <w:rsid w:val="005E3FDB"/>
    <w:rsid w:val="00607A9F"/>
    <w:rsid w:val="00611078"/>
    <w:rsid w:val="0062183E"/>
    <w:rsid w:val="00627B47"/>
    <w:rsid w:val="00630784"/>
    <w:rsid w:val="006322CE"/>
    <w:rsid w:val="0063586E"/>
    <w:rsid w:val="0064534F"/>
    <w:rsid w:val="00645D81"/>
    <w:rsid w:val="00646239"/>
    <w:rsid w:val="006467C2"/>
    <w:rsid w:val="006579F5"/>
    <w:rsid w:val="00667C0C"/>
    <w:rsid w:val="00670B90"/>
    <w:rsid w:val="0067349D"/>
    <w:rsid w:val="006742E1"/>
    <w:rsid w:val="00674FF1"/>
    <w:rsid w:val="00677466"/>
    <w:rsid w:val="00677CBF"/>
    <w:rsid w:val="00686C3E"/>
    <w:rsid w:val="00687444"/>
    <w:rsid w:val="006957E6"/>
    <w:rsid w:val="00697356"/>
    <w:rsid w:val="006A49F4"/>
    <w:rsid w:val="006C2022"/>
    <w:rsid w:val="006C4FF1"/>
    <w:rsid w:val="006D7337"/>
    <w:rsid w:val="006E083E"/>
    <w:rsid w:val="006E30A4"/>
    <w:rsid w:val="006E4BDB"/>
    <w:rsid w:val="006E6177"/>
    <w:rsid w:val="006F407A"/>
    <w:rsid w:val="0071159F"/>
    <w:rsid w:val="007146F4"/>
    <w:rsid w:val="0072329C"/>
    <w:rsid w:val="00723EAD"/>
    <w:rsid w:val="00724750"/>
    <w:rsid w:val="00733375"/>
    <w:rsid w:val="0073489D"/>
    <w:rsid w:val="00734DCA"/>
    <w:rsid w:val="00750371"/>
    <w:rsid w:val="00751008"/>
    <w:rsid w:val="007515FC"/>
    <w:rsid w:val="007531D7"/>
    <w:rsid w:val="00757C55"/>
    <w:rsid w:val="00766E50"/>
    <w:rsid w:val="00770BE2"/>
    <w:rsid w:val="0077159B"/>
    <w:rsid w:val="00773F09"/>
    <w:rsid w:val="007755BD"/>
    <w:rsid w:val="00776452"/>
    <w:rsid w:val="00780434"/>
    <w:rsid w:val="007856C6"/>
    <w:rsid w:val="00787207"/>
    <w:rsid w:val="00792E9E"/>
    <w:rsid w:val="00795453"/>
    <w:rsid w:val="007A3ED0"/>
    <w:rsid w:val="007B06FC"/>
    <w:rsid w:val="007B37E6"/>
    <w:rsid w:val="007C3E29"/>
    <w:rsid w:val="007C4A0E"/>
    <w:rsid w:val="007C77EF"/>
    <w:rsid w:val="007D60C7"/>
    <w:rsid w:val="007E157E"/>
    <w:rsid w:val="007E1D8E"/>
    <w:rsid w:val="008029E4"/>
    <w:rsid w:val="0080339B"/>
    <w:rsid w:val="008049C9"/>
    <w:rsid w:val="00807E2D"/>
    <w:rsid w:val="008149E2"/>
    <w:rsid w:val="0081579B"/>
    <w:rsid w:val="00823FF3"/>
    <w:rsid w:val="008276F4"/>
    <w:rsid w:val="00831602"/>
    <w:rsid w:val="0083267A"/>
    <w:rsid w:val="00833ABF"/>
    <w:rsid w:val="008368F1"/>
    <w:rsid w:val="008429F5"/>
    <w:rsid w:val="00842F1B"/>
    <w:rsid w:val="008445A1"/>
    <w:rsid w:val="008505AB"/>
    <w:rsid w:val="00854DFA"/>
    <w:rsid w:val="0086027A"/>
    <w:rsid w:val="00861E7F"/>
    <w:rsid w:val="008626C6"/>
    <w:rsid w:val="00866D6B"/>
    <w:rsid w:val="00870FE3"/>
    <w:rsid w:val="0087399B"/>
    <w:rsid w:val="00876031"/>
    <w:rsid w:val="00876A5A"/>
    <w:rsid w:val="0088186B"/>
    <w:rsid w:val="00890611"/>
    <w:rsid w:val="008A62D2"/>
    <w:rsid w:val="008A75A8"/>
    <w:rsid w:val="008B17F1"/>
    <w:rsid w:val="008B2B9A"/>
    <w:rsid w:val="008C2F7C"/>
    <w:rsid w:val="008C7677"/>
    <w:rsid w:val="008D4E53"/>
    <w:rsid w:val="008F21B0"/>
    <w:rsid w:val="008F52FC"/>
    <w:rsid w:val="00901C5E"/>
    <w:rsid w:val="0091079A"/>
    <w:rsid w:val="009129F4"/>
    <w:rsid w:val="0092612C"/>
    <w:rsid w:val="0092707D"/>
    <w:rsid w:val="00934A07"/>
    <w:rsid w:val="00940F67"/>
    <w:rsid w:val="00944157"/>
    <w:rsid w:val="00954C11"/>
    <w:rsid w:val="00954EDD"/>
    <w:rsid w:val="009621A9"/>
    <w:rsid w:val="009650A0"/>
    <w:rsid w:val="00973DB2"/>
    <w:rsid w:val="00980766"/>
    <w:rsid w:val="009940AA"/>
    <w:rsid w:val="009B28DF"/>
    <w:rsid w:val="009B7A67"/>
    <w:rsid w:val="009B7C14"/>
    <w:rsid w:val="009C5AA8"/>
    <w:rsid w:val="009C6376"/>
    <w:rsid w:val="009D0F2A"/>
    <w:rsid w:val="009E13DA"/>
    <w:rsid w:val="009E2959"/>
    <w:rsid w:val="009E4AA8"/>
    <w:rsid w:val="009E53E4"/>
    <w:rsid w:val="009F6F51"/>
    <w:rsid w:val="00A06433"/>
    <w:rsid w:val="00A073D4"/>
    <w:rsid w:val="00A07944"/>
    <w:rsid w:val="00A132F9"/>
    <w:rsid w:val="00A15B1A"/>
    <w:rsid w:val="00A20503"/>
    <w:rsid w:val="00A23F85"/>
    <w:rsid w:val="00A25114"/>
    <w:rsid w:val="00A25BBB"/>
    <w:rsid w:val="00A26235"/>
    <w:rsid w:val="00A2781A"/>
    <w:rsid w:val="00A40C58"/>
    <w:rsid w:val="00A40E70"/>
    <w:rsid w:val="00A559FD"/>
    <w:rsid w:val="00A64EB3"/>
    <w:rsid w:val="00A764EC"/>
    <w:rsid w:val="00A77C91"/>
    <w:rsid w:val="00A82D90"/>
    <w:rsid w:val="00A84D22"/>
    <w:rsid w:val="00A91602"/>
    <w:rsid w:val="00A9174A"/>
    <w:rsid w:val="00AA321E"/>
    <w:rsid w:val="00AA49B1"/>
    <w:rsid w:val="00AC022A"/>
    <w:rsid w:val="00AC7544"/>
    <w:rsid w:val="00AD1862"/>
    <w:rsid w:val="00AD4D50"/>
    <w:rsid w:val="00AE0509"/>
    <w:rsid w:val="00AE3129"/>
    <w:rsid w:val="00AE314E"/>
    <w:rsid w:val="00AE6164"/>
    <w:rsid w:val="00AF50E6"/>
    <w:rsid w:val="00B01461"/>
    <w:rsid w:val="00B073E7"/>
    <w:rsid w:val="00B26E8E"/>
    <w:rsid w:val="00B327ED"/>
    <w:rsid w:val="00B443AC"/>
    <w:rsid w:val="00B466C4"/>
    <w:rsid w:val="00B51A82"/>
    <w:rsid w:val="00B54DE0"/>
    <w:rsid w:val="00B63060"/>
    <w:rsid w:val="00B64223"/>
    <w:rsid w:val="00B727AD"/>
    <w:rsid w:val="00B7290A"/>
    <w:rsid w:val="00B73C81"/>
    <w:rsid w:val="00B76D6B"/>
    <w:rsid w:val="00B80318"/>
    <w:rsid w:val="00B85697"/>
    <w:rsid w:val="00BA29CB"/>
    <w:rsid w:val="00BA4687"/>
    <w:rsid w:val="00BA7424"/>
    <w:rsid w:val="00BB0493"/>
    <w:rsid w:val="00BB43A7"/>
    <w:rsid w:val="00BC6F1E"/>
    <w:rsid w:val="00BC7C0D"/>
    <w:rsid w:val="00BC7C62"/>
    <w:rsid w:val="00BD0426"/>
    <w:rsid w:val="00BD0B62"/>
    <w:rsid w:val="00BD16EE"/>
    <w:rsid w:val="00BE0361"/>
    <w:rsid w:val="00BE13C2"/>
    <w:rsid w:val="00BE3C0E"/>
    <w:rsid w:val="00BF430F"/>
    <w:rsid w:val="00BF6F63"/>
    <w:rsid w:val="00C00A17"/>
    <w:rsid w:val="00C20BE4"/>
    <w:rsid w:val="00C22ADE"/>
    <w:rsid w:val="00C2408B"/>
    <w:rsid w:val="00C37F75"/>
    <w:rsid w:val="00C40B3C"/>
    <w:rsid w:val="00C42999"/>
    <w:rsid w:val="00C4301F"/>
    <w:rsid w:val="00C51757"/>
    <w:rsid w:val="00C57635"/>
    <w:rsid w:val="00C621E2"/>
    <w:rsid w:val="00C62F86"/>
    <w:rsid w:val="00C652D5"/>
    <w:rsid w:val="00C7043B"/>
    <w:rsid w:val="00C7182E"/>
    <w:rsid w:val="00C730D8"/>
    <w:rsid w:val="00C81B36"/>
    <w:rsid w:val="00C84DC1"/>
    <w:rsid w:val="00C86641"/>
    <w:rsid w:val="00C933B3"/>
    <w:rsid w:val="00CA0E3F"/>
    <w:rsid w:val="00CA29F8"/>
    <w:rsid w:val="00CA2C25"/>
    <w:rsid w:val="00CA6E93"/>
    <w:rsid w:val="00CB081A"/>
    <w:rsid w:val="00CB6AF1"/>
    <w:rsid w:val="00CD27EC"/>
    <w:rsid w:val="00CD2EA7"/>
    <w:rsid w:val="00CF0F29"/>
    <w:rsid w:val="00CF5083"/>
    <w:rsid w:val="00D027E0"/>
    <w:rsid w:val="00D05FF6"/>
    <w:rsid w:val="00D117E6"/>
    <w:rsid w:val="00D118A2"/>
    <w:rsid w:val="00D12333"/>
    <w:rsid w:val="00D12D3C"/>
    <w:rsid w:val="00D133EE"/>
    <w:rsid w:val="00D1478D"/>
    <w:rsid w:val="00D16E0C"/>
    <w:rsid w:val="00D20B4A"/>
    <w:rsid w:val="00D2457D"/>
    <w:rsid w:val="00D2764A"/>
    <w:rsid w:val="00D30B00"/>
    <w:rsid w:val="00D34E5C"/>
    <w:rsid w:val="00D42304"/>
    <w:rsid w:val="00D4745E"/>
    <w:rsid w:val="00D54EBA"/>
    <w:rsid w:val="00D551C2"/>
    <w:rsid w:val="00D57956"/>
    <w:rsid w:val="00D60D89"/>
    <w:rsid w:val="00D76A91"/>
    <w:rsid w:val="00D85020"/>
    <w:rsid w:val="00D87ACC"/>
    <w:rsid w:val="00D90394"/>
    <w:rsid w:val="00D90458"/>
    <w:rsid w:val="00D976AE"/>
    <w:rsid w:val="00DA7072"/>
    <w:rsid w:val="00DB3C7F"/>
    <w:rsid w:val="00DB417A"/>
    <w:rsid w:val="00DC24FF"/>
    <w:rsid w:val="00DD4890"/>
    <w:rsid w:val="00DF3E80"/>
    <w:rsid w:val="00DF420F"/>
    <w:rsid w:val="00DF491C"/>
    <w:rsid w:val="00E01898"/>
    <w:rsid w:val="00E06857"/>
    <w:rsid w:val="00E06C0D"/>
    <w:rsid w:val="00E102F0"/>
    <w:rsid w:val="00E13727"/>
    <w:rsid w:val="00E217C8"/>
    <w:rsid w:val="00E2668D"/>
    <w:rsid w:val="00E27592"/>
    <w:rsid w:val="00E30229"/>
    <w:rsid w:val="00E36BE6"/>
    <w:rsid w:val="00E47E48"/>
    <w:rsid w:val="00E557B6"/>
    <w:rsid w:val="00E56F67"/>
    <w:rsid w:val="00E60DD4"/>
    <w:rsid w:val="00E65D41"/>
    <w:rsid w:val="00E81487"/>
    <w:rsid w:val="00E81D68"/>
    <w:rsid w:val="00E93946"/>
    <w:rsid w:val="00E94AF1"/>
    <w:rsid w:val="00EA3140"/>
    <w:rsid w:val="00EA5558"/>
    <w:rsid w:val="00EB1ED3"/>
    <w:rsid w:val="00EC0FDD"/>
    <w:rsid w:val="00EC585E"/>
    <w:rsid w:val="00ED42A1"/>
    <w:rsid w:val="00ED57BC"/>
    <w:rsid w:val="00EE061A"/>
    <w:rsid w:val="00EE11D4"/>
    <w:rsid w:val="00EE2134"/>
    <w:rsid w:val="00EE5214"/>
    <w:rsid w:val="00EE5E1F"/>
    <w:rsid w:val="00EF1161"/>
    <w:rsid w:val="00EF5E82"/>
    <w:rsid w:val="00F03350"/>
    <w:rsid w:val="00F16777"/>
    <w:rsid w:val="00F23646"/>
    <w:rsid w:val="00F23A3A"/>
    <w:rsid w:val="00F25B6A"/>
    <w:rsid w:val="00F30D21"/>
    <w:rsid w:val="00F367CB"/>
    <w:rsid w:val="00F40C77"/>
    <w:rsid w:val="00F41BBC"/>
    <w:rsid w:val="00F4358E"/>
    <w:rsid w:val="00F54F22"/>
    <w:rsid w:val="00F55AA0"/>
    <w:rsid w:val="00F604FA"/>
    <w:rsid w:val="00F6112B"/>
    <w:rsid w:val="00F61C43"/>
    <w:rsid w:val="00F64DBF"/>
    <w:rsid w:val="00F7579C"/>
    <w:rsid w:val="00F8015B"/>
    <w:rsid w:val="00F82FED"/>
    <w:rsid w:val="00F836BA"/>
    <w:rsid w:val="00F85F0A"/>
    <w:rsid w:val="00FA2F8D"/>
    <w:rsid w:val="00FB0BEE"/>
    <w:rsid w:val="00FB16DE"/>
    <w:rsid w:val="00FB2DF2"/>
    <w:rsid w:val="00FB3A05"/>
    <w:rsid w:val="00FB6FB2"/>
    <w:rsid w:val="00FC3A34"/>
    <w:rsid w:val="00FC3DA6"/>
    <w:rsid w:val="00FC5BA7"/>
    <w:rsid w:val="00FC771A"/>
    <w:rsid w:val="00FC7FF9"/>
    <w:rsid w:val="00FD19A3"/>
    <w:rsid w:val="00FD3D2E"/>
    <w:rsid w:val="00FE3598"/>
    <w:rsid w:val="00FE5834"/>
    <w:rsid w:val="00FE6FA3"/>
    <w:rsid w:val="00FF0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F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137E"/>
    <w:pPr>
      <w:spacing w:after="120" w:line="300" w:lineRule="atLeast"/>
      <w:jc w:val="both"/>
    </w:pPr>
  </w:style>
  <w:style w:type="paragraph" w:styleId="Nadpis1">
    <w:name w:val="heading 1"/>
    <w:basedOn w:val="Normln"/>
    <w:next w:val="Normln"/>
    <w:link w:val="Nadpis1Char"/>
    <w:uiPriority w:val="9"/>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iPriority w:val="9"/>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1"/>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styleId="Odstavecseseznamem">
    <w:name w:val="List Paragraph"/>
    <w:basedOn w:val="Normln"/>
    <w:uiPriority w:val="34"/>
    <w:qFormat/>
    <w:rsid w:val="00866D6B"/>
    <w:pPr>
      <w:pBdr>
        <w:top w:val="nil"/>
        <w:left w:val="nil"/>
        <w:bottom w:val="nil"/>
        <w:right w:val="nil"/>
        <w:between w:val="nil"/>
      </w:pBdr>
      <w:spacing w:after="0" w:line="240" w:lineRule="auto"/>
      <w:ind w:left="720"/>
      <w:contextualSpacing/>
      <w:jc w:val="left"/>
    </w:pPr>
    <w:rPr>
      <w:rFonts w:ascii="Times New Roman" w:eastAsia="Times New Roman" w:hAnsi="Times New Roman" w:cs="Times New Roman"/>
      <w:color w:val="000000"/>
      <w:sz w:val="20"/>
      <w:szCs w:val="20"/>
      <w:lang w:eastAsia="cs-CZ"/>
    </w:rPr>
  </w:style>
  <w:style w:type="character" w:customStyle="1" w:styleId="ZkladntextChar">
    <w:name w:val="Základní text Char"/>
    <w:link w:val="Zkladntext"/>
    <w:uiPriority w:val="99"/>
    <w:qFormat/>
    <w:rsid w:val="00866D6B"/>
    <w:rPr>
      <w:rFonts w:ascii="Calibri" w:hAnsi="Calibri"/>
      <w:szCs w:val="24"/>
    </w:rPr>
  </w:style>
  <w:style w:type="paragraph" w:styleId="Zkladntext">
    <w:name w:val="Body Text"/>
    <w:basedOn w:val="Normln"/>
    <w:link w:val="ZkladntextChar"/>
    <w:uiPriority w:val="99"/>
    <w:unhideWhenUsed/>
    <w:rsid w:val="00866D6B"/>
    <w:pPr>
      <w:spacing w:before="60" w:line="276" w:lineRule="auto"/>
    </w:pPr>
    <w:rPr>
      <w:rFonts w:ascii="Calibri" w:hAnsi="Calibri"/>
      <w:szCs w:val="24"/>
    </w:rPr>
  </w:style>
  <w:style w:type="character" w:customStyle="1" w:styleId="ZkladntextChar1">
    <w:name w:val="Základní text Char1"/>
    <w:basedOn w:val="Standardnpsmoodstavce"/>
    <w:uiPriority w:val="99"/>
    <w:semiHidden/>
    <w:rsid w:val="00866D6B"/>
  </w:style>
  <w:style w:type="paragraph" w:customStyle="1" w:styleId="Default">
    <w:name w:val="Default"/>
    <w:rsid w:val="00E27592"/>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45070B"/>
    <w:rPr>
      <w:sz w:val="16"/>
      <w:szCs w:val="16"/>
    </w:rPr>
  </w:style>
  <w:style w:type="paragraph" w:styleId="Textkomente">
    <w:name w:val="annotation text"/>
    <w:basedOn w:val="Normln"/>
    <w:link w:val="TextkomenteChar"/>
    <w:uiPriority w:val="99"/>
    <w:semiHidden/>
    <w:unhideWhenUsed/>
    <w:rsid w:val="0045070B"/>
    <w:pPr>
      <w:spacing w:line="240" w:lineRule="auto"/>
    </w:pPr>
    <w:rPr>
      <w:sz w:val="20"/>
      <w:szCs w:val="20"/>
    </w:rPr>
  </w:style>
  <w:style w:type="character" w:customStyle="1" w:styleId="TextkomenteChar">
    <w:name w:val="Text komentáře Char"/>
    <w:basedOn w:val="Standardnpsmoodstavce"/>
    <w:link w:val="Textkomente"/>
    <w:uiPriority w:val="99"/>
    <w:semiHidden/>
    <w:rsid w:val="0045070B"/>
    <w:rPr>
      <w:sz w:val="20"/>
      <w:szCs w:val="20"/>
    </w:rPr>
  </w:style>
  <w:style w:type="paragraph" w:styleId="Pedmtkomente">
    <w:name w:val="annotation subject"/>
    <w:basedOn w:val="Textkomente"/>
    <w:next w:val="Textkomente"/>
    <w:link w:val="PedmtkomenteChar"/>
    <w:uiPriority w:val="99"/>
    <w:semiHidden/>
    <w:unhideWhenUsed/>
    <w:rsid w:val="0045070B"/>
    <w:rPr>
      <w:b/>
      <w:bCs/>
    </w:rPr>
  </w:style>
  <w:style w:type="character" w:customStyle="1" w:styleId="PedmtkomenteChar">
    <w:name w:val="Předmět komentáře Char"/>
    <w:basedOn w:val="TextkomenteChar"/>
    <w:link w:val="Pedmtkomente"/>
    <w:uiPriority w:val="99"/>
    <w:semiHidden/>
    <w:rsid w:val="0045070B"/>
    <w:rPr>
      <w:b/>
      <w:bCs/>
      <w:sz w:val="20"/>
      <w:szCs w:val="20"/>
    </w:rPr>
  </w:style>
  <w:style w:type="paragraph" w:styleId="Revize">
    <w:name w:val="Revision"/>
    <w:hidden/>
    <w:uiPriority w:val="99"/>
    <w:semiHidden/>
    <w:rsid w:val="0045070B"/>
    <w:pPr>
      <w:spacing w:after="0" w:line="240" w:lineRule="auto"/>
    </w:pPr>
  </w:style>
  <w:style w:type="table" w:customStyle="1" w:styleId="Mkatabulky1">
    <w:name w:val="Mřížka tabulky1"/>
    <w:basedOn w:val="Normlntabulka"/>
    <w:next w:val="Mkatabulky"/>
    <w:uiPriority w:val="39"/>
    <w:rsid w:val="0080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97538">
      <w:bodyDiv w:val="1"/>
      <w:marLeft w:val="0"/>
      <w:marRight w:val="0"/>
      <w:marTop w:val="0"/>
      <w:marBottom w:val="0"/>
      <w:divBdr>
        <w:top w:val="none" w:sz="0" w:space="0" w:color="auto"/>
        <w:left w:val="none" w:sz="0" w:space="0" w:color="auto"/>
        <w:bottom w:val="none" w:sz="0" w:space="0" w:color="auto"/>
        <w:right w:val="none" w:sz="0" w:space="0" w:color="auto"/>
      </w:divBdr>
    </w:div>
    <w:div w:id="372073630">
      <w:bodyDiv w:val="1"/>
      <w:marLeft w:val="0"/>
      <w:marRight w:val="0"/>
      <w:marTop w:val="0"/>
      <w:marBottom w:val="0"/>
      <w:divBdr>
        <w:top w:val="none" w:sz="0" w:space="0" w:color="auto"/>
        <w:left w:val="none" w:sz="0" w:space="0" w:color="auto"/>
        <w:bottom w:val="none" w:sz="0" w:space="0" w:color="auto"/>
        <w:right w:val="none" w:sz="0" w:space="0" w:color="auto"/>
      </w:divBdr>
    </w:div>
    <w:div w:id="419179367">
      <w:bodyDiv w:val="1"/>
      <w:marLeft w:val="0"/>
      <w:marRight w:val="0"/>
      <w:marTop w:val="0"/>
      <w:marBottom w:val="0"/>
      <w:divBdr>
        <w:top w:val="none" w:sz="0" w:space="0" w:color="auto"/>
        <w:left w:val="none" w:sz="0" w:space="0" w:color="auto"/>
        <w:bottom w:val="none" w:sz="0" w:space="0" w:color="auto"/>
        <w:right w:val="none" w:sz="0" w:space="0" w:color="auto"/>
      </w:divBdr>
    </w:div>
    <w:div w:id="1292051544">
      <w:bodyDiv w:val="1"/>
      <w:marLeft w:val="0"/>
      <w:marRight w:val="0"/>
      <w:marTop w:val="0"/>
      <w:marBottom w:val="0"/>
      <w:divBdr>
        <w:top w:val="none" w:sz="0" w:space="0" w:color="auto"/>
        <w:left w:val="none" w:sz="0" w:space="0" w:color="auto"/>
        <w:bottom w:val="none" w:sz="0" w:space="0" w:color="auto"/>
        <w:right w:val="none" w:sz="0" w:space="0" w:color="auto"/>
      </w:divBdr>
    </w:div>
    <w:div w:id="1947034990">
      <w:bodyDiv w:val="1"/>
      <w:marLeft w:val="0"/>
      <w:marRight w:val="0"/>
      <w:marTop w:val="0"/>
      <w:marBottom w:val="0"/>
      <w:divBdr>
        <w:top w:val="none" w:sz="0" w:space="0" w:color="auto"/>
        <w:left w:val="none" w:sz="0" w:space="0" w:color="auto"/>
        <w:bottom w:val="none" w:sz="0" w:space="0" w:color="auto"/>
        <w:right w:val="none" w:sz="0" w:space="0" w:color="auto"/>
      </w:divBdr>
    </w:div>
    <w:div w:id="2029520609">
      <w:bodyDiv w:val="1"/>
      <w:marLeft w:val="0"/>
      <w:marRight w:val="0"/>
      <w:marTop w:val="0"/>
      <w:marBottom w:val="0"/>
      <w:divBdr>
        <w:top w:val="none" w:sz="0" w:space="0" w:color="auto"/>
        <w:left w:val="none" w:sz="0" w:space="0" w:color="auto"/>
        <w:bottom w:val="none" w:sz="0" w:space="0" w:color="auto"/>
        <w:right w:val="none" w:sz="0" w:space="0" w:color="auto"/>
      </w:divBdr>
    </w:div>
    <w:div w:id="208629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sdv.upv.cz/doc/FullFiles/UtilityModels/FullDocuments/FDUM0034/uv034161.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sdv.upv.cz/doc/FullFiles/UtilityModels/FullDocuments/FDUM0034/uv03416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C955-2185-49E1-852A-A02BC77A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UCEEB_obecna_sablona_v2</Template>
  <TotalTime>0</TotalTime>
  <Pages>14</Pages>
  <Words>4598</Words>
  <Characters>27131</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2021-01-21T15:37:00Z</dcterms:created>
  <dcterms:modified xsi:type="dcterms:W3CDTF">2021-02-01T14:53:00Z</dcterms:modified>
</cp:coreProperties>
</file>