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titul1"/>
        <w:spacing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DODATEK č. 3 KE SMLOUVĚ O DÍLO č. SG-20/104</w:t>
      </w:r>
    </w:p>
    <w:p>
      <w:pPr>
        <w:pStyle w:val="Tlotextu"/>
        <w:jc w:val="center"/>
        <w:rPr>
          <w:rFonts w:ascii="Tahoma" w:hAnsi="Tahoma" w:cs="Tahoma"/>
          <w:sz w:val="20"/>
        </w:rPr>
      </w:pPr>
      <w:r>
        <w:rPr>
          <w:b/>
        </w:rPr>
        <w:br/>
      </w:r>
      <w:r>
        <w:rPr>
          <w:rFonts w:cs="Tahoma" w:ascii="Tahoma" w:hAnsi="Tahoma"/>
          <w:sz w:val="20"/>
        </w:rPr>
        <w:t xml:space="preserve">uzavřené podle zákona č. 89/2012 Sb., občanský zákoník, ve znění pozdějších předpisů </w:t>
      </w:r>
    </w:p>
    <w:p>
      <w:pPr>
        <w:pStyle w:val="Tlotextu"/>
        <w:jc w:val="center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(dále jen „OZ“)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  <w:t>Smluvní strany</w:t>
      </w:r>
    </w:p>
    <w:p>
      <w:pPr>
        <w:pStyle w:val="Nzev"/>
        <w:jc w:val="left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Česká filharmonie/ Galerie Rudolfinum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se sídlem: </w:t>
        <w:tab/>
        <w:tab/>
      </w:r>
      <w:r>
        <w:rPr>
          <w:rFonts w:cs="Tahoma" w:ascii="Tahoma" w:hAnsi="Tahoma"/>
          <w:sz w:val="20"/>
        </w:rPr>
        <w:t>Alšovo nábřeží 12, 110 00 Praha 1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IČO:</w:t>
        <w:tab/>
        <w:tab/>
        <w:tab/>
        <w:t>00023264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DIČ:</w:t>
        <w:tab/>
        <w:tab/>
        <w:tab/>
        <w:t>CZ00023264</w:t>
        <w:br/>
        <w:t>zastoupen:</w:t>
        <w:tab/>
        <w:tab/>
        <w:t>Dr. Petrem Nedomou, ředitelem galerie</w:t>
      </w:r>
      <w:r>
        <w:rPr>
          <w:rFonts w:cs="Tahoma" w:ascii="Tahoma" w:hAnsi="Tahoma"/>
          <w:b/>
          <w:sz w:val="20"/>
          <w:szCs w:val="20"/>
        </w:rPr>
        <w:tab/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 xml:space="preserve">(dále jen </w:t>
      </w:r>
      <w:r>
        <w:rPr>
          <w:rFonts w:cs="Tahoma" w:ascii="Tahoma" w:hAnsi="Tahoma"/>
          <w:b/>
          <w:iCs/>
          <w:sz w:val="20"/>
          <w:szCs w:val="20"/>
        </w:rPr>
        <w:t>„Objednatel“</w:t>
      </w:r>
      <w:r>
        <w:rPr>
          <w:rFonts w:cs="Tahoma" w:ascii="Tahoma" w:hAnsi="Tahoma"/>
          <w:iCs/>
          <w:sz w:val="20"/>
          <w:szCs w:val="20"/>
        </w:rPr>
        <w:t>)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>a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zev"/>
        <w:jc w:val="left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název</w:t>
        <w:tab/>
        <w:tab/>
        <w:tab/>
        <w:t>VETAMBER s.r.o.</w:t>
      </w:r>
    </w:p>
    <w:p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Sídlo: </w:t>
        <w:tab/>
        <w:tab/>
        <w:tab/>
        <w:t>Prosluněná 558/7</w:t>
      </w:r>
    </w:p>
    <w:p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IČ:</w:t>
        <w:tab/>
        <w:tab/>
        <w:tab/>
        <w:t>26447541</w:t>
      </w:r>
    </w:p>
    <w:p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DIČ:</w:t>
        <w:tab/>
        <w:tab/>
        <w:tab/>
        <w:t>CZ26447541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Zápis v OR: </w:t>
        <w:tab/>
        <w:tab/>
      </w:r>
      <w:r>
        <w:rPr/>
        <w:t>82861 C, Městský soud v Praze</w:t>
      </w:r>
      <w:r>
        <w:rPr>
          <w:rFonts w:cs="Tahoma" w:ascii="Tahoma" w:hAnsi="Tahom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Zastoupen:</w:t>
        <w:tab/>
        <w:tab/>
        <w:t xml:space="preserve">Tomášem Veberem, jednatelem 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 xml:space="preserve">(dále jen </w:t>
      </w:r>
      <w:r>
        <w:rPr>
          <w:rFonts w:cs="Tahoma" w:ascii="Tahoma" w:hAnsi="Tahoma"/>
          <w:b/>
          <w:iCs/>
          <w:sz w:val="20"/>
          <w:szCs w:val="20"/>
        </w:rPr>
        <w:t>„Poskytovatel“</w:t>
      </w:r>
      <w:r>
        <w:rPr>
          <w:rFonts w:cs="Tahoma" w:ascii="Tahoma" w:hAnsi="Tahoma"/>
          <w:iCs/>
          <w:sz w:val="20"/>
          <w:szCs w:val="20"/>
        </w:rPr>
        <w:t>)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 xml:space="preserve">(dále společně jen </w:t>
      </w:r>
      <w:r>
        <w:rPr>
          <w:rFonts w:cs="Tahoma" w:ascii="Tahoma" w:hAnsi="Tahoma"/>
          <w:b/>
          <w:iCs/>
          <w:sz w:val="20"/>
          <w:szCs w:val="20"/>
        </w:rPr>
        <w:t>„Smluvní strany“</w:t>
      </w:r>
      <w:r>
        <w:rPr>
          <w:rFonts w:cs="Tahoma" w:ascii="Tahoma" w:hAnsi="Tahoma"/>
          <w:iCs/>
          <w:sz w:val="20"/>
          <w:szCs w:val="20"/>
        </w:rPr>
        <w:t xml:space="preserve"> nebo </w:t>
      </w:r>
      <w:r>
        <w:rPr>
          <w:rFonts w:cs="Tahoma" w:ascii="Tahoma" w:hAnsi="Tahoma"/>
          <w:b/>
          <w:iCs/>
          <w:sz w:val="20"/>
          <w:szCs w:val="20"/>
        </w:rPr>
        <w:t>„Smluvní strana“</w:t>
      </w:r>
      <w:r>
        <w:rPr>
          <w:rFonts w:cs="Tahoma" w:ascii="Tahoma" w:hAnsi="Tahoma"/>
          <w:iCs/>
          <w:sz w:val="20"/>
          <w:szCs w:val="20"/>
        </w:rPr>
        <w:t>)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 xml:space="preserve">Uzavírají Dodatek č. 1 ke Smlouvě o dílo ze dne 3. 8. 2020 (dále jen „Smlouva). 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center"/>
        <w:rPr>
          <w:rFonts w:ascii="Tahoma" w:hAnsi="Tahoma" w:cs="Tahoma"/>
          <w:b/>
          <w:b/>
          <w:iCs/>
          <w:sz w:val="20"/>
          <w:szCs w:val="20"/>
        </w:rPr>
      </w:pPr>
      <w:r>
        <w:rPr>
          <w:rFonts w:cs="Tahoma" w:ascii="Tahoma" w:hAnsi="Tahoma"/>
          <w:b/>
          <w:iCs/>
          <w:sz w:val="20"/>
          <w:szCs w:val="20"/>
        </w:rPr>
        <w:t>Odůvodnění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center"/>
        <w:rPr>
          <w:rFonts w:ascii="Tahoma" w:hAnsi="Tahoma" w:cs="Tahoma"/>
          <w:b/>
          <w:b/>
          <w:iCs/>
          <w:sz w:val="20"/>
          <w:szCs w:val="20"/>
        </w:rPr>
      </w:pPr>
      <w:r>
        <w:rPr>
          <w:rFonts w:cs="Tahoma" w:ascii="Tahoma" w:hAnsi="Tahoma"/>
          <w:b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 xml:space="preserve">Po uzavření Smlouvy vznikla mezi smluvními stranami potřeba </w:t>
      </w:r>
      <w:r>
        <w:rPr>
          <w:rFonts w:eastAsia="Calibri" w:cs="Tahoma" w:ascii="Tahoma" w:hAnsi="Tahoma"/>
          <w:iCs/>
          <w:sz w:val="20"/>
          <w:szCs w:val="20"/>
        </w:rPr>
        <w:t>změny předmětu plnění, a to v důsledku okolností, které zadavatel jednající s náležitou péčí nemohl předvídat, a které vznikly až po ukončení zadávacího řízení; vše v souladu a v rozsahu zákonných limitů analogicky k § 222 odst. 6 ZZVZ, bez vlivu na změnu režimu veřejné zakázky.</w:t>
      </w:r>
    </w:p>
    <w:p>
      <w:pPr>
        <w:pStyle w:val="Normal"/>
        <w:widowControl/>
        <w:tabs>
          <w:tab w:val="clear" w:pos="708"/>
          <w:tab w:val="left" w:pos="2127" w:leader="none"/>
        </w:tabs>
        <w:suppressAutoHyphens w:val="true"/>
        <w:bidi w:val="0"/>
        <w:spacing w:lineRule="auto" w:line="276"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center"/>
        <w:rPr>
          <w:rFonts w:ascii="Tahoma" w:hAnsi="Tahoma" w:cs="Tahoma"/>
          <w:b/>
          <w:b/>
          <w:iCs/>
          <w:sz w:val="20"/>
          <w:szCs w:val="20"/>
        </w:rPr>
      </w:pPr>
      <w:r>
        <w:rPr>
          <w:rFonts w:cs="Tahoma" w:ascii="Tahoma" w:hAnsi="Tahoma"/>
          <w:b/>
          <w:iCs/>
          <w:sz w:val="20"/>
          <w:szCs w:val="20"/>
        </w:rPr>
        <w:t>I.</w:t>
      </w:r>
    </w:p>
    <w:p>
      <w:pPr>
        <w:pStyle w:val="Normal"/>
        <w:widowControl/>
        <w:tabs>
          <w:tab w:val="clear" w:pos="708"/>
          <w:tab w:val="left" w:pos="2127" w:leader="none"/>
        </w:tabs>
        <w:suppressAutoHyphens w:val="true"/>
        <w:bidi w:val="0"/>
        <w:spacing w:lineRule="auto" w:line="276" w:before="0" w:after="0"/>
        <w:jc w:val="center"/>
        <w:rPr>
          <w:rFonts w:ascii="Tahoma" w:hAnsi="Tahoma" w:cs="Tahoma"/>
          <w:b/>
          <w:b/>
          <w:iCs/>
          <w:sz w:val="20"/>
          <w:szCs w:val="20"/>
        </w:rPr>
      </w:pPr>
      <w:r>
        <w:rPr>
          <w:rFonts w:cs="Tahoma" w:ascii="Tahoma" w:hAnsi="Tahoma"/>
          <w:b/>
          <w:iCs/>
          <w:sz w:val="20"/>
          <w:szCs w:val="20"/>
        </w:rPr>
      </w:r>
    </w:p>
    <w:p>
      <w:pPr>
        <w:pStyle w:val="Normal"/>
        <w:spacing w:before="0" w:after="0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 xml:space="preserve">1.1. </w:t>
        <w:tab/>
        <w:t xml:space="preserve">Smluvní strany se dohodly na změně Smlouvy, a to Předmět smlouvy se rozšířením předmětu smlouvy o služby, jež jsou blíže uvedeny v příloze č. 1 tohoto Dodatku Smlouvy, vč. uvedení ceny za jednotlivé služby a ceny celkové. </w:t>
      </w:r>
    </w:p>
    <w:p>
      <w:pPr>
        <w:pStyle w:val="Normal"/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  <w:sz w:val="20"/>
          <w:szCs w:val="20"/>
        </w:rPr>
        <w:t>II</w:t>
      </w:r>
      <w:r>
        <w:rPr>
          <w:rFonts w:cs="Tahoma" w:ascii="Tahoma" w:hAnsi="Tahoma"/>
          <w:b/>
        </w:rPr>
        <w:t>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>2.1.</w:t>
        <w:tab/>
        <w:t>Ostatní ustanovení Smlouvy nejsou tímto Dodatkem č. 3 dotčena.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spacing w:before="0" w:after="0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 xml:space="preserve">2.2. </w:t>
        <w:tab/>
        <w:t>Tento Dodatek č. 3 je sepsán v českém jazyce ve 2 stejnopisech s platností originálu. Jedno vyhotovení obdrží Objednatel a jedno Poskytovatel.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ListNumberContractCzechRadio"/>
        <w:numPr>
          <w:ilvl w:val="0"/>
          <w:numId w:val="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Rule="auto" w:line="240" w:before="0" w:after="0"/>
        <w:ind w:left="567" w:hanging="567"/>
        <w:jc w:val="both"/>
        <w:rPr>
          <w:rFonts w:ascii="Tahoma" w:hAnsi="Tahoma" w:eastAsia="Calibri" w:cs="Tahoma" w:eastAsiaTheme="minorHAnsi"/>
          <w:iCs/>
          <w:szCs w:val="20"/>
        </w:rPr>
      </w:pPr>
      <w:r>
        <w:rPr>
          <w:rFonts w:cs="Tahoma" w:ascii="Tahoma" w:hAnsi="Tahoma"/>
          <w:iCs/>
          <w:szCs w:val="20"/>
        </w:rPr>
        <w:t xml:space="preserve">2.3. </w:t>
        <w:tab/>
      </w:r>
      <w:r>
        <w:rPr>
          <w:rFonts w:eastAsia="Calibri" w:cs="Tahoma" w:ascii="Tahoma" w:hAnsi="Tahoma" w:eastAsiaTheme="minorHAnsi"/>
          <w:iCs/>
          <w:szCs w:val="20"/>
        </w:rPr>
        <w:t>Tento Dodatek č. 3 nabývá platnosti dnem podpisu oprávněnými zástupci obou smluvních stran. Ve vztahu k účinnosti Dodatku č. 1 smluvní strany berou na vědomí a výslovně prohlašují, že jsou jim známy účinky Zákona o registru smluv ve vztahu k účinnosti tohoto Dodatku č. 3. Příslušné uveřejnění dle Zákona o registru smluv zajistí Objednatel, při plné součinnosti ze strany Poskytovatele.</w:t>
      </w:r>
    </w:p>
    <w:p>
      <w:pPr>
        <w:pStyle w:val="Normal"/>
        <w:spacing w:before="0" w:after="0"/>
        <w:ind w:left="567" w:hanging="56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 xml:space="preserve">Přílohy: 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>Příloha č. 1 – Cenová kalkulace dodatečné požadavky:</w:t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tbl>
      <w:tblPr>
        <w:tblStyle w:val="Mkatabulky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88"/>
        <w:gridCol w:w="1420"/>
      </w:tblGrid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1) Svícení expozice včetně stavby lešení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8 950,00Kč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2) Zatemňování stropů v sále 1,3 a 8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8 750,00Kč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3) Výroba, dodání a montáž výkrytů pro techniku1 ks 60 x 50 x v. 109,5 cm, 1 ks 60 x 50 x v. 90 cm, 1 ks 70 x 70 x v. 70 cm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9 850,00Kč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4) Změna barevnosti paneláže z šedé na bílou, projekční plocha v místnosti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</w:rPr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č.1 rozměr 7 x 4 m. Spodní strana stěny barva černá.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3 450,00Kč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5) Změna velikosti projekční plochy v Krtkovi, nová projekční deska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1 950,00Kč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6) Instalace 10 ks světelných popisek včetně potřebné kabeláže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3 500,00Kč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7) Instalace reproduktorů včetně konstrukce k nim.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1 250,00Kč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8) Dělení podia na tři části.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1 050,00Kč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9) Dodání a montáž hliníkové trubky na spojení židlí pro diváky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950,00Kč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10) Změna barevnosti 2 ks laviček na barvu černá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900,00Kč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</w:rPr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</w:rPr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Celkem bez DPH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40 600,00Kč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21% DPH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8 526,00Kč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-------------------------------------------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iCs/>
                <w:kern w:val="0"/>
                <w:sz w:val="20"/>
                <w:szCs w:val="20"/>
                <w:lang w:val="cs-CZ" w:eastAsia="en-US" w:bidi="ar-SA"/>
              </w:rPr>
              <w:t>----------------</w:t>
            </w:r>
          </w:p>
        </w:tc>
      </w:tr>
      <w:tr>
        <w:trPr/>
        <w:tc>
          <w:tcPr>
            <w:tcW w:w="7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Celkem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uppressAutoHyphens w:val="true"/>
              <w:spacing w:lineRule="auto" w:line="276" w:before="0" w:after="0"/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eastAsia="Calibri" w:cs="Tahoma" w:ascii="Tahoma" w:hAnsi="Tahoma"/>
                <w:bCs/>
                <w:iCs/>
                <w:kern w:val="0"/>
                <w:sz w:val="20"/>
                <w:szCs w:val="20"/>
                <w:lang w:val="cs-CZ" w:eastAsia="en-US" w:bidi="ar-SA"/>
              </w:rPr>
              <w:t>49 126,00Kč</w:t>
            </w:r>
          </w:p>
        </w:tc>
      </w:tr>
    </w:tbl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>V Praze dne 29. 1. 2021</w:t>
        <w:tab/>
        <w:tab/>
        <w:t xml:space="preserve">  </w:t>
        <w:tab/>
        <w:t xml:space="preserve">    </w:t>
        <w:tab/>
        <w:br/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127" w:leader="none"/>
        </w:tabs>
        <w:spacing w:before="0" w:after="0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708" w:hanging="708"/>
        <w:rPr>
          <w:rFonts w:ascii="Tahoma" w:hAnsi="Tahoma" w:eastAsia="Times New Roman" w:cs="Tahoma"/>
          <w:b/>
          <w:b/>
          <w:sz w:val="20"/>
          <w:szCs w:val="20"/>
          <w:lang w:eastAsia="cs-CZ"/>
        </w:rPr>
      </w:pPr>
      <w:r>
        <w:rPr>
          <w:rFonts w:cs="Tahoma" w:ascii="Tahoma" w:hAnsi="Tahoma"/>
          <w:iCs/>
          <w:sz w:val="20"/>
          <w:szCs w:val="20"/>
        </w:rPr>
        <w:t>__________________________</w:t>
        <w:tab/>
        <w:tab/>
        <w:tab/>
        <w:tab/>
        <w:t>____________________________</w:t>
        <w:br/>
      </w:r>
      <w:r>
        <w:rPr>
          <w:rFonts w:cs="Tahoma" w:ascii="Tahoma" w:hAnsi="Tahoma"/>
          <w:b/>
          <w:iCs/>
          <w:sz w:val="20"/>
          <w:szCs w:val="20"/>
        </w:rPr>
        <w:t>Objednatel</w:t>
        <w:tab/>
      </w:r>
      <w:r>
        <w:rPr>
          <w:rFonts w:eastAsia="Times New Roman" w:cs="Arial" w:ascii="Arial" w:hAnsi="Arial"/>
          <w:b/>
          <w:lang w:eastAsia="cs-CZ"/>
        </w:rPr>
        <w:tab/>
        <w:tab/>
        <w:tab/>
        <w:tab/>
        <w:tab/>
        <w:tab/>
      </w:r>
      <w:r>
        <w:rPr>
          <w:rFonts w:eastAsia="Times New Roman" w:cs="Tahoma" w:ascii="Tahoma" w:hAnsi="Tahoma"/>
          <w:b/>
          <w:sz w:val="20"/>
          <w:szCs w:val="20"/>
          <w:lang w:eastAsia="cs-CZ"/>
        </w:rPr>
        <w:t>Poskytovatel</w:t>
      </w:r>
    </w:p>
    <w:p>
      <w:pPr>
        <w:pStyle w:val="Normal"/>
        <w:spacing w:lineRule="auto" w:line="240" w:before="0" w:after="0"/>
        <w:ind w:left="708" w:hanging="708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</w:t>
      </w:r>
    </w:p>
    <w:p>
      <w:pPr>
        <w:pStyle w:val="Normal"/>
        <w:spacing w:lineRule="auto" w:line="240" w:before="0" w:after="0"/>
        <w:ind w:left="708" w:hanging="708"/>
        <w:rPr>
          <w:rFonts w:ascii="Tahoma" w:hAnsi="Tahoma" w:eastAsia="Times New Roman" w:cs="Tahoma"/>
          <w:b/>
          <w:b/>
          <w:sz w:val="20"/>
          <w:szCs w:val="20"/>
          <w:lang w:eastAsia="cs-CZ"/>
        </w:rPr>
      </w:pPr>
      <w:r>
        <w:rPr>
          <w:rFonts w:cs="Tahoma" w:ascii="Tahoma" w:hAnsi="Tahoma"/>
          <w:iCs/>
          <w:sz w:val="20"/>
          <w:szCs w:val="20"/>
        </w:rPr>
        <w:t xml:space="preserve">                 </w:t>
      </w:r>
      <w:r>
        <w:rPr>
          <w:rFonts w:cs="Tahoma" w:ascii="Tahoma" w:hAnsi="Tahoma"/>
          <w:iCs/>
          <w:sz w:val="20"/>
          <w:szCs w:val="20"/>
        </w:rPr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12" w:hanging="31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24" w:hanging="312"/>
      </w:pPr>
    </w:lvl>
    <w:lvl w:ilvl="3">
      <w:start w:val="1"/>
      <w:numFmt w:val="bullet"/>
      <w:lvlText w:val="—"/>
      <w:lvlJc w:val="left"/>
      <w:pPr>
        <w:tabs>
          <w:tab w:val="num" w:pos="0"/>
        </w:tabs>
        <w:ind w:left="936" w:hanging="312"/>
      </w:pPr>
      <w:rPr>
        <w:rFonts w:ascii="Arial" w:hAnsi="Arial" w:cs="Arial" w:hint="default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1247" w:hanging="311"/>
      </w:pPr>
      <w:rPr>
        <w:rFonts w:ascii="Arial" w:hAnsi="Arial" w:cs="Arial" w:hint="default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1559" w:hanging="312"/>
      </w:pPr>
      <w:rPr>
        <w:rFonts w:ascii="Arial" w:hAnsi="Arial" w:cs="Arial" w:hint="default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1871" w:hanging="312"/>
      </w:pPr>
      <w:rPr>
        <w:rFonts w:ascii="Arial" w:hAnsi="Arial" w:cs="Arial" w:hint="default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2183" w:hanging="312"/>
      </w:pPr>
      <w:rPr>
        <w:rFonts w:ascii="Arial" w:hAnsi="Arial" w:cs="Arial" w:hint="default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2495" w:hanging="312"/>
      </w:pPr>
      <w:rPr>
        <w:rFonts w:ascii="Arial" w:hAnsi="Arial" w:cs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1e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181c0d"/>
    <w:rPr>
      <w:rFonts w:ascii="Arial" w:hAnsi="Arial" w:eastAsia="Times New Roman" w:cs="Arial"/>
      <w:sz w:val="28"/>
      <w:szCs w:val="28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a9530d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rsid w:val="008a1bc6"/>
    <w:rPr>
      <w:rFonts w:ascii="Courier New" w:hAnsi="Courier New" w:eastAsia="Times New Roman" w:cs="Courier New"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a9530d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link w:val="NzevChar"/>
    <w:qFormat/>
    <w:rsid w:val="00181c0d"/>
    <w:pPr>
      <w:spacing w:lineRule="auto" w:line="240" w:before="0" w:after="0"/>
      <w:jc w:val="center"/>
    </w:pPr>
    <w:rPr>
      <w:rFonts w:ascii="Arial" w:hAnsi="Arial" w:eastAsia="Times New Roman" w:cs="Arial"/>
      <w:sz w:val="28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42357d"/>
    <w:pPr>
      <w:spacing w:before="0" w:after="200"/>
      <w:ind w:left="720" w:hanging="0"/>
      <w:contextualSpacing/>
    </w:pPr>
    <w:rPr/>
  </w:style>
  <w:style w:type="paragraph" w:styleId="ListNumberContractCzechRadio" w:customStyle="1">
    <w:name w:val="List Number - Contract (Czech Radio)"/>
    <w:basedOn w:val="Normal"/>
    <w:uiPriority w:val="13"/>
    <w:qFormat/>
    <w:rsid w:val="008a1b8a"/>
    <w:pPr>
      <w:numPr>
        <w:ilvl w:val="0"/>
        <w:numId w:val="1"/>
      </w:numPr>
      <w:tabs>
        <w:tab w:val="clear" w:pos="708"/>
        <w:tab w:val="left" w:pos="312" w:leader="none"/>
        <w:tab w:val="left" w:pos="624" w:leader="none"/>
        <w:tab w:val="left" w:pos="936" w:leader="none"/>
        <w:tab w:val="left" w:pos="1247" w:leader="none"/>
        <w:tab w:val="left" w:pos="1559" w:leader="none"/>
        <w:tab w:val="left" w:pos="1871" w:leader="none"/>
        <w:tab w:val="left" w:pos="2183" w:leader="none"/>
        <w:tab w:val="left" w:pos="2495" w:leader="none"/>
        <w:tab w:val="left" w:pos="2807" w:leader="none"/>
        <w:tab w:val="left" w:pos="3119" w:leader="none"/>
        <w:tab w:val="left" w:pos="3430" w:leader="none"/>
        <w:tab w:val="left" w:pos="3742" w:leader="none"/>
        <w:tab w:val="left" w:pos="4054" w:leader="none"/>
        <w:tab w:val="left" w:pos="4366" w:leader="none"/>
        <w:tab w:val="left" w:pos="4678" w:leader="none"/>
        <w:tab w:val="left" w:pos="4990" w:leader="none"/>
        <w:tab w:val="left" w:pos="5301" w:leader="none"/>
        <w:tab w:val="left" w:pos="5613" w:leader="none"/>
        <w:tab w:val="left" w:pos="5925" w:leader="none"/>
        <w:tab w:val="left" w:pos="6237" w:leader="none"/>
        <w:tab w:val="left" w:pos="6549" w:leader="none"/>
        <w:tab w:val="left" w:pos="6861" w:leader="none"/>
        <w:tab w:val="left" w:pos="7173" w:leader="none"/>
        <w:tab w:val="left" w:pos="7484" w:leader="none"/>
        <w:tab w:val="left" w:pos="7796" w:leader="none"/>
        <w:tab w:val="left" w:pos="8108" w:leader="none"/>
        <w:tab w:val="left" w:pos="8420" w:leader="none"/>
      </w:tabs>
      <w:spacing w:lineRule="exact" w:line="250" w:before="0" w:after="250"/>
    </w:pPr>
    <w:rPr>
      <w:rFonts w:ascii="Arial" w:hAnsi="Arial" w:eastAsia="Calibri" w:cs="Times New Roman"/>
      <w:sz w:val="20"/>
    </w:rPr>
  </w:style>
  <w:style w:type="paragraph" w:styleId="ListLetterContractCzechRadio" w:customStyle="1">
    <w:name w:val="List Letter - Contract (Czech Radio)"/>
    <w:basedOn w:val="Normal"/>
    <w:uiPriority w:val="15"/>
    <w:qFormat/>
    <w:rsid w:val="008a1b8a"/>
    <w:pPr>
      <w:numPr>
        <w:ilvl w:val="0"/>
        <w:numId w:val="1"/>
      </w:numPr>
      <w:tabs>
        <w:tab w:val="clear" w:pos="708"/>
        <w:tab w:val="left" w:pos="312" w:leader="none"/>
        <w:tab w:val="left" w:pos="624" w:leader="none"/>
        <w:tab w:val="left" w:pos="936" w:leader="none"/>
        <w:tab w:val="left" w:pos="1247" w:leader="none"/>
        <w:tab w:val="left" w:pos="1559" w:leader="none"/>
        <w:tab w:val="left" w:pos="1871" w:leader="none"/>
        <w:tab w:val="left" w:pos="2183" w:leader="none"/>
        <w:tab w:val="left" w:pos="2495" w:leader="none"/>
        <w:tab w:val="left" w:pos="2807" w:leader="none"/>
        <w:tab w:val="left" w:pos="3119" w:leader="none"/>
        <w:tab w:val="left" w:pos="3430" w:leader="none"/>
        <w:tab w:val="left" w:pos="3742" w:leader="none"/>
        <w:tab w:val="left" w:pos="4054" w:leader="none"/>
        <w:tab w:val="left" w:pos="4366" w:leader="none"/>
        <w:tab w:val="left" w:pos="4678" w:leader="none"/>
        <w:tab w:val="left" w:pos="4990" w:leader="none"/>
        <w:tab w:val="left" w:pos="5301" w:leader="none"/>
        <w:tab w:val="left" w:pos="5613" w:leader="none"/>
        <w:tab w:val="left" w:pos="5925" w:leader="none"/>
        <w:tab w:val="left" w:pos="6237" w:leader="none"/>
        <w:tab w:val="left" w:pos="6549" w:leader="none"/>
        <w:tab w:val="left" w:pos="6861" w:leader="none"/>
        <w:tab w:val="left" w:pos="7173" w:leader="none"/>
        <w:tab w:val="left" w:pos="7484" w:leader="none"/>
        <w:tab w:val="left" w:pos="7796" w:leader="none"/>
        <w:tab w:val="left" w:pos="8108" w:leader="none"/>
        <w:tab w:val="left" w:pos="8420" w:leader="none"/>
      </w:tabs>
      <w:spacing w:lineRule="exact" w:line="250" w:before="0" w:after="250"/>
    </w:pPr>
    <w:rPr>
      <w:rFonts w:ascii="Arial" w:hAnsi="Arial" w:eastAsia="Calibri" w:cs="Times New Roman"/>
      <w:sz w:val="20"/>
    </w:rPr>
  </w:style>
  <w:style w:type="paragraph" w:styleId="HeadingNumberContractCzechRadio" w:customStyle="1">
    <w:name w:val="Heading-Number - Contract (Czech Radio)"/>
    <w:basedOn w:val="Normal"/>
    <w:next w:val="ListNumberContractCzechRadio"/>
    <w:uiPriority w:val="11"/>
    <w:qFormat/>
    <w:rsid w:val="008a1b8a"/>
    <w:pPr>
      <w:keepNext w:val="true"/>
      <w:keepLines/>
      <w:tabs>
        <w:tab w:val="clear" w:pos="708"/>
        <w:tab w:val="left" w:pos="0" w:leader="none"/>
        <w:tab w:val="left" w:pos="312" w:leader="none"/>
        <w:tab w:val="left" w:pos="624" w:leader="none"/>
        <w:tab w:val="left" w:pos="936" w:leader="none"/>
        <w:tab w:val="left" w:pos="1247" w:leader="none"/>
        <w:tab w:val="left" w:pos="1559" w:leader="none"/>
        <w:tab w:val="left" w:pos="1871" w:leader="none"/>
        <w:tab w:val="left" w:pos="2183" w:leader="none"/>
        <w:tab w:val="left" w:pos="2495" w:leader="none"/>
        <w:tab w:val="left" w:pos="2807" w:leader="none"/>
        <w:tab w:val="left" w:pos="3119" w:leader="none"/>
        <w:tab w:val="left" w:pos="3430" w:leader="none"/>
        <w:tab w:val="left" w:pos="3742" w:leader="none"/>
        <w:tab w:val="left" w:pos="4054" w:leader="none"/>
        <w:tab w:val="left" w:pos="4366" w:leader="none"/>
        <w:tab w:val="left" w:pos="4678" w:leader="none"/>
        <w:tab w:val="left" w:pos="4990" w:leader="none"/>
        <w:tab w:val="left" w:pos="5301" w:leader="none"/>
        <w:tab w:val="left" w:pos="5613" w:leader="none"/>
        <w:tab w:val="left" w:pos="5925" w:leader="none"/>
        <w:tab w:val="left" w:pos="6237" w:leader="none"/>
        <w:tab w:val="left" w:pos="6549" w:leader="none"/>
        <w:tab w:val="left" w:pos="6861" w:leader="none"/>
        <w:tab w:val="left" w:pos="7173" w:leader="none"/>
        <w:tab w:val="left" w:pos="7484" w:leader="none"/>
        <w:tab w:val="left" w:pos="7796" w:leader="none"/>
        <w:tab w:val="left" w:pos="8108" w:leader="none"/>
        <w:tab w:val="left" w:pos="8420" w:leader="none"/>
      </w:tabs>
      <w:spacing w:lineRule="exact" w:line="250" w:before="250" w:after="250"/>
      <w:jc w:val="center"/>
      <w:outlineLvl w:val="0"/>
    </w:pPr>
    <w:rPr>
      <w:rFonts w:ascii="Arial" w:hAnsi="Arial" w:eastAsia="Times New Roman" w:cs="Times New Roman"/>
      <w:b/>
      <w:color w:val="000F37"/>
      <w:sz w:val="20"/>
      <w:szCs w:val="26"/>
    </w:rPr>
  </w:style>
  <w:style w:type="paragraph" w:styleId="Ktitul1" w:customStyle="1">
    <w:name w:val="K_titul1"/>
    <w:basedOn w:val="Normal"/>
    <w:qFormat/>
    <w:rsid w:val="00c767c9"/>
    <w:pPr>
      <w:keepNext w:val="true"/>
      <w:widowControl w:val="false"/>
      <w:spacing w:before="160" w:after="0"/>
      <w:jc w:val="center"/>
    </w:pPr>
    <w:rPr>
      <w:rFonts w:ascii="Arial" w:hAnsi="Arial" w:eastAsia="Calibri" w:cs="Calibri"/>
      <w:b/>
      <w:color w:val="000000"/>
      <w:sz w:val="36"/>
      <w:lang w:eastAsia="cs-CZ"/>
    </w:rPr>
  </w:style>
  <w:style w:type="paragraph" w:styleId="PlainText">
    <w:name w:val="Plain Text"/>
    <w:basedOn w:val="Normal"/>
    <w:link w:val="ProsttextChar"/>
    <w:uiPriority w:val="99"/>
    <w:semiHidden/>
    <w:qFormat/>
    <w:rsid w:val="008a1bc6"/>
    <w:pPr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ListContract" w:customStyle="1">
    <w:name w:val="List - Contract"/>
    <w:uiPriority w:val="99"/>
    <w:qFormat/>
    <w:rsid w:val="008a1b8a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a15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LibreOffice/7.0.2.2$Windows_X86_64 LibreOffice_project/8349ace3c3162073abd90d81fd06dcfb6b36b994</Application>
  <Pages>4</Pages>
  <Words>465</Words>
  <Characters>2450</Characters>
  <CharactersWithSpaces>2930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2021-01-29T14:16:00Z</dcterms:created>
  <dc:creator>Lucnek</dc:creator>
  <dc:description/>
  <dc:language>cs-CZ</dc:language>
  <cp:lastModifiedBy/>
  <cp:lastPrinted>2019-01-24T14:48:00Z</cp:lastPrinted>
  <dcterms:modified xsi:type="dcterms:W3CDTF">2021-01-29T17:38:56Z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