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BF" w:rsidRDefault="002F101A">
      <w:pPr>
        <w:pStyle w:val="Zkladntext1"/>
        <w:shd w:val="clear" w:color="auto" w:fill="auto"/>
        <w:spacing w:after="720"/>
        <w:jc w:val="right"/>
      </w:pPr>
      <w:r>
        <w:t xml:space="preserve">Č.j. </w:t>
      </w:r>
      <w:r>
        <w:rPr>
          <w:lang w:val="en-US" w:eastAsia="en-US" w:bidi="en-US"/>
        </w:rPr>
        <w:t xml:space="preserve">NG </w:t>
      </w:r>
      <w:r>
        <w:t>58/2021</w:t>
      </w:r>
    </w:p>
    <w:p w:rsidR="007D70BF" w:rsidRDefault="002F101A">
      <w:pPr>
        <w:pStyle w:val="Nadpis10"/>
        <w:keepNext/>
        <w:keepLines/>
        <w:shd w:val="clear" w:color="auto" w:fill="auto"/>
        <w:spacing w:after="100"/>
      </w:pPr>
      <w:bookmarkStart w:id="0" w:name="bookmark0"/>
      <w:bookmarkStart w:id="1" w:name="bookmark1"/>
      <w:r>
        <w:t>DODATEK č. 1</w:t>
      </w:r>
      <w:bookmarkEnd w:id="0"/>
      <w:bookmarkEnd w:id="1"/>
    </w:p>
    <w:p w:rsidR="007D70BF" w:rsidRDefault="002F101A">
      <w:pPr>
        <w:pStyle w:val="Zkladntext1"/>
        <w:shd w:val="clear" w:color="auto" w:fill="auto"/>
        <w:spacing w:after="500"/>
        <w:jc w:val="center"/>
      </w:pPr>
      <w:r>
        <w:rPr>
          <w:b/>
          <w:bCs/>
        </w:rPr>
        <w:t>KE SMLOUVĚ O IMPLEMENTACI, LICENČNÍ SMLOUVĚ A SMLOUVĚ O POSKYTOVÁNÍ</w:t>
      </w:r>
      <w:r>
        <w:rPr>
          <w:b/>
          <w:bCs/>
        </w:rPr>
        <w:br/>
        <w:t>SLUŽEB ÚDRŽBY A PODPORY</w:t>
      </w:r>
    </w:p>
    <w:p w:rsidR="007D70BF" w:rsidRDefault="002F101A">
      <w:pPr>
        <w:pStyle w:val="Nadpis10"/>
        <w:keepNext/>
        <w:keepLines/>
        <w:shd w:val="clear" w:color="auto" w:fill="auto"/>
        <w:spacing w:after="100"/>
        <w:jc w:val="left"/>
      </w:pPr>
      <w:bookmarkStart w:id="2" w:name="bookmark2"/>
      <w:bookmarkStart w:id="3" w:name="bookmark3"/>
      <w:r>
        <w:t>Objednatel: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6845"/>
      </w:tblGrid>
      <w:tr w:rsidR="007D70B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99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</w:pPr>
            <w:r>
              <w:t>Obchodní jméno: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rPr>
                <w:b/>
                <w:bCs/>
              </w:rPr>
              <w:t>Národní galerie v Praze</w:t>
            </w:r>
          </w:p>
        </w:tc>
      </w:tr>
      <w:tr w:rsidR="007D70B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299" w:type="dxa"/>
            <w:shd w:val="clear" w:color="auto" w:fill="FFFFFF"/>
            <w:vAlign w:val="center"/>
          </w:tcPr>
          <w:p w:rsidR="007D70BF" w:rsidRDefault="002F101A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t>Staroměstské náměstí 606/12</w:t>
            </w:r>
          </w:p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t xml:space="preserve">110 15 Praha 1 - Staré Město, Hlavní město </w:t>
            </w:r>
            <w:r>
              <w:t>Praha</w:t>
            </w:r>
          </w:p>
        </w:tc>
      </w:tr>
      <w:tr w:rsidR="007D70B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299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</w:pPr>
            <w:r>
              <w:t>Adresa pro písemný styk: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t>Staroměstské náměstí 606/12</w:t>
            </w:r>
          </w:p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t>110 15 Praha 1 - Staré Město, Hlavní město Praha</w:t>
            </w:r>
          </w:p>
        </w:tc>
      </w:tr>
      <w:tr w:rsidR="007D70B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99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</w:pPr>
            <w:r>
              <w:t>Zastoupena:</w:t>
            </w:r>
          </w:p>
          <w:p w:rsidR="007D70BF" w:rsidRDefault="002F101A">
            <w:pPr>
              <w:pStyle w:val="Jin0"/>
              <w:shd w:val="clear" w:color="auto" w:fill="auto"/>
              <w:spacing w:after="0"/>
            </w:pPr>
            <w:r w:rsidRPr="006D4AAC">
              <w:rPr>
                <w:bCs/>
              </w:rPr>
              <w:t>IČ:</w:t>
            </w:r>
            <w:r>
              <w:rPr>
                <w:b/>
                <w:bCs/>
              </w:rPr>
              <w:t xml:space="preserve"> 00023281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t>Alicja Knast, generální ředitelka</w:t>
            </w:r>
          </w:p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 w:rsidRPr="006D4AAC">
              <w:rPr>
                <w:bCs/>
              </w:rPr>
              <w:t>DIČ:</w:t>
            </w:r>
            <w:r>
              <w:rPr>
                <w:b/>
                <w:bCs/>
              </w:rPr>
              <w:t xml:space="preserve"> CZ00023281</w:t>
            </w:r>
          </w:p>
        </w:tc>
      </w:tr>
      <w:tr w:rsidR="007D70B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299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845" w:type="dxa"/>
            <w:shd w:val="clear" w:color="auto" w:fill="FFFFFF"/>
          </w:tcPr>
          <w:p w:rsidR="007D70BF" w:rsidRDefault="006D4AAC">
            <w:pPr>
              <w:pStyle w:val="Jin0"/>
              <w:shd w:val="clear" w:color="auto" w:fill="auto"/>
              <w:tabs>
                <w:tab w:val="left" w:pos="2448"/>
                <w:tab w:val="left" w:pos="3898"/>
              </w:tabs>
              <w:spacing w:after="0"/>
              <w:ind w:firstLine="240"/>
            </w:pPr>
            <w:r>
              <w:t>Česká národní</w:t>
            </w:r>
            <w:r>
              <w:tab/>
            </w:r>
            <w:r w:rsidR="002F101A">
              <w:tab/>
              <w:t>050008-</w:t>
            </w:r>
          </w:p>
          <w:p w:rsidR="007D70BF" w:rsidRDefault="002F101A" w:rsidP="006D4AAC">
            <w:pPr>
              <w:pStyle w:val="Jin0"/>
              <w:shd w:val="clear" w:color="auto" w:fill="auto"/>
              <w:tabs>
                <w:tab w:val="left" w:pos="2443"/>
                <w:tab w:val="left" w:pos="3893"/>
              </w:tabs>
              <w:spacing w:after="120" w:line="199" w:lineRule="auto"/>
              <w:ind w:firstLine="238"/>
            </w:pPr>
            <w:r>
              <w:t>banka</w:t>
            </w:r>
            <w:r>
              <w:tab/>
            </w:r>
            <w:r w:rsidR="006D4AAC">
              <w:t>číslo účtu</w:t>
            </w:r>
            <w:r>
              <w:tab/>
            </w:r>
            <w:r>
              <w:t>0008839011/0710</w:t>
            </w:r>
          </w:p>
        </w:tc>
      </w:tr>
    </w:tbl>
    <w:p w:rsidR="007D70BF" w:rsidRDefault="007D70BF">
      <w:pPr>
        <w:spacing w:after="99" w:line="1" w:lineRule="exact"/>
      </w:pPr>
    </w:p>
    <w:p w:rsidR="006D4AAC" w:rsidRDefault="002F101A">
      <w:pPr>
        <w:pStyle w:val="Zkladntext1"/>
        <w:shd w:val="clear" w:color="auto" w:fill="auto"/>
        <w:spacing w:after="0" w:line="602" w:lineRule="auto"/>
        <w:rPr>
          <w:b/>
          <w:bCs/>
        </w:rPr>
      </w:pPr>
      <w:r>
        <w:t xml:space="preserve">jako objednatel na straně jedné (dále také jako </w:t>
      </w:r>
      <w:r>
        <w:rPr>
          <w:b/>
          <w:bCs/>
        </w:rPr>
        <w:t xml:space="preserve">„Objednatel“) </w:t>
      </w:r>
    </w:p>
    <w:p w:rsidR="007D70BF" w:rsidRDefault="002F101A">
      <w:pPr>
        <w:pStyle w:val="Zkladntext1"/>
        <w:shd w:val="clear" w:color="auto" w:fill="auto"/>
        <w:spacing w:after="0" w:line="602" w:lineRule="auto"/>
      </w:pPr>
      <w:r>
        <w:t>a</w:t>
      </w:r>
    </w:p>
    <w:p w:rsidR="007D70BF" w:rsidRDefault="002F101A">
      <w:pPr>
        <w:pStyle w:val="Nadpis10"/>
        <w:keepNext/>
        <w:keepLines/>
        <w:shd w:val="clear" w:color="auto" w:fill="auto"/>
        <w:spacing w:after="260"/>
        <w:jc w:val="left"/>
      </w:pPr>
      <w:bookmarkStart w:id="4" w:name="bookmark4"/>
      <w:bookmarkStart w:id="5" w:name="bookmark5"/>
      <w:r>
        <w:t>Zhotovitel: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6845"/>
      </w:tblGrid>
      <w:tr w:rsidR="007D70B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99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</w:pPr>
            <w:r>
              <w:t>Obchodní jméno: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rPr>
                <w:b/>
                <w:bCs/>
              </w:rPr>
              <w:t>GoOut, s.r.o.</w:t>
            </w:r>
          </w:p>
        </w:tc>
      </w:tr>
      <w:tr w:rsidR="007D70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99" w:type="dxa"/>
            <w:shd w:val="clear" w:color="auto" w:fill="FFFFFF"/>
          </w:tcPr>
          <w:p w:rsidR="007D70BF" w:rsidRDefault="002F101A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45" w:type="dxa"/>
            <w:shd w:val="clear" w:color="auto" w:fill="FFFFFF"/>
          </w:tcPr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t>Mánesova 917/28, 120 00 Praha 2</w:t>
            </w:r>
          </w:p>
        </w:tc>
      </w:tr>
    </w:tbl>
    <w:p w:rsidR="006D4AAC" w:rsidRDefault="006D4AAC">
      <w:pPr>
        <w:pStyle w:val="Titulektabulky0"/>
        <w:shd w:val="clear" w:color="auto" w:fill="auto"/>
        <w:spacing w:line="240" w:lineRule="auto"/>
        <w:ind w:left="14"/>
      </w:pPr>
      <w:r>
        <w:t xml:space="preserve">   </w:t>
      </w:r>
      <w:r w:rsidR="002F101A">
        <w:t xml:space="preserve">Adresa pro písemný </w:t>
      </w:r>
    </w:p>
    <w:p w:rsidR="007D70BF" w:rsidRDefault="006D4AAC">
      <w:pPr>
        <w:pStyle w:val="Titulektabulky0"/>
        <w:shd w:val="clear" w:color="auto" w:fill="auto"/>
        <w:spacing w:line="240" w:lineRule="auto"/>
        <w:ind w:left="14"/>
      </w:pPr>
      <w:r>
        <w:t xml:space="preserve">   </w:t>
      </w:r>
      <w:r w:rsidR="002F101A">
        <w:t>styk: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6845"/>
      </w:tblGrid>
      <w:tr w:rsidR="007D70B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99" w:type="dxa"/>
            <w:shd w:val="clear" w:color="auto" w:fill="FFFFFF"/>
            <w:vAlign w:val="bottom"/>
          </w:tcPr>
          <w:p w:rsidR="006D4AAC" w:rsidRDefault="002F101A">
            <w:pPr>
              <w:pStyle w:val="Jin0"/>
              <w:shd w:val="clear" w:color="auto" w:fill="auto"/>
              <w:spacing w:after="0"/>
            </w:pPr>
            <w:r>
              <w:t xml:space="preserve">Zastoupena: </w:t>
            </w:r>
          </w:p>
          <w:p w:rsidR="007D70BF" w:rsidRDefault="002F101A">
            <w:pPr>
              <w:pStyle w:val="Jin0"/>
              <w:shd w:val="clear" w:color="auto" w:fill="auto"/>
              <w:spacing w:after="0"/>
            </w:pPr>
            <w:r w:rsidRPr="006D4AAC">
              <w:rPr>
                <w:bCs/>
              </w:rPr>
              <w:t>IČ:</w:t>
            </w:r>
            <w:r>
              <w:rPr>
                <w:b/>
                <w:bCs/>
              </w:rPr>
              <w:t xml:space="preserve"> 01901613</w:t>
            </w:r>
          </w:p>
        </w:tc>
        <w:tc>
          <w:tcPr>
            <w:tcW w:w="6845" w:type="dxa"/>
            <w:shd w:val="clear" w:color="auto" w:fill="FFFFFF"/>
            <w:vAlign w:val="bottom"/>
          </w:tcPr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>
              <w:t>Vojtěch Knyttl, jednatel</w:t>
            </w:r>
          </w:p>
          <w:p w:rsidR="007D70BF" w:rsidRDefault="002F101A">
            <w:pPr>
              <w:pStyle w:val="Jin0"/>
              <w:shd w:val="clear" w:color="auto" w:fill="auto"/>
              <w:spacing w:after="0"/>
              <w:ind w:firstLine="240"/>
            </w:pPr>
            <w:r w:rsidRPr="006D4AAC">
              <w:rPr>
                <w:bCs/>
              </w:rPr>
              <w:t>DIČ:</w:t>
            </w:r>
            <w:r>
              <w:rPr>
                <w:b/>
                <w:bCs/>
              </w:rPr>
              <w:t xml:space="preserve"> CZ01901613</w:t>
            </w:r>
          </w:p>
        </w:tc>
      </w:tr>
    </w:tbl>
    <w:p w:rsidR="007D70BF" w:rsidRDefault="006D4AAC">
      <w:pPr>
        <w:pStyle w:val="Titulektabulky0"/>
        <w:shd w:val="clear" w:color="auto" w:fill="auto"/>
        <w:tabs>
          <w:tab w:val="left" w:pos="2520"/>
          <w:tab w:val="left" w:pos="4786"/>
        </w:tabs>
        <w:spacing w:line="240" w:lineRule="auto"/>
      </w:pPr>
      <w:r>
        <w:t xml:space="preserve">   </w:t>
      </w:r>
      <w:r w:rsidR="002F101A">
        <w:t>Bankovní spojení:</w:t>
      </w:r>
      <w:r w:rsidR="002F101A">
        <w:tab/>
      </w:r>
      <w:r>
        <w:t xml:space="preserve">   </w:t>
      </w:r>
      <w:r w:rsidR="002F101A">
        <w:t>FIO Banka</w:t>
      </w:r>
      <w:r w:rsidR="002F101A">
        <w:tab/>
        <w:t xml:space="preserve">číslo účtu </w:t>
      </w:r>
      <w:r>
        <w:tab/>
      </w:r>
      <w:r w:rsidR="002F101A">
        <w:t>2100927320/2010</w:t>
      </w:r>
    </w:p>
    <w:p w:rsidR="00344CEC" w:rsidRDefault="002F101A">
      <w:pPr>
        <w:pStyle w:val="Titulektabulky0"/>
        <w:shd w:val="clear" w:color="auto" w:fill="auto"/>
        <w:spacing w:line="305" w:lineRule="auto"/>
        <w:rPr>
          <w:b/>
          <w:bCs/>
        </w:rPr>
      </w:pPr>
      <w:r>
        <w:t xml:space="preserve">Spol. je zapsána v </w:t>
      </w:r>
      <w:r>
        <w:rPr>
          <w:lang w:val="en-US" w:eastAsia="en-US" w:bidi="en-US"/>
        </w:rPr>
        <w:t xml:space="preserve">OR </w:t>
      </w:r>
      <w:r>
        <w:t xml:space="preserve">vedeném </w:t>
      </w:r>
      <w:r>
        <w:rPr>
          <w:b/>
          <w:bCs/>
        </w:rPr>
        <w:t xml:space="preserve">Městským soudem v Praze, oddíl C, vložka 212454 </w:t>
      </w:r>
    </w:p>
    <w:p w:rsidR="007D70BF" w:rsidRDefault="002F101A">
      <w:pPr>
        <w:pStyle w:val="Titulektabulky0"/>
        <w:shd w:val="clear" w:color="auto" w:fill="auto"/>
        <w:spacing w:line="305" w:lineRule="auto"/>
      </w:pPr>
      <w:r>
        <w:t xml:space="preserve">jako zhotovitel na straně druhé (dále také jako </w:t>
      </w:r>
      <w:r>
        <w:rPr>
          <w:b/>
          <w:bCs/>
        </w:rPr>
        <w:t>„Zhotovitel“)</w:t>
      </w:r>
    </w:p>
    <w:p w:rsidR="007D70BF" w:rsidRDefault="002F101A">
      <w:pPr>
        <w:pStyle w:val="Titulektabulky0"/>
        <w:shd w:val="clear" w:color="auto" w:fill="auto"/>
        <w:spacing w:line="305" w:lineRule="auto"/>
      </w:pPr>
      <w:r>
        <w:t xml:space="preserve">(Objednatel a Zhotovitel dále také jako </w:t>
      </w:r>
      <w:r>
        <w:rPr>
          <w:b/>
          <w:bCs/>
        </w:rPr>
        <w:t xml:space="preserve">„Smluvní strany“, </w:t>
      </w:r>
      <w:r>
        <w:t>je</w:t>
      </w:r>
      <w:r>
        <w:t xml:space="preserve">dnotlivě jako </w:t>
      </w:r>
      <w:r>
        <w:rPr>
          <w:b/>
          <w:bCs/>
        </w:rPr>
        <w:t>„Smluvní strana“)</w:t>
      </w:r>
    </w:p>
    <w:p w:rsidR="007D70BF" w:rsidRDefault="007D70BF">
      <w:pPr>
        <w:spacing w:after="499" w:line="1" w:lineRule="exact"/>
      </w:pPr>
    </w:p>
    <w:p w:rsidR="007D70BF" w:rsidRDefault="002F101A">
      <w:pPr>
        <w:pStyle w:val="Zkladntext1"/>
        <w:shd w:val="clear" w:color="auto" w:fill="auto"/>
        <w:spacing w:after="760"/>
        <w:jc w:val="center"/>
      </w:pPr>
      <w:r>
        <w:t>uzavřeli níže uvedené dne, měsíce a roku tento dodatek č. 1 ke smlouvě</w:t>
      </w:r>
      <w:r>
        <w:br/>
        <w:t>o implementaci, licenční smlouvě a smlouvě o poskytování služeb údržby a podpory</w:t>
      </w:r>
      <w:r>
        <w:br/>
        <w:t xml:space="preserve">(dále jen </w:t>
      </w:r>
      <w:r>
        <w:rPr>
          <w:b/>
          <w:bCs/>
        </w:rPr>
        <w:t>„Dodatek“)</w:t>
      </w:r>
    </w:p>
    <w:p w:rsidR="007D70BF" w:rsidRDefault="002F101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260"/>
      </w:pPr>
      <w:bookmarkStart w:id="6" w:name="bookmark6"/>
      <w:bookmarkStart w:id="7" w:name="bookmark7"/>
      <w:r>
        <w:t>ODDÍL - ÚVODNÍ USTANOVENÍ</w:t>
      </w:r>
      <w:bookmarkEnd w:id="6"/>
      <w:bookmarkEnd w:id="7"/>
    </w:p>
    <w:p w:rsidR="007D70BF" w:rsidRPr="00344CEC" w:rsidRDefault="002F101A">
      <w:pPr>
        <w:pStyle w:val="Zkladntext1"/>
        <w:numPr>
          <w:ilvl w:val="1"/>
          <w:numId w:val="1"/>
        </w:numPr>
        <w:shd w:val="clear" w:color="auto" w:fill="auto"/>
        <w:tabs>
          <w:tab w:val="left" w:pos="557"/>
        </w:tabs>
        <w:spacing w:after="380"/>
        <w:ind w:left="580" w:hanging="580"/>
        <w:jc w:val="both"/>
      </w:pPr>
      <w:r>
        <w:t xml:space="preserve">Objednatel a Zhotovitel uzavřeli, pod sp.zn. NG/171/2018, smlouvu o implementaci, licenční smlouvu a smlouvu o poskytování služeb údržby a podpory (dále jen </w:t>
      </w:r>
      <w:r>
        <w:rPr>
          <w:b/>
          <w:bCs/>
        </w:rPr>
        <w:t xml:space="preserve">„Smlouva“); </w:t>
      </w:r>
      <w:r>
        <w:t>účelem Smlouvy bylo zajištění vstupenkového prodejního systému pro Objednatele (dále je</w:t>
      </w:r>
      <w:r>
        <w:t xml:space="preserve">n </w:t>
      </w:r>
      <w:r>
        <w:rPr>
          <w:b/>
          <w:bCs/>
        </w:rPr>
        <w:t>„Vstupenkový systém“).</w:t>
      </w:r>
    </w:p>
    <w:p w:rsidR="00344CEC" w:rsidRDefault="00344CEC" w:rsidP="00344CEC">
      <w:pPr>
        <w:pStyle w:val="Zkladntext1"/>
        <w:shd w:val="clear" w:color="auto" w:fill="auto"/>
        <w:tabs>
          <w:tab w:val="left" w:pos="557"/>
        </w:tabs>
        <w:spacing w:after="380"/>
        <w:ind w:left="580"/>
        <w:jc w:val="both"/>
      </w:pPr>
    </w:p>
    <w:p w:rsidR="007D70BF" w:rsidRDefault="002F101A">
      <w:pPr>
        <w:pStyle w:val="Zkladntext1"/>
        <w:numPr>
          <w:ilvl w:val="1"/>
          <w:numId w:val="1"/>
        </w:numPr>
        <w:shd w:val="clear" w:color="auto" w:fill="auto"/>
        <w:tabs>
          <w:tab w:val="left" w:pos="573"/>
        </w:tabs>
        <w:ind w:left="580" w:hanging="580"/>
        <w:jc w:val="both"/>
      </w:pPr>
      <w:r>
        <w:t>Objednatel projevil zájem o realizaci a vývoj dodatečných úprav Vstupenkového systému a jejich implementaci.</w:t>
      </w:r>
    </w:p>
    <w:p w:rsidR="007D70BF" w:rsidRDefault="002F101A">
      <w:pPr>
        <w:pStyle w:val="Zkladntext1"/>
        <w:numPr>
          <w:ilvl w:val="1"/>
          <w:numId w:val="1"/>
        </w:numPr>
        <w:shd w:val="clear" w:color="auto" w:fill="auto"/>
        <w:tabs>
          <w:tab w:val="left" w:pos="573"/>
        </w:tabs>
        <w:ind w:left="580" w:hanging="580"/>
        <w:jc w:val="both"/>
      </w:pPr>
      <w:r>
        <w:t>Smluvní strany si tímto Dodatkem přejí upravit vzájemná práva a povinnosti spojená s dodatečnou úpravou Vstupenkového syst</w:t>
      </w:r>
      <w:r>
        <w:t>ému. Základní pojmy a definice Smlouvy budou, s významem definovaným ve Smlouvě (zejména v čl. 3 Smlouvy), použity i v tomto Dodatku.</w:t>
      </w:r>
    </w:p>
    <w:p w:rsidR="007D70BF" w:rsidRDefault="002F101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</w:pPr>
      <w:bookmarkStart w:id="8" w:name="bookmark8"/>
      <w:bookmarkStart w:id="9" w:name="bookmark9"/>
      <w:r>
        <w:t>ODDÍL - PŘEDMĚT DODATKU</w:t>
      </w:r>
      <w:bookmarkEnd w:id="8"/>
      <w:bookmarkEnd w:id="9"/>
    </w:p>
    <w:p w:rsidR="007D70BF" w:rsidRDefault="002F101A">
      <w:pPr>
        <w:pStyle w:val="Zkladntext1"/>
        <w:numPr>
          <w:ilvl w:val="0"/>
          <w:numId w:val="2"/>
        </w:numPr>
        <w:shd w:val="clear" w:color="auto" w:fill="auto"/>
        <w:tabs>
          <w:tab w:val="left" w:pos="573"/>
        </w:tabs>
        <w:ind w:left="580" w:hanging="580"/>
        <w:jc w:val="both"/>
      </w:pPr>
      <w:r>
        <w:t>Účelem tohoto Dodatku je úprava (upgrade) Vstupenkového systému, spočívající v doplnění časových s</w:t>
      </w:r>
      <w:r>
        <w:t>lotů pro prodej Vstupenek realizovaný prostřednictvím Vstupenkového systému na Akce Objednatele.</w:t>
      </w:r>
    </w:p>
    <w:p w:rsidR="007D70BF" w:rsidRDefault="002F101A">
      <w:pPr>
        <w:pStyle w:val="Zkladntext1"/>
        <w:numPr>
          <w:ilvl w:val="0"/>
          <w:numId w:val="2"/>
        </w:numPr>
        <w:shd w:val="clear" w:color="auto" w:fill="auto"/>
        <w:tabs>
          <w:tab w:val="left" w:pos="573"/>
        </w:tabs>
      </w:pPr>
      <w:r>
        <w:t>Popis úpravy Vstupenkového systému:</w:t>
      </w:r>
    </w:p>
    <w:p w:rsidR="007D70BF" w:rsidRDefault="002F101A">
      <w:pPr>
        <w:pStyle w:val="Zkladntext1"/>
        <w:shd w:val="clear" w:color="auto" w:fill="auto"/>
        <w:ind w:left="580" w:firstLine="40"/>
        <w:jc w:val="both"/>
      </w:pPr>
      <w:r>
        <w:t>Zákazník vybere Akci, na kterou si plánuje zakoupit Vstupenku. Po klinutí na tlačítko Vstupenky (v důsledku upgrade Vstupen</w:t>
      </w:r>
      <w:r>
        <w:t>kového systému) dostává možnost si skrze kalendář zvolit den (tj. Zákazník zvolí požadované datum) a následně i jim vybraný časový slot (tj. Zákazník zvolí požadovaný čas). Dále pak pokračuje standardním výběrem prodejní kategorie (typ Vstupenky), počtu, u</w:t>
      </w:r>
      <w:r>
        <w:t>vedením kontaktních údajů a platbou. Stejná mechanika bude dostupná i v pokladnách Objednatele ve všech jeho provozovnách. Všechny ostatní funkce Vstupenkového systému (resp. prodeje Vstupenek prostřednictvím Vstupenkového systému) budou stejné jako doposu</w:t>
      </w:r>
      <w:r>
        <w:t>d - tj. bude možné navýšit / snížit prodej, uplatnit slevy apod.</w:t>
      </w:r>
    </w:p>
    <w:p w:rsidR="007D70BF" w:rsidRDefault="002F101A">
      <w:pPr>
        <w:pStyle w:val="Zkladntext1"/>
        <w:numPr>
          <w:ilvl w:val="0"/>
          <w:numId w:val="2"/>
        </w:numPr>
        <w:shd w:val="clear" w:color="auto" w:fill="auto"/>
        <w:tabs>
          <w:tab w:val="left" w:pos="573"/>
        </w:tabs>
        <w:ind w:left="580" w:hanging="580"/>
        <w:jc w:val="both"/>
      </w:pPr>
      <w:r>
        <w:t>Zhotovitel se v rámci upgrade Vstupenkového systému zavazuje provést následující práce:</w:t>
      </w:r>
    </w:p>
    <w:p w:rsidR="007D70BF" w:rsidRDefault="002F101A">
      <w:pPr>
        <w:pStyle w:val="Zkladntext1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firstLine="580"/>
      </w:pPr>
      <w:r>
        <w:t>kompletní přenastavení prodejního formuláře;</w:t>
      </w:r>
    </w:p>
    <w:p w:rsidR="007D70BF" w:rsidRDefault="002F101A">
      <w:pPr>
        <w:pStyle w:val="Zkladntext1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left="1180" w:hanging="560"/>
        <w:jc w:val="both"/>
      </w:pPr>
      <w:r>
        <w:t xml:space="preserve">správné zobrazení upgrade Vstupenkového systému (nového </w:t>
      </w:r>
      <w:r>
        <w:t>typu akce) na webu Zhotovitele, Objednatele a na webech třetích stran;</w:t>
      </w:r>
    </w:p>
    <w:p w:rsidR="007D70BF" w:rsidRDefault="002F101A">
      <w:pPr>
        <w:pStyle w:val="Zkladntext1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left="1180" w:hanging="560"/>
        <w:jc w:val="both"/>
      </w:pPr>
      <w:r>
        <w:t>vyladění zobrazení nových kroků prodeje (filtr den, filtr čas) na všech typech webových prohlížečů a typech koncového zařízení (mobil, tablet, desktop);</w:t>
      </w:r>
    </w:p>
    <w:p w:rsidR="007D70BF" w:rsidRDefault="002F101A">
      <w:pPr>
        <w:pStyle w:val="Zkladntext1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firstLine="580"/>
      </w:pPr>
      <w:r>
        <w:t>předělání nákupního procesu v po</w:t>
      </w:r>
      <w:r>
        <w:t>kladnách Objednatele;</w:t>
      </w:r>
    </w:p>
    <w:p w:rsidR="007D70BF" w:rsidRDefault="002F101A">
      <w:pPr>
        <w:pStyle w:val="Zkladntext1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firstLine="580"/>
      </w:pPr>
      <w:r>
        <w:t>řádné zaškolení stávajícího personálu Objednatele;</w:t>
      </w:r>
    </w:p>
    <w:p w:rsidR="007D70BF" w:rsidRDefault="002F101A">
      <w:pPr>
        <w:pStyle w:val="Zkladntext1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firstLine="580"/>
      </w:pPr>
      <w:r>
        <w:t xml:space="preserve">aktualizace vzhledu Vstupenky </w:t>
      </w:r>
      <w:r>
        <w:rPr>
          <w:lang w:val="en-US" w:eastAsia="en-US" w:bidi="en-US"/>
        </w:rPr>
        <w:t xml:space="preserve">(pro online </w:t>
      </w:r>
      <w:r>
        <w:t>nákup i prodej v pokladně)</w:t>
      </w:r>
    </w:p>
    <w:p w:rsidR="007D70BF" w:rsidRDefault="002F101A">
      <w:pPr>
        <w:pStyle w:val="Zkladntext1"/>
        <w:numPr>
          <w:ilvl w:val="0"/>
          <w:numId w:val="3"/>
        </w:numPr>
        <w:shd w:val="clear" w:color="auto" w:fill="auto"/>
        <w:tabs>
          <w:tab w:val="left" w:pos="1177"/>
        </w:tabs>
        <w:spacing w:after="0"/>
        <w:ind w:firstLine="580"/>
        <w:jc w:val="both"/>
      </w:pPr>
      <w:r>
        <w:t>přenastavení funkčnosti čteček</w:t>
      </w:r>
    </w:p>
    <w:p w:rsidR="007D70BF" w:rsidRDefault="002F101A">
      <w:pPr>
        <w:pStyle w:val="Zkladntext1"/>
        <w:shd w:val="clear" w:color="auto" w:fill="auto"/>
        <w:spacing w:after="0"/>
        <w:ind w:firstLine="580"/>
      </w:pPr>
      <w:r>
        <w:t xml:space="preserve">(viii) </w:t>
      </w:r>
      <w:r w:rsidR="00344CEC">
        <w:t xml:space="preserve">  </w:t>
      </w:r>
      <w:r>
        <w:t>provázání s upgrade Vstupenkového systému s Klubem přátel NGP</w:t>
      </w:r>
    </w:p>
    <w:p w:rsidR="007D70BF" w:rsidRDefault="002F101A">
      <w:pPr>
        <w:pStyle w:val="Zkladntext1"/>
        <w:numPr>
          <w:ilvl w:val="0"/>
          <w:numId w:val="4"/>
        </w:numPr>
        <w:shd w:val="clear" w:color="auto" w:fill="auto"/>
        <w:tabs>
          <w:tab w:val="left" w:pos="1177"/>
        </w:tabs>
        <w:spacing w:after="0"/>
        <w:ind w:firstLine="580"/>
      </w:pPr>
      <w:r>
        <w:t>vyladění stati</w:t>
      </w:r>
      <w:r>
        <w:t>stik prodeje / reportingu</w:t>
      </w:r>
    </w:p>
    <w:p w:rsidR="007D70BF" w:rsidRDefault="002F101A">
      <w:pPr>
        <w:pStyle w:val="Zkladntext1"/>
        <w:numPr>
          <w:ilvl w:val="0"/>
          <w:numId w:val="4"/>
        </w:numPr>
        <w:shd w:val="clear" w:color="auto" w:fill="auto"/>
        <w:tabs>
          <w:tab w:val="left" w:pos="1177"/>
        </w:tabs>
        <w:ind w:firstLine="580"/>
        <w:jc w:val="both"/>
      </w:pPr>
      <w:r>
        <w:t>nové napojení na statistiky Múzo</w:t>
      </w:r>
    </w:p>
    <w:p w:rsidR="007D70BF" w:rsidRDefault="002F101A">
      <w:pPr>
        <w:pStyle w:val="Zkladntext1"/>
        <w:numPr>
          <w:ilvl w:val="0"/>
          <w:numId w:val="2"/>
        </w:numPr>
        <w:shd w:val="clear" w:color="auto" w:fill="auto"/>
        <w:tabs>
          <w:tab w:val="left" w:pos="573"/>
        </w:tabs>
        <w:ind w:left="580" w:hanging="580"/>
        <w:jc w:val="both"/>
      </w:pPr>
      <w:r>
        <w:t>Pro vyloučení případných pochybností Zhotovitel tímto potvrzuje, že oprávnění k výkonu práva užít autorské dílo - Vstupenkový systém, upravené v</w:t>
      </w:r>
      <w:r w:rsidR="00344CEC">
        <w:t xml:space="preserve"> </w:t>
      </w:r>
      <w:r>
        <w:t xml:space="preserve">čl. 15 Smlouvy, se v plném rozsahu vztahuje i na </w:t>
      </w:r>
      <w:r>
        <w:t>upgrade Vstupenkového systému (tj. Vstupenkový systém doplněný o časové sloty) dle tohoto Dodatku.</w:t>
      </w:r>
    </w:p>
    <w:p w:rsidR="007D70BF" w:rsidRDefault="002F101A">
      <w:pPr>
        <w:pStyle w:val="Zkladntext1"/>
        <w:numPr>
          <w:ilvl w:val="0"/>
          <w:numId w:val="2"/>
        </w:numPr>
        <w:shd w:val="clear" w:color="auto" w:fill="auto"/>
        <w:tabs>
          <w:tab w:val="left" w:pos="573"/>
        </w:tabs>
        <w:ind w:left="580" w:hanging="580"/>
        <w:jc w:val="both"/>
      </w:pPr>
      <w:r>
        <w:t>Objednatel se zavazuje od Zhotovitele plnění dle tohoto Dodatku převzít a uhradit za podmínek sjednaných v tomto Dodatku dohodnutou cenu.</w:t>
      </w:r>
    </w:p>
    <w:p w:rsidR="00344CEC" w:rsidRDefault="00344CEC" w:rsidP="00344CEC">
      <w:pPr>
        <w:pStyle w:val="Zkladntext1"/>
        <w:shd w:val="clear" w:color="auto" w:fill="auto"/>
        <w:tabs>
          <w:tab w:val="left" w:pos="573"/>
        </w:tabs>
        <w:jc w:val="both"/>
      </w:pPr>
    </w:p>
    <w:p w:rsidR="00344CEC" w:rsidRDefault="00344CEC" w:rsidP="00344CEC">
      <w:pPr>
        <w:pStyle w:val="Zkladntext1"/>
        <w:shd w:val="clear" w:color="auto" w:fill="auto"/>
        <w:tabs>
          <w:tab w:val="left" w:pos="573"/>
        </w:tabs>
        <w:jc w:val="both"/>
      </w:pPr>
    </w:p>
    <w:p w:rsidR="00344CEC" w:rsidRDefault="00344CEC" w:rsidP="00344CEC">
      <w:pPr>
        <w:pStyle w:val="Zkladntext1"/>
        <w:shd w:val="clear" w:color="auto" w:fill="auto"/>
        <w:tabs>
          <w:tab w:val="left" w:pos="573"/>
        </w:tabs>
        <w:jc w:val="both"/>
      </w:pPr>
    </w:p>
    <w:p w:rsidR="007D70BF" w:rsidRDefault="002F101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</w:pPr>
      <w:bookmarkStart w:id="10" w:name="bookmark10"/>
      <w:bookmarkStart w:id="11" w:name="bookmark11"/>
      <w:r>
        <w:lastRenderedPageBreak/>
        <w:t>ODDÍL - DOBA PLNĚNÍ</w:t>
      </w:r>
      <w:r>
        <w:t>, PŘEDÁNÍ A PŘEVZETÍ PLNĚNÍ</w:t>
      </w:r>
      <w:bookmarkEnd w:id="10"/>
      <w:bookmarkEnd w:id="11"/>
    </w:p>
    <w:p w:rsidR="007D70BF" w:rsidRDefault="002F101A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ind w:left="720" w:hanging="720"/>
        <w:jc w:val="both"/>
      </w:pPr>
      <w:r>
        <w:t xml:space="preserve">Zhotovitel se zavazuje poskytnout Objednateli část plnění dle Oddílu 2 tohoto Dodatku, spočívající v doplnění časových slotů (tj. den a čas) pro prodej Vstupenek realizovaný prostřednictvím Vstupenkového systému na akci Objednatele - </w:t>
      </w:r>
      <w:r>
        <w:rPr>
          <w:lang w:val="en-US" w:eastAsia="en-US" w:bidi="en-US"/>
        </w:rPr>
        <w:t xml:space="preserve">Rembrandt: </w:t>
      </w:r>
      <w:r>
        <w:t>Portrét člo</w:t>
      </w:r>
      <w:r>
        <w:t xml:space="preserve">věka, která aktuálně probíhá v Paláci Kinských, a to nejpozději do </w:t>
      </w:r>
      <w:r>
        <w:rPr>
          <w:b/>
          <w:bCs/>
        </w:rPr>
        <w:t>23.1.2021,</w:t>
      </w:r>
    </w:p>
    <w:p w:rsidR="007D70BF" w:rsidRDefault="002F101A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720" w:hanging="720"/>
        <w:jc w:val="both"/>
      </w:pPr>
      <w:r>
        <w:t xml:space="preserve">Zhotovitel je povinen poskytnout kompletní plnění dle Oddílu 2. tohoto Dodatku (dále též jako </w:t>
      </w:r>
      <w:r>
        <w:rPr>
          <w:b/>
          <w:bCs/>
        </w:rPr>
        <w:t xml:space="preserve">„Plnění“) </w:t>
      </w:r>
      <w:r>
        <w:t xml:space="preserve">nejpozději do </w:t>
      </w:r>
      <w:r>
        <w:rPr>
          <w:b/>
          <w:bCs/>
        </w:rPr>
        <w:t xml:space="preserve">30. 6. 2021. O </w:t>
      </w:r>
      <w:r>
        <w:t>předání Plnění bude sepsán předávací protokol</w:t>
      </w:r>
      <w:r>
        <w:t>.</w:t>
      </w:r>
    </w:p>
    <w:p w:rsidR="007D70BF" w:rsidRDefault="002F101A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720" w:hanging="720"/>
        <w:jc w:val="both"/>
      </w:pPr>
      <w:r>
        <w:t>Po předání Plnění běží Objednateli lhůta 30 dnů na ověření a prozkoušení všech funkcionalit a jeho akceptaci formou akceptačního protokolu. V této lhůtě sdělí Objednatel Zhotoviteli, zda Plnění akceptuje bez vad nebo mu vytýká vady nebo zda akceptaci odm</w:t>
      </w:r>
      <w:r>
        <w:t xml:space="preserve">ítá. Rozhodne-li se Objednatel Plnění převzít s drobnými vadami, které nebrání jeho užití, bude v akceptačním protokolu uvedena lhůta pro jejich odstranění. Odstranění případných vad bude Smluvními stranami potvrzeno v akceptačním protokolu u jednotlivých </w:t>
      </w:r>
      <w:r>
        <w:t>vytčených vad.</w:t>
      </w:r>
    </w:p>
    <w:p w:rsidR="007D70BF" w:rsidRDefault="002F101A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720" w:hanging="720"/>
        <w:jc w:val="both"/>
      </w:pPr>
      <w:r>
        <w:t>Objednatel je oprávněn odmítnout akceptovat Plnění, pokud Plnění nebude z hlediska obsahu nebo funkčních vlastností odpovídat předmětu tohoto Dodatku. V takovém případě se Smluvní strany dohodnou na náhradním termínu předání Plnění. Lhůta pr</w:t>
      </w:r>
      <w:r>
        <w:t>o předání upraveného Plnění Objednateli bude stanovena primárně dohodou obou Smluvních stran nebo, nedohodnou - li se Smluvní strany jinak, je touto lhůtou lhůta obvyklá v délce 10 pracovních dnů a počíná běžet ode dne doručení odmítnutí akceptace Plnění (</w:t>
      </w:r>
      <w:r>
        <w:t>formou akceptačního protokolu) Zhotoviteli. Od předání upraveného Plnění běží Objednateli nová lhůta k akceptaci.</w:t>
      </w:r>
    </w:p>
    <w:p w:rsidR="007D70BF" w:rsidRDefault="002F101A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720" w:hanging="720"/>
        <w:jc w:val="both"/>
      </w:pPr>
      <w:r>
        <w:t>Proces akceptace končí až vystavením akceptačního protokolu, ve kterém bude Plnění akceptováno Objednatelem bez výhrad nebo ve kterém bylo Obj</w:t>
      </w:r>
      <w:r>
        <w:t>ednatelem potvrzeno odstranění vytčených drobných vad.</w:t>
      </w:r>
    </w:p>
    <w:p w:rsidR="007D70BF" w:rsidRDefault="002F101A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spacing w:after="480"/>
        <w:ind w:left="720" w:hanging="720"/>
        <w:jc w:val="both"/>
      </w:pPr>
      <w:r>
        <w:t>V případě plnění poskytovaného formou školení pracovníků Objednatele bude toto plnění akceptováno, resp. potvrzeno po řádném provedení školení protokolem o provedení školení, který bude obsahovat speci</w:t>
      </w:r>
      <w:r>
        <w:t>fikaci předmětu školení, určení účastníků školení, datum uskutečnění školení a podpisy oprávněných osob.</w:t>
      </w:r>
    </w:p>
    <w:p w:rsidR="007D70BF" w:rsidRDefault="002F101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</w:pPr>
      <w:bookmarkStart w:id="12" w:name="bookmark12"/>
      <w:bookmarkStart w:id="13" w:name="bookmark13"/>
      <w:r>
        <w:t>ODDÍL - CENA A PLATEBNÍ PODMÍNKY</w:t>
      </w:r>
      <w:bookmarkEnd w:id="12"/>
      <w:bookmarkEnd w:id="13"/>
    </w:p>
    <w:p w:rsidR="007D70BF" w:rsidRDefault="002F101A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ind w:left="720" w:hanging="720"/>
        <w:jc w:val="both"/>
      </w:pPr>
      <w:r>
        <w:t xml:space="preserve">Celková cena za poskytnutí Plnění dle tohoto Dodatku byla Smluvními stranami sjednána ve výši </w:t>
      </w:r>
      <w:r>
        <w:rPr>
          <w:b/>
          <w:bCs/>
        </w:rPr>
        <w:t xml:space="preserve">385.000,- Kč </w:t>
      </w:r>
      <w:r>
        <w:t>(slovy: tři</w:t>
      </w:r>
      <w:r>
        <w:t>staosmdesátpěttisíc korun českých) bez DPH.</w:t>
      </w:r>
    </w:p>
    <w:p w:rsidR="007D70BF" w:rsidRDefault="002F101A">
      <w:pPr>
        <w:pStyle w:val="Zkladntext1"/>
        <w:numPr>
          <w:ilvl w:val="0"/>
          <w:numId w:val="6"/>
        </w:numPr>
        <w:shd w:val="clear" w:color="auto" w:fill="auto"/>
        <w:tabs>
          <w:tab w:val="left" w:pos="714"/>
        </w:tabs>
        <w:ind w:left="720" w:hanging="720"/>
        <w:jc w:val="both"/>
      </w:pPr>
      <w:r>
        <w:t>Celková cena dle čl. 4.1. Smlouvy je cenou konečnou a zahrnuje i odměnu za veškeré plnění, nebo jeho část, poskytnutého v rámci poskytování souvisejících a dodatečných služeb v rozsahu tohoto Dodatku a Smlouvy.</w:t>
      </w:r>
    </w:p>
    <w:p w:rsidR="007D70BF" w:rsidRDefault="002F101A">
      <w:pPr>
        <w:pStyle w:val="Zkladntext1"/>
        <w:numPr>
          <w:ilvl w:val="0"/>
          <w:numId w:val="6"/>
        </w:numPr>
        <w:shd w:val="clear" w:color="auto" w:fill="auto"/>
        <w:tabs>
          <w:tab w:val="left" w:pos="714"/>
        </w:tabs>
        <w:ind w:left="720" w:hanging="720"/>
        <w:jc w:val="both"/>
      </w:pPr>
      <w:r>
        <w:t>Cena bude Objednatelem uhrazena na základě faktury vystavené Zhotovitelem po podpisu akceptačního protokolu. Faktura bude vystavena v souladu se zák. č. 563/1991 Sb., o účetnictví a zák. č. 235/2004 Sb., o dani z přidané hodnoty, ve znění pozdějších předpi</w:t>
      </w:r>
      <w:r>
        <w:t xml:space="preserve">sů. Lhůta splatnosti je 30 dnů ode dne doručení faktury Objednateli. V případě, že faktura nebude mít odpovídající náležitosti ve smyslu platných právních předpisů, je Objednatel oprávněn zaslat ji ve lhůtě splatnosti zpět Zhotoviteli, aniž se tak dostane </w:t>
      </w:r>
      <w:r>
        <w:t xml:space="preserve">do prodlení se splatností; lhůta splatnosti počíná běžet od opětovného doručení doplněného či opraveného dokladu. Zhotovitel fakturu zašle v elektronické podobě na adresu: </w:t>
      </w:r>
      <w:hyperlink r:id="rId7" w:history="1">
        <w:r>
          <w:rPr>
            <w:color w:val="517FC2"/>
            <w:u w:val="single"/>
            <w:lang w:val="en-US" w:eastAsia="en-US" w:bidi="en-US"/>
          </w:rPr>
          <w:t>faktury@nqpraque.cz</w:t>
        </w:r>
      </w:hyperlink>
      <w:r>
        <w:rPr>
          <w:color w:val="517FC2"/>
          <w:lang w:val="en-US" w:eastAsia="en-US" w:bidi="en-US"/>
        </w:rPr>
        <w:t>.</w:t>
      </w:r>
    </w:p>
    <w:p w:rsidR="007D70BF" w:rsidRDefault="002F101A">
      <w:pPr>
        <w:pStyle w:val="Zkladntext1"/>
        <w:numPr>
          <w:ilvl w:val="0"/>
          <w:numId w:val="6"/>
        </w:numPr>
        <w:shd w:val="clear" w:color="auto" w:fill="auto"/>
        <w:tabs>
          <w:tab w:val="left" w:pos="718"/>
        </w:tabs>
        <w:spacing w:after="480"/>
        <w:ind w:left="720" w:hanging="720"/>
        <w:jc w:val="both"/>
      </w:pPr>
      <w:r>
        <w:lastRenderedPageBreak/>
        <w:t xml:space="preserve">Úhrada bude provedena </w:t>
      </w:r>
      <w:r>
        <w:t>bezhotovostním převodem na účet Zhotovitele uvedený v záhlaví tohoto Dodatku. Platba se považuje za uhrazenou okamžikem jejího připsání na účet Zhotovitele.</w:t>
      </w:r>
    </w:p>
    <w:p w:rsidR="007D70BF" w:rsidRDefault="002F101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3"/>
        </w:tabs>
      </w:pPr>
      <w:bookmarkStart w:id="14" w:name="bookmark14"/>
      <w:bookmarkStart w:id="15" w:name="bookmark15"/>
      <w:r>
        <w:t>ODDÍL - PRÁVA A POVINNOSTI SMLUVNÍCH STRAN</w:t>
      </w:r>
      <w:bookmarkEnd w:id="14"/>
      <w:bookmarkEnd w:id="15"/>
    </w:p>
    <w:p w:rsidR="007D70BF" w:rsidRDefault="002F101A">
      <w:pPr>
        <w:pStyle w:val="Zkladntext1"/>
        <w:numPr>
          <w:ilvl w:val="0"/>
          <w:numId w:val="7"/>
        </w:numPr>
        <w:shd w:val="clear" w:color="auto" w:fill="auto"/>
        <w:tabs>
          <w:tab w:val="left" w:pos="718"/>
        </w:tabs>
        <w:ind w:left="720" w:hanging="720"/>
        <w:jc w:val="both"/>
      </w:pPr>
      <w:r>
        <w:t>Zhotovitel se zavazuje provést Plnění dle tohoto Dodatku</w:t>
      </w:r>
      <w:r>
        <w:t xml:space="preserve"> na své nebezpečí, řádně a včas. Při plnění tohoto Dodatku je povinen postupovat v úzké součinnosti s Objednatelem.</w:t>
      </w:r>
    </w:p>
    <w:p w:rsidR="007D70BF" w:rsidRDefault="002F101A">
      <w:pPr>
        <w:pStyle w:val="Zkladntext1"/>
        <w:numPr>
          <w:ilvl w:val="0"/>
          <w:numId w:val="7"/>
        </w:numPr>
        <w:shd w:val="clear" w:color="auto" w:fill="auto"/>
        <w:tabs>
          <w:tab w:val="left" w:pos="718"/>
        </w:tabs>
        <w:ind w:left="720" w:hanging="720"/>
        <w:jc w:val="both"/>
      </w:pPr>
      <w:r>
        <w:t>Zhotovitel se zavazuje neprodleně oznámit písemnou formou Objednateli překážky, které mu brání v plnění předmětu tohoto Dodatku a výkonu dal</w:t>
      </w:r>
      <w:r>
        <w:t>ších činností souvisejících s plněním předmětu Dodatku.</w:t>
      </w:r>
    </w:p>
    <w:p w:rsidR="007D70BF" w:rsidRDefault="002F101A">
      <w:pPr>
        <w:pStyle w:val="Zkladntext1"/>
        <w:numPr>
          <w:ilvl w:val="0"/>
          <w:numId w:val="7"/>
        </w:numPr>
        <w:shd w:val="clear" w:color="auto" w:fill="auto"/>
        <w:tabs>
          <w:tab w:val="left" w:pos="718"/>
        </w:tabs>
        <w:ind w:left="720" w:hanging="720"/>
        <w:jc w:val="both"/>
      </w:pPr>
      <w:r>
        <w:t>Objednatel se zavazuje poskytnout Zhotoviteli potřebnou součinnost a poskytnout Zhotoviteli veškeré informace a materiály, které jsou nutné a potřebné k plnění tohoto Dodatku.</w:t>
      </w:r>
    </w:p>
    <w:p w:rsidR="007D70BF" w:rsidRDefault="002F101A">
      <w:pPr>
        <w:pStyle w:val="Zkladntext1"/>
        <w:numPr>
          <w:ilvl w:val="0"/>
          <w:numId w:val="7"/>
        </w:numPr>
        <w:shd w:val="clear" w:color="auto" w:fill="auto"/>
        <w:tabs>
          <w:tab w:val="left" w:pos="718"/>
        </w:tabs>
        <w:spacing w:after="480"/>
        <w:ind w:left="720" w:hanging="720"/>
        <w:jc w:val="both"/>
      </w:pPr>
      <w:r>
        <w:t xml:space="preserve">Objednatelem poskytnuté </w:t>
      </w:r>
      <w:r>
        <w:t>informace a materiály se považují za technickou a administrativní pomoc k tvorbě dokumentace a implementaci upraveného Vstupenkového systému, přičemž předmětné poskytnutí není považováno za spoluautorství ve smyslu ustanovení § 8 zákona č. 121/2000 Sb., au</w:t>
      </w:r>
      <w:r>
        <w:t>torského zákona, ve znění pozdějších předpisů. Zhotovitel není oprávněn tyto informace a materiály využít jinak, než pro účely plnění dle tohoto Dodatku.</w:t>
      </w:r>
    </w:p>
    <w:p w:rsidR="007D70BF" w:rsidRDefault="002F101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3"/>
        </w:tabs>
      </w:pPr>
      <w:bookmarkStart w:id="16" w:name="bookmark16"/>
      <w:bookmarkStart w:id="17" w:name="bookmark17"/>
      <w:r>
        <w:t>ODDÍL - ZÁVAZEK K UZAVŘENÍ BUDOUCÍ SMLOUVY</w:t>
      </w:r>
      <w:bookmarkEnd w:id="16"/>
      <w:bookmarkEnd w:id="17"/>
    </w:p>
    <w:p w:rsidR="007D70BF" w:rsidRDefault="002F101A">
      <w:pPr>
        <w:pStyle w:val="Zkladntext1"/>
        <w:numPr>
          <w:ilvl w:val="0"/>
          <w:numId w:val="8"/>
        </w:numPr>
        <w:shd w:val="clear" w:color="auto" w:fill="auto"/>
        <w:tabs>
          <w:tab w:val="left" w:pos="718"/>
        </w:tabs>
        <w:ind w:left="720" w:hanging="720"/>
        <w:jc w:val="both"/>
      </w:pPr>
      <w:r>
        <w:t xml:space="preserve">Zhotovitel se podpisem tohoto Dodatku zavazuje uzavřít s Objednatelem novou smlouvu o spolupráci (dále jen </w:t>
      </w:r>
      <w:r>
        <w:rPr>
          <w:b/>
          <w:bCs/>
        </w:rPr>
        <w:t xml:space="preserve">„Budoucí smlouva“), </w:t>
      </w:r>
      <w:r>
        <w:t>která bude navazovat na spolupráci Smluvních stran upravenou Smlouvou.</w:t>
      </w:r>
    </w:p>
    <w:p w:rsidR="007D70BF" w:rsidRDefault="002F101A">
      <w:pPr>
        <w:pStyle w:val="Zkladntext1"/>
        <w:numPr>
          <w:ilvl w:val="0"/>
          <w:numId w:val="8"/>
        </w:numPr>
        <w:shd w:val="clear" w:color="auto" w:fill="auto"/>
        <w:tabs>
          <w:tab w:val="left" w:pos="718"/>
        </w:tabs>
        <w:ind w:left="720" w:hanging="720"/>
        <w:jc w:val="both"/>
      </w:pPr>
      <w:r>
        <w:t>Budoucí smlouvu je Zhotovitel povinen uzavřít na základě v</w:t>
      </w:r>
      <w:r>
        <w:t xml:space="preserve">ýzvy Objednatele, nejpozději do </w:t>
      </w:r>
      <w:r>
        <w:rPr>
          <w:b/>
          <w:bCs/>
        </w:rPr>
        <w:t>14. 5. 2021 s tím, že Budoucí smlouva nabude účinnosti den následující po dni, kdy dojde k ukončení platnosti a účinnosti Smlouvy.</w:t>
      </w:r>
    </w:p>
    <w:p w:rsidR="007D70BF" w:rsidRDefault="002F101A">
      <w:pPr>
        <w:pStyle w:val="Zkladntext1"/>
        <w:numPr>
          <w:ilvl w:val="0"/>
          <w:numId w:val="8"/>
        </w:numPr>
        <w:shd w:val="clear" w:color="auto" w:fill="auto"/>
        <w:tabs>
          <w:tab w:val="left" w:pos="718"/>
        </w:tabs>
        <w:ind w:left="720" w:hanging="720"/>
        <w:jc w:val="both"/>
      </w:pPr>
      <w:r>
        <w:t>Předmětem Budoucí smlouvy bude závazek Zhotovitele poskytovat Objednateli služby spojené s pr</w:t>
      </w:r>
      <w:r>
        <w:t>ovozem, údržbou a implementací Vstupenkového systému tak, aby byly zajištěny veškeré jeho funkcionality definované ve Smlouvě a v Dodatku, a jeho řádný provoz a údržba (tj. zejména, nikoliv však výlučně, povinnost Zhotovitele zajistit pro Objednatele údržb</w:t>
      </w:r>
      <w:r>
        <w:t>u pokladního systému, údržbu datového rozhraní do ekonomického sytému, implementaci ceníku vstupného, servis a údržbu aplikace). Předmětem Budoucí smlouvy bude též závazek Zhotovitel poskytnout Objednateli licenci k využití software Vstupenkového systému.</w:t>
      </w:r>
    </w:p>
    <w:p w:rsidR="007D70BF" w:rsidRDefault="002F101A">
      <w:pPr>
        <w:pStyle w:val="Zkladntext1"/>
        <w:numPr>
          <w:ilvl w:val="0"/>
          <w:numId w:val="8"/>
        </w:numPr>
        <w:shd w:val="clear" w:color="auto" w:fill="auto"/>
        <w:tabs>
          <w:tab w:val="left" w:pos="718"/>
        </w:tabs>
        <w:jc w:val="both"/>
      </w:pPr>
      <w:r>
        <w:t>Budoucí smlouva bude uzavřena na dobu určitou, a to 4 (čtyři) roky.</w:t>
      </w:r>
    </w:p>
    <w:p w:rsidR="007D70BF" w:rsidRDefault="002F101A">
      <w:pPr>
        <w:pStyle w:val="Zkladntext1"/>
        <w:numPr>
          <w:ilvl w:val="0"/>
          <w:numId w:val="8"/>
        </w:numPr>
        <w:shd w:val="clear" w:color="auto" w:fill="auto"/>
        <w:tabs>
          <w:tab w:val="left" w:pos="718"/>
        </w:tabs>
        <w:ind w:left="720" w:hanging="720"/>
        <w:jc w:val="both"/>
      </w:pPr>
      <w:r>
        <w:t>Odměna Zhotovitele za veškerá plnění poskytnutá na základě Budoucí smlouvy nepřesáhne částku ve výši 822.800,- Kč (slovy: osmsetdvacetdvatisícosmset korun českých) včetně DPH.</w:t>
      </w:r>
      <w:r>
        <w:br w:type="page"/>
      </w:r>
    </w:p>
    <w:p w:rsidR="007D70BF" w:rsidRDefault="002F101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</w:pPr>
      <w:bookmarkStart w:id="18" w:name="bookmark18"/>
      <w:bookmarkStart w:id="19" w:name="bookmark19"/>
      <w:r>
        <w:lastRenderedPageBreak/>
        <w:t>ODDÍL - ZÁV</w:t>
      </w:r>
      <w:r>
        <w:t>ĚREČNÁ USTANOVENÍ</w:t>
      </w:r>
      <w:bookmarkEnd w:id="18"/>
      <w:bookmarkEnd w:id="19"/>
    </w:p>
    <w:p w:rsidR="007D70BF" w:rsidRDefault="002F101A">
      <w:pPr>
        <w:pStyle w:val="Zkladntext1"/>
        <w:numPr>
          <w:ilvl w:val="0"/>
          <w:numId w:val="9"/>
        </w:numPr>
        <w:shd w:val="clear" w:color="auto" w:fill="auto"/>
        <w:tabs>
          <w:tab w:val="left" w:pos="709"/>
        </w:tabs>
        <w:ind w:left="720" w:hanging="720"/>
        <w:jc w:val="both"/>
      </w:pPr>
      <w:r>
        <w:t xml:space="preserve">Tento Dodatek nabývá platnosti dnem podpisu oběma Smluvními stranami, účinnosti nabývá dnem uveřejnění v registru smluv dle zákona č. 340/2015 Sb., zákon o zvláštních podmínkách účinnosti některých smluv, uveřejňování těchto smluv </w:t>
      </w:r>
      <w:r>
        <w:rPr>
          <w:i/>
          <w:iCs/>
        </w:rPr>
        <w:t xml:space="preserve">a </w:t>
      </w:r>
      <w:r>
        <w:t>o reg</w:t>
      </w:r>
      <w:r>
        <w:t>istru smluv (zákon o registru smluv).</w:t>
      </w:r>
    </w:p>
    <w:p w:rsidR="007D70BF" w:rsidRDefault="002F101A">
      <w:pPr>
        <w:pStyle w:val="Zkladntext1"/>
        <w:numPr>
          <w:ilvl w:val="0"/>
          <w:numId w:val="9"/>
        </w:numPr>
        <w:shd w:val="clear" w:color="auto" w:fill="auto"/>
        <w:tabs>
          <w:tab w:val="left" w:pos="709"/>
        </w:tabs>
        <w:ind w:left="720" w:hanging="720"/>
        <w:jc w:val="both"/>
      </w:pPr>
      <w:r>
        <w:t>Smluvní strany sjednávají, že uveřejnění Dodatku provede Objednatel. Obě strany berou na vědomí, že nebudou uveřejněny pouze ty informace, které nelze poskytnout podle předpisů upravujících svobodný přístup k informací</w:t>
      </w:r>
      <w:r>
        <w:t>m. Považuje-li Zhotovitel některé informace uvedené v tomto Dodatku za informace, které nemohou být uveřejněny v registru smluv dle zákona o registru smluv, je povinen na to Objednatele současně s uzavřením tohoto Dodatku písemně upozornit.</w:t>
      </w:r>
    </w:p>
    <w:p w:rsidR="007D70BF" w:rsidRDefault="002F101A">
      <w:pPr>
        <w:pStyle w:val="Zkladntext1"/>
        <w:numPr>
          <w:ilvl w:val="0"/>
          <w:numId w:val="9"/>
        </w:numPr>
        <w:shd w:val="clear" w:color="auto" w:fill="auto"/>
        <w:tabs>
          <w:tab w:val="left" w:pos="709"/>
        </w:tabs>
        <w:ind w:left="720" w:hanging="720"/>
        <w:jc w:val="both"/>
      </w:pPr>
      <w:r>
        <w:t>Zhotovitel není</w:t>
      </w:r>
      <w:r>
        <w:t xml:space="preserve"> oprávněn postoupit peněžité nároky vůči Objednateli na třetí osobu bez předchozího písemného souhlasu Objednatele.</w:t>
      </w:r>
    </w:p>
    <w:p w:rsidR="007D70BF" w:rsidRDefault="002F101A">
      <w:pPr>
        <w:pStyle w:val="Zkladntext1"/>
        <w:numPr>
          <w:ilvl w:val="0"/>
          <w:numId w:val="9"/>
        </w:numPr>
        <w:shd w:val="clear" w:color="auto" w:fill="auto"/>
        <w:tabs>
          <w:tab w:val="left" w:pos="709"/>
        </w:tabs>
        <w:ind w:left="720" w:hanging="720"/>
        <w:jc w:val="both"/>
      </w:pPr>
      <w:r>
        <w:t>Smluvní strany podpisem tohoto Dodatku stvrzují, že jeho obsah podrobně znají a souhlasí s ním. Dodatek představuje dohodu Smluvních stran o</w:t>
      </w:r>
      <w:r>
        <w:t xml:space="preserve"> celém jeho obsahu, stranám je srozumitelný a byl podepsán svobodně a vážně.</w:t>
      </w:r>
    </w:p>
    <w:p w:rsidR="007D70BF" w:rsidRDefault="002F101A">
      <w:pPr>
        <w:pStyle w:val="Zkladntext1"/>
        <w:numPr>
          <w:ilvl w:val="0"/>
          <w:numId w:val="9"/>
        </w:numPr>
        <w:shd w:val="clear" w:color="auto" w:fill="auto"/>
        <w:tabs>
          <w:tab w:val="left" w:pos="709"/>
        </w:tabs>
        <w:ind w:left="720" w:hanging="720"/>
        <w:jc w:val="both"/>
      </w:pPr>
      <w:r>
        <w:t>Ve věcech výslovně neupravených tímto Dodatek se práva a povinnosti Smluvních stran řídí Smlouvou.</w:t>
      </w:r>
    </w:p>
    <w:p w:rsidR="007D70BF" w:rsidRDefault="002F101A">
      <w:pPr>
        <w:pStyle w:val="Zkladntext1"/>
        <w:numPr>
          <w:ilvl w:val="0"/>
          <w:numId w:val="9"/>
        </w:numPr>
        <w:shd w:val="clear" w:color="auto" w:fill="auto"/>
        <w:tabs>
          <w:tab w:val="left" w:pos="709"/>
        </w:tabs>
        <w:spacing w:after="340"/>
        <w:ind w:left="720" w:hanging="720"/>
        <w:jc w:val="both"/>
      </w:pPr>
      <w:r>
        <w:t xml:space="preserve">Tento Dodatek je vyhotoven ve 2 stejnopisech, z nichž po jednom obdrží každá ze </w:t>
      </w:r>
      <w:r>
        <w:t>Smluvních stran.</w:t>
      </w:r>
    </w:p>
    <w:p w:rsidR="007D70BF" w:rsidRDefault="00344CEC" w:rsidP="00344CEC">
      <w:pPr>
        <w:pStyle w:val="Zkladntext1"/>
        <w:shd w:val="clear" w:color="auto" w:fill="auto"/>
        <w:tabs>
          <w:tab w:val="right" w:leader="dot" w:pos="1834"/>
          <w:tab w:val="left" w:pos="6518"/>
          <w:tab w:val="left" w:leader="dot" w:pos="7056"/>
          <w:tab w:val="left" w:pos="8539"/>
        </w:tabs>
        <w:spacing w:after="0"/>
        <w:sectPr w:rsidR="007D70BF">
          <w:pgSz w:w="11900" w:h="16840"/>
          <w:pgMar w:top="1284" w:right="1256" w:bottom="1638" w:left="1154" w:header="856" w:footer="1210" w:gutter="0"/>
          <w:pgNumType w:start="1"/>
          <w:cols w:space="720"/>
          <w:noEndnote/>
          <w:docGrid w:linePitch="360"/>
        </w:sectPr>
      </w:pPr>
      <w:r>
        <w:t xml:space="preserve">V  ………………… dne:                                                   V Praze   </w:t>
      </w:r>
      <w:r w:rsidR="002F101A">
        <w:t>dne:</w:t>
      </w:r>
      <w:r>
        <w:t xml:space="preserve">    20/1/2021</w:t>
      </w:r>
      <w:r w:rsidR="002F101A">
        <w:tab/>
      </w:r>
    </w:p>
    <w:p w:rsidR="007D70BF" w:rsidRDefault="007D70BF">
      <w:pPr>
        <w:spacing w:line="240" w:lineRule="exact"/>
        <w:rPr>
          <w:sz w:val="19"/>
          <w:szCs w:val="19"/>
        </w:rPr>
      </w:pPr>
    </w:p>
    <w:p w:rsidR="007D70BF" w:rsidRDefault="007D70BF">
      <w:pPr>
        <w:spacing w:line="240" w:lineRule="exact"/>
        <w:rPr>
          <w:sz w:val="19"/>
          <w:szCs w:val="19"/>
        </w:rPr>
      </w:pPr>
    </w:p>
    <w:p w:rsidR="007D70BF" w:rsidRDefault="007D70BF">
      <w:pPr>
        <w:spacing w:before="29" w:after="29" w:line="240" w:lineRule="exact"/>
        <w:rPr>
          <w:sz w:val="19"/>
          <w:szCs w:val="19"/>
        </w:rPr>
      </w:pPr>
    </w:p>
    <w:p w:rsidR="007D70BF" w:rsidRDefault="007D70BF">
      <w:pPr>
        <w:spacing w:line="1" w:lineRule="exact"/>
        <w:sectPr w:rsidR="007D70BF">
          <w:type w:val="continuous"/>
          <w:pgSz w:w="11900" w:h="16840"/>
          <w:pgMar w:top="1554" w:right="0" w:bottom="1554" w:left="0" w:header="0" w:footer="3" w:gutter="0"/>
          <w:cols w:space="720"/>
          <w:noEndnote/>
          <w:docGrid w:linePitch="360"/>
        </w:sectPr>
      </w:pPr>
    </w:p>
    <w:p w:rsidR="007D70BF" w:rsidRDefault="00344CEC" w:rsidP="00344CEC">
      <w:pPr>
        <w:pStyle w:val="Titulekobrzku0"/>
        <w:framePr w:w="6224" w:h="314" w:wrap="none" w:vAnchor="text" w:hAnchor="page" w:x="1253" w:y="24"/>
        <w:shd w:val="clear" w:color="auto" w:fill="auto"/>
        <w:jc w:val="left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01A">
        <w:t>Zhotovitel:</w:t>
      </w:r>
    </w:p>
    <w:p w:rsidR="00344CEC" w:rsidRDefault="00344CEC">
      <w:pPr>
        <w:spacing w:line="360" w:lineRule="exact"/>
        <w:rPr>
          <w:noProof/>
          <w:lang w:bidi="ar-SA"/>
        </w:rPr>
      </w:pPr>
    </w:p>
    <w:p w:rsidR="007D70BF" w:rsidRDefault="007D70BF">
      <w:pPr>
        <w:spacing w:line="360" w:lineRule="exact"/>
      </w:pPr>
    </w:p>
    <w:p w:rsidR="007D70BF" w:rsidRDefault="007D70BF">
      <w:pPr>
        <w:spacing w:line="360" w:lineRule="exact"/>
      </w:pPr>
    </w:p>
    <w:p w:rsidR="007D70BF" w:rsidRDefault="007D70BF">
      <w:pPr>
        <w:spacing w:line="360" w:lineRule="exact"/>
      </w:pPr>
    </w:p>
    <w:p w:rsidR="007D70BF" w:rsidRDefault="007D70BF">
      <w:pPr>
        <w:spacing w:line="360" w:lineRule="exact"/>
      </w:pPr>
    </w:p>
    <w:p w:rsidR="007D70BF" w:rsidRDefault="007D70BF">
      <w:pPr>
        <w:spacing w:line="360" w:lineRule="exact"/>
      </w:pPr>
      <w:bookmarkStart w:id="20" w:name="_GoBack"/>
      <w:bookmarkEnd w:id="20"/>
    </w:p>
    <w:p w:rsidR="007D70BF" w:rsidRDefault="007D70BF">
      <w:pPr>
        <w:spacing w:line="360" w:lineRule="exact"/>
      </w:pPr>
    </w:p>
    <w:p w:rsidR="007D70BF" w:rsidRDefault="007D70BF">
      <w:pPr>
        <w:spacing w:after="364" w:line="1" w:lineRule="exact"/>
      </w:pPr>
    </w:p>
    <w:p w:rsidR="007D70BF" w:rsidRDefault="007D70BF">
      <w:pPr>
        <w:spacing w:line="1" w:lineRule="exact"/>
      </w:pPr>
    </w:p>
    <w:sectPr w:rsidR="007D70BF">
      <w:type w:val="continuous"/>
      <w:pgSz w:w="11900" w:h="16840"/>
      <w:pgMar w:top="1554" w:right="1273" w:bottom="1554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1A" w:rsidRDefault="002F101A">
      <w:r>
        <w:separator/>
      </w:r>
    </w:p>
  </w:endnote>
  <w:endnote w:type="continuationSeparator" w:id="0">
    <w:p w:rsidR="002F101A" w:rsidRDefault="002F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1A" w:rsidRDefault="002F101A"/>
  </w:footnote>
  <w:footnote w:type="continuationSeparator" w:id="0">
    <w:p w:rsidR="002F101A" w:rsidRDefault="002F10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229"/>
    <w:multiLevelType w:val="multilevel"/>
    <w:tmpl w:val="5E60F264"/>
    <w:lvl w:ilvl="0">
      <w:start w:val="9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61B4F"/>
    <w:multiLevelType w:val="multilevel"/>
    <w:tmpl w:val="D2AA710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7142A"/>
    <w:multiLevelType w:val="multilevel"/>
    <w:tmpl w:val="7CAC623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9395F"/>
    <w:multiLevelType w:val="multilevel"/>
    <w:tmpl w:val="4900F98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637F3"/>
    <w:multiLevelType w:val="multilevel"/>
    <w:tmpl w:val="32A0B5B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820339"/>
    <w:multiLevelType w:val="multilevel"/>
    <w:tmpl w:val="AC5820FC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070FE0"/>
    <w:multiLevelType w:val="multilevel"/>
    <w:tmpl w:val="934AF00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7A2DB4"/>
    <w:multiLevelType w:val="multilevel"/>
    <w:tmpl w:val="282EC266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410B5B"/>
    <w:multiLevelType w:val="multilevel"/>
    <w:tmpl w:val="83C4662C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F"/>
    <w:rsid w:val="002F101A"/>
    <w:rsid w:val="00344CEC"/>
    <w:rsid w:val="006D4AAC"/>
    <w:rsid w:val="007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017F"/>
  <w15:docId w15:val="{3B38C0F3-6F4E-406E-9163-F705437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1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qpraq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1646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Skopirka1.V21012813130</dc:title>
  <dc:subject/>
  <dc:creator/>
  <cp:keywords/>
  <cp:lastModifiedBy>Zdenka Šímová</cp:lastModifiedBy>
  <cp:revision>3</cp:revision>
  <dcterms:created xsi:type="dcterms:W3CDTF">2021-01-29T08:32:00Z</dcterms:created>
  <dcterms:modified xsi:type="dcterms:W3CDTF">2021-01-29T08:42:00Z</dcterms:modified>
</cp:coreProperties>
</file>