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120" w:after="0"/>
        <w:jc w:val="center"/>
        <w:rPr>
          <w:rFonts w:ascii="Arial" w:hAnsi="Arial" w:cs="Arial"/>
          <w:b/>
          <w:b/>
          <w:sz w:val="36"/>
          <w:szCs w:val="36"/>
        </w:rPr>
      </w:pPr>
      <w:r>
        <w:rPr>
          <w:rFonts w:cs="Arial" w:ascii="Arial" w:hAnsi="Arial"/>
          <w:b/>
          <w:sz w:val="36"/>
          <w:szCs w:val="36"/>
        </w:rPr>
        <w:t>Smlouva o nájmu plynárenského zařízení</w:t>
      </w:r>
    </w:p>
    <w:p>
      <w:pPr>
        <w:pStyle w:val="Normal"/>
        <w:spacing w:lineRule="auto" w:line="360" w:before="120" w:after="0"/>
        <w:jc w:val="center"/>
        <w:rPr>
          <w:rFonts w:ascii="Arial" w:hAnsi="Arial" w:cs="Arial"/>
          <w:b/>
          <w:b/>
          <w:sz w:val="36"/>
          <w:szCs w:val="36"/>
        </w:rPr>
      </w:pPr>
      <w:r>
        <w:rPr>
          <w:rFonts w:cs="Arial" w:ascii="Arial" w:hAnsi="Arial"/>
          <w:b/>
        </w:rPr>
        <w:t>číslo smlouvy: 9414003729/180571</w:t>
      </w:r>
      <w:r>
        <w:rPr>
          <w:rFonts w:cs="Arial" w:ascii="Arial" w:hAnsi="Arial"/>
          <w:b/>
          <w:sz w:val="36"/>
          <w:szCs w:val="36"/>
        </w:rPr>
        <w:t xml:space="preserve"> </w:t>
      </w:r>
    </w:p>
    <w:p>
      <w:pPr>
        <w:pStyle w:val="Normal"/>
        <w:tabs>
          <w:tab w:val="clear" w:pos="708"/>
          <w:tab w:val="left" w:pos="2127" w:leader="none"/>
        </w:tabs>
        <w:rPr>
          <w:rFonts w:ascii="Arial" w:hAnsi="Arial" w:cs="Arial"/>
          <w:b/>
          <w:b/>
          <w:bCs/>
          <w:sz w:val="22"/>
          <w:szCs w:val="22"/>
        </w:rPr>
      </w:pPr>
      <w:r>
        <w:rPr>
          <w:rFonts w:cs="Arial" w:ascii="Arial" w:hAnsi="Arial"/>
          <w:b/>
          <w:bCs/>
          <w:sz w:val="22"/>
          <w:szCs w:val="22"/>
        </w:rPr>
      </w:r>
    </w:p>
    <w:p>
      <w:pPr>
        <w:pStyle w:val="Normal"/>
        <w:tabs>
          <w:tab w:val="clear" w:pos="708"/>
          <w:tab w:val="left" w:pos="2127" w:leader="none"/>
        </w:tabs>
        <w:rPr>
          <w:rFonts w:ascii="Arial" w:hAnsi="Arial" w:cs="Arial"/>
          <w:b/>
          <w:b/>
          <w:bCs/>
          <w:sz w:val="22"/>
          <w:szCs w:val="22"/>
        </w:rPr>
      </w:pPr>
      <w:r>
        <w:rPr>
          <w:rFonts w:cs="Arial" w:ascii="Arial" w:hAnsi="Arial"/>
          <w:b/>
          <w:bCs/>
          <w:sz w:val="22"/>
          <w:szCs w:val="22"/>
        </w:rPr>
      </w:r>
    </w:p>
    <w:p>
      <w:pPr>
        <w:pStyle w:val="Normal"/>
        <w:tabs>
          <w:tab w:val="clear" w:pos="708"/>
          <w:tab w:val="left" w:pos="2127" w:leader="none"/>
        </w:tabs>
        <w:rPr>
          <w:rFonts w:ascii="Arial" w:hAnsi="Arial" w:cs="Arial"/>
          <w:b/>
          <w:b/>
          <w:bCs/>
          <w:sz w:val="22"/>
          <w:szCs w:val="22"/>
        </w:rPr>
      </w:pPr>
      <w:r>
        <w:rPr>
          <w:rFonts w:cs="Arial" w:ascii="Arial" w:hAnsi="Arial"/>
          <w:b/>
          <w:bCs/>
          <w:sz w:val="22"/>
          <w:szCs w:val="22"/>
        </w:rPr>
      </w:r>
    </w:p>
    <w:p>
      <w:pPr>
        <w:pStyle w:val="Normal"/>
        <w:tabs>
          <w:tab w:val="clear" w:pos="708"/>
          <w:tab w:val="left" w:pos="2127" w:leader="none"/>
        </w:tabs>
        <w:rPr>
          <w:rFonts w:ascii="Arial" w:hAnsi="Arial" w:cs="Arial"/>
          <w:b/>
          <w:b/>
          <w:bCs/>
          <w:sz w:val="22"/>
          <w:szCs w:val="22"/>
        </w:rPr>
      </w:pPr>
      <w:r>
        <w:rPr>
          <w:rFonts w:cs="Arial" w:ascii="Arial" w:hAnsi="Arial"/>
          <w:b/>
          <w:bCs/>
          <w:sz w:val="22"/>
          <w:szCs w:val="22"/>
        </w:rPr>
      </w:r>
    </w:p>
    <w:p>
      <w:pPr>
        <w:pStyle w:val="Normal"/>
        <w:tabs>
          <w:tab w:val="clear" w:pos="708"/>
          <w:tab w:val="left" w:pos="2127" w:leader="none"/>
        </w:tabs>
        <w:rPr>
          <w:rFonts w:ascii="Arial" w:hAnsi="Arial" w:cs="Arial"/>
          <w:b/>
          <w:b/>
          <w:bCs/>
          <w:sz w:val="22"/>
          <w:szCs w:val="22"/>
        </w:rPr>
      </w:pPr>
      <w:r>
        <w:rPr>
          <w:rFonts w:cs="Arial" w:ascii="Arial" w:hAnsi="Arial"/>
          <w:b/>
          <w:bCs/>
          <w:sz w:val="22"/>
          <w:szCs w:val="22"/>
        </w:rPr>
        <w:t>Pronajímatel:</w:t>
        <w:tab/>
        <w:t>KLATOVSKÁ TEPLÁRNA a.s.</w:t>
      </w:r>
    </w:p>
    <w:p>
      <w:pPr>
        <w:pStyle w:val="Normal"/>
        <w:rPr>
          <w:rFonts w:ascii="Arial" w:hAnsi="Arial" w:cs="Arial"/>
          <w:bCs/>
          <w:sz w:val="22"/>
          <w:szCs w:val="22"/>
        </w:rPr>
      </w:pPr>
      <w:r>
        <w:rPr>
          <w:rFonts w:cs="Arial" w:ascii="Arial" w:hAnsi="Arial"/>
          <w:bCs/>
          <w:sz w:val="22"/>
          <w:szCs w:val="22"/>
        </w:rPr>
        <w:t>se sídlem:</w:t>
        <w:tab/>
        <w:tab/>
        <w:t>Jateční 660, 339 01 Klatovy</w:t>
      </w:r>
    </w:p>
    <w:p>
      <w:pPr>
        <w:pStyle w:val="Normal"/>
        <w:rPr>
          <w:rFonts w:ascii="Arial" w:hAnsi="Arial" w:cs="Arial"/>
          <w:sz w:val="22"/>
          <w:szCs w:val="22"/>
        </w:rPr>
      </w:pPr>
      <w:r>
        <w:rPr>
          <w:rFonts w:cs="Arial" w:ascii="Arial" w:hAnsi="Arial"/>
          <w:sz w:val="22"/>
          <w:szCs w:val="22"/>
        </w:rPr>
        <w:t>zapsaný v obchodním rejstříku, vedeném Krajským soudem v Plzni, oddíl B, vložka 404</w:t>
      </w:r>
    </w:p>
    <w:p>
      <w:pPr>
        <w:pStyle w:val="Normal"/>
        <w:rPr>
          <w:rFonts w:ascii="Arial" w:hAnsi="Arial" w:cs="Arial"/>
          <w:sz w:val="22"/>
          <w:szCs w:val="22"/>
        </w:rPr>
      </w:pPr>
      <w:r>
        <mc:AlternateContent>
          <mc:Choice Requires="wps">
            <w:drawing>
              <wp:anchor behindDoc="0" distT="0" distB="0" distL="0" distR="0" simplePos="0" locked="0" layoutInCell="1" allowOverlap="1" relativeHeight="5">
                <wp:simplePos x="0" y="0"/>
                <wp:positionH relativeFrom="column">
                  <wp:posOffset>1345565</wp:posOffset>
                </wp:positionH>
                <wp:positionV relativeFrom="paragraph">
                  <wp:posOffset>26035</wp:posOffset>
                </wp:positionV>
                <wp:extent cx="1924685" cy="133985"/>
                <wp:effectExtent l="0" t="0" r="0" b="0"/>
                <wp:wrapNone/>
                <wp:docPr id="1" name="Obdélník 4"/>
                <a:graphic xmlns:a="http://schemas.openxmlformats.org/drawingml/2006/main">
                  <a:graphicData uri="http://schemas.microsoft.com/office/word/2010/wordprocessingShape">
                    <wps:wsp>
                      <wps:cNvSpPr/>
                      <wps:spPr>
                        <a:xfrm>
                          <a:off x="0" y="0"/>
                          <a:ext cx="1924200" cy="1332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Obdélník 4" fillcolor="black" stroked="f" style="position:absolute;margin-left:105.95pt;margin-top:2.05pt;width:151.45pt;height:10.45pt">
                <w10:wrap type="none"/>
                <v:fill o:detectmouseclick="t" type="solid" color2="white"/>
                <v:stroke color="#3465a4" weight="12600" joinstyle="miter" endcap="flat"/>
              </v:rect>
            </w:pict>
          </mc:Fallback>
        </mc:AlternateContent>
      </w:r>
      <w:r>
        <w:rPr>
          <w:rFonts w:cs="Arial" w:ascii="Arial" w:hAnsi="Arial"/>
          <w:sz w:val="22"/>
          <w:szCs w:val="22"/>
        </w:rPr>
        <w:t xml:space="preserve">zastoupena: </w:t>
      </w:r>
      <w:bookmarkStart w:id="0" w:name="Text37"/>
      <w:r>
        <w:rPr>
          <w:rFonts w:cs="Arial" w:ascii="Arial" w:hAnsi="Arial"/>
          <w:sz w:val="22"/>
          <w:szCs w:val="22"/>
        </w:rPr>
        <w:tab/>
        <w:tab/>
      </w:r>
      <w:bookmarkEnd w:id="0"/>
      <w:r>
        <w:rPr>
          <w:rFonts w:cs="Arial" w:ascii="Arial" w:hAnsi="Arial"/>
          <w:sz w:val="22"/>
          <w:szCs w:val="22"/>
        </w:rPr>
        <w:t>Milanem Sekyrkou, ředitelem</w:t>
      </w:r>
    </w:p>
    <w:p>
      <w:pPr>
        <w:pStyle w:val="Normal"/>
        <w:tabs>
          <w:tab w:val="left" w:pos="708" w:leader="none"/>
          <w:tab w:val="left" w:pos="1875" w:leader="none"/>
        </w:tabs>
        <w:rPr>
          <w:rFonts w:ascii="Arial" w:hAnsi="Arial" w:cs="Arial"/>
          <w:sz w:val="22"/>
          <w:szCs w:val="22"/>
        </w:rPr>
      </w:pPr>
      <w:r>
        <w:rPr>
          <w:rFonts w:cs="Arial" w:ascii="Arial" w:hAnsi="Arial"/>
          <w:sz w:val="22"/>
          <w:szCs w:val="22"/>
        </w:rPr>
        <w:t>IČ:</w:t>
        <w:tab/>
        <w:tab/>
        <w:tab/>
        <w:t>49790960</w:t>
      </w:r>
    </w:p>
    <w:p>
      <w:pPr>
        <w:pStyle w:val="Normal"/>
        <w:rPr>
          <w:rFonts w:ascii="Arial" w:hAnsi="Arial" w:cs="Arial"/>
          <w:sz w:val="22"/>
          <w:szCs w:val="22"/>
        </w:rPr>
      </w:pPr>
      <w:r>
        <w:rPr>
          <w:rFonts w:cs="Arial" w:ascii="Arial" w:hAnsi="Arial"/>
          <w:sz w:val="22"/>
          <w:szCs w:val="22"/>
        </w:rPr>
        <w:t>DIČ:</w:t>
        <w:tab/>
        <w:tab/>
        <w:tab/>
        <w:t>CZ49790960</w:t>
      </w:r>
    </w:p>
    <w:p>
      <w:pPr>
        <w:pStyle w:val="Normal"/>
        <w:rPr>
          <w:rFonts w:ascii="Arial" w:hAnsi="Arial" w:cs="Arial"/>
          <w:sz w:val="22"/>
          <w:szCs w:val="22"/>
        </w:rPr>
      </w:pPr>
      <w:r>
        <w:rPr>
          <w:rFonts w:cs="Arial" w:ascii="Arial" w:hAnsi="Arial"/>
          <w:sz w:val="22"/>
          <w:szCs w:val="22"/>
        </w:rPr>
        <w:t>bankovní spojení:</w:t>
        <w:tab/>
        <w:t>Československá obchodní banka,a.s.</w:t>
      </w:r>
    </w:p>
    <w:p>
      <w:pPr>
        <w:pStyle w:val="Normal"/>
        <w:rPr>
          <w:rFonts w:ascii="Arial" w:hAnsi="Arial" w:cs="Arial"/>
          <w:sz w:val="22"/>
          <w:szCs w:val="22"/>
        </w:rPr>
      </w:pPr>
      <w:r>
        <mc:AlternateContent>
          <mc:Choice Requires="wps">
            <w:drawing>
              <wp:anchor behindDoc="0" distT="0" distB="0" distL="0" distR="0" simplePos="0" locked="0" layoutInCell="1" allowOverlap="1" relativeHeight="6">
                <wp:simplePos x="0" y="0"/>
                <wp:positionH relativeFrom="column">
                  <wp:posOffset>1364615</wp:posOffset>
                </wp:positionH>
                <wp:positionV relativeFrom="paragraph">
                  <wp:posOffset>12065</wp:posOffset>
                </wp:positionV>
                <wp:extent cx="1238885" cy="543560"/>
                <wp:effectExtent l="0" t="0" r="0" b="9525"/>
                <wp:wrapNone/>
                <wp:docPr id="2" name="Obdélník 5"/>
                <a:graphic xmlns:a="http://schemas.openxmlformats.org/drawingml/2006/main">
                  <a:graphicData uri="http://schemas.microsoft.com/office/word/2010/wordprocessingShape">
                    <wps:wsp>
                      <wps:cNvSpPr/>
                      <wps:spPr>
                        <a:xfrm>
                          <a:off x="0" y="0"/>
                          <a:ext cx="1238400" cy="5428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Obdélník 5" fillcolor="black" stroked="f" style="position:absolute;margin-left:107.45pt;margin-top:0.95pt;width:97.45pt;height:42.7pt">
                <w10:wrap type="none"/>
                <v:fill o:detectmouseclick="t" type="solid" color2="white"/>
                <v:stroke color="#3465a4" weight="12600" joinstyle="miter" endcap="flat"/>
              </v:rect>
            </w:pict>
          </mc:Fallback>
        </mc:AlternateContent>
      </w:r>
      <w:r>
        <w:rPr>
          <w:rFonts w:cs="Arial" w:ascii="Arial" w:hAnsi="Arial"/>
          <w:sz w:val="22"/>
          <w:szCs w:val="22"/>
        </w:rPr>
        <w:t>č. účtu:</w:t>
        <w:tab/>
        <w:tab/>
        <w:t>72835963/0300</w:t>
      </w:r>
    </w:p>
    <w:p>
      <w:pPr>
        <w:pStyle w:val="Normal"/>
        <w:rPr>
          <w:rFonts w:ascii="Arial" w:hAnsi="Arial" w:cs="Arial"/>
          <w:sz w:val="22"/>
          <w:szCs w:val="22"/>
        </w:rPr>
      </w:pPr>
      <w:r>
        <w:rPr>
          <w:rFonts w:cs="Arial" w:ascii="Arial" w:hAnsi="Arial"/>
          <w:sz w:val="22"/>
          <w:szCs w:val="22"/>
        </w:rPr>
        <w:t>tel:</w:t>
        <w:tab/>
        <w:tab/>
        <w:tab/>
        <w:t>378609060</w:t>
      </w:r>
    </w:p>
    <w:p>
      <w:pPr>
        <w:pStyle w:val="Normal"/>
        <w:rPr>
          <w:rFonts w:ascii="Arial" w:hAnsi="Arial" w:cs="Arial"/>
          <w:color w:val="0000FF"/>
          <w:sz w:val="22"/>
          <w:szCs w:val="22"/>
          <w:u w:val="single"/>
        </w:rPr>
      </w:pPr>
      <w:r>
        <w:rPr>
          <w:rFonts w:cs="Arial" w:ascii="Arial" w:hAnsi="Arial"/>
          <w:sz w:val="22"/>
          <w:szCs w:val="22"/>
        </w:rPr>
        <w:t>e-mail:</w:t>
        <w:tab/>
        <w:tab/>
        <w:tab/>
      </w:r>
      <w:hyperlink r:id="rId2">
        <w:r>
          <w:rPr>
            <w:rFonts w:cs="Arial" w:ascii="Arial" w:hAnsi="Arial"/>
            <w:color w:val="000000" w:themeColor="text1"/>
            <w:sz w:val="22"/>
            <w:szCs w:val="22"/>
          </w:rPr>
          <w:t>sekyrka@klatep.cz</w:t>
        </w:r>
      </w:hyperlink>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color w:val="FF0000"/>
          <w:sz w:val="22"/>
          <w:szCs w:val="22"/>
        </w:rPr>
        <w:t xml:space="preserve"> </w:t>
      </w:r>
      <w:r>
        <w:rPr>
          <w:rFonts w:cs="Arial" w:ascii="Arial" w:hAnsi="Arial"/>
          <w:sz w:val="22"/>
          <w:szCs w:val="22"/>
        </w:rPr>
        <w:t>(dále jen „pronajímatel“)</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b/>
          <w:b/>
          <w:sz w:val="22"/>
          <w:szCs w:val="22"/>
        </w:rPr>
      </w:pPr>
      <w:r>
        <w:rPr>
          <w:rFonts w:cs="Arial" w:ascii="Arial" w:hAnsi="Arial"/>
          <w:b/>
          <w:sz w:val="22"/>
          <w:szCs w:val="22"/>
        </w:rPr>
        <w:t>a</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tabs>
          <w:tab w:val="clear" w:pos="708"/>
          <w:tab w:val="left" w:pos="2127" w:leader="none"/>
        </w:tabs>
        <w:rPr>
          <w:rFonts w:ascii="Arial" w:hAnsi="Arial" w:cs="Arial"/>
          <w:b/>
          <w:b/>
          <w:sz w:val="22"/>
          <w:szCs w:val="22"/>
        </w:rPr>
      </w:pPr>
      <w:r>
        <w:rPr>
          <w:rFonts w:cs="Arial" w:ascii="Arial" w:hAnsi="Arial"/>
          <w:b/>
          <w:sz w:val="22"/>
          <w:szCs w:val="22"/>
        </w:rPr>
        <w:t>Nájemce:</w:t>
      </w:r>
      <w:r>
        <w:rPr>
          <w:rFonts w:cs="Arial" w:ascii="Arial" w:hAnsi="Arial"/>
          <w:sz w:val="22"/>
          <w:szCs w:val="22"/>
        </w:rPr>
        <w:tab/>
      </w:r>
      <w:r>
        <w:rPr>
          <w:rFonts w:cs="Arial" w:ascii="Arial" w:hAnsi="Arial"/>
          <w:b/>
          <w:sz w:val="22"/>
          <w:szCs w:val="22"/>
        </w:rPr>
        <w:t>RWE GasNet, s.r.o.</w:t>
      </w:r>
    </w:p>
    <w:p>
      <w:pPr>
        <w:pStyle w:val="Normal"/>
        <w:tabs>
          <w:tab w:val="clear" w:pos="708"/>
          <w:tab w:val="left" w:pos="2127" w:leader="none"/>
        </w:tabs>
        <w:rPr>
          <w:rFonts w:ascii="Arial" w:hAnsi="Arial" w:cs="Arial"/>
          <w:sz w:val="22"/>
          <w:szCs w:val="22"/>
        </w:rPr>
      </w:pPr>
      <w:r>
        <w:rPr>
          <w:rFonts w:cs="Arial" w:ascii="Arial" w:hAnsi="Arial"/>
          <w:sz w:val="22"/>
          <w:szCs w:val="22"/>
        </w:rPr>
        <w:t>se sídlem:</w:t>
        <w:tab/>
        <w:t>Klíšská 940, 401 17 Ústí nad Labem</w:t>
      </w:r>
    </w:p>
    <w:p>
      <w:pPr>
        <w:pStyle w:val="Tlotextu"/>
        <w:tabs>
          <w:tab w:val="clear" w:pos="708"/>
          <w:tab w:val="left" w:pos="2127" w:leader="none"/>
        </w:tabs>
        <w:spacing w:before="0" w:after="80"/>
        <w:rPr>
          <w:rFonts w:cs="Arial"/>
          <w:szCs w:val="22"/>
        </w:rPr>
      </w:pPr>
      <w:r>
        <w:rPr>
          <w:rFonts w:cs="Arial"/>
          <w:szCs w:val="22"/>
        </w:rPr>
        <w:t>zapsaný v obchodním rejstříku, vedeném Krajským soudem v Ústí nad Labem, oddíl C, vložka č. 23083</w:t>
      </w:r>
    </w:p>
    <w:p>
      <w:pPr>
        <w:pStyle w:val="Tlotextu"/>
        <w:tabs>
          <w:tab w:val="clear" w:pos="708"/>
          <w:tab w:val="left" w:pos="2127" w:leader="none"/>
        </w:tabs>
        <w:ind w:left="2124" w:hanging="2124"/>
        <w:rPr>
          <w:rFonts w:cs="Arial"/>
          <w:szCs w:val="22"/>
        </w:rPr>
      </w:pPr>
      <w:r>
        <mc:AlternateContent>
          <mc:Choice Requires="wps">
            <w:drawing>
              <wp:anchor behindDoc="0" distT="0" distB="0" distL="0" distR="0" simplePos="0" locked="0" layoutInCell="1" allowOverlap="1" relativeHeight="7">
                <wp:simplePos x="0" y="0"/>
                <wp:positionH relativeFrom="column">
                  <wp:posOffset>1316990</wp:posOffset>
                </wp:positionH>
                <wp:positionV relativeFrom="paragraph">
                  <wp:posOffset>10795</wp:posOffset>
                </wp:positionV>
                <wp:extent cx="4648835" cy="962660"/>
                <wp:effectExtent l="0" t="0" r="0" b="9525"/>
                <wp:wrapNone/>
                <wp:docPr id="3" name="Obdélník 6"/>
                <a:graphic xmlns:a="http://schemas.openxmlformats.org/drawingml/2006/main">
                  <a:graphicData uri="http://schemas.microsoft.com/office/word/2010/wordprocessingShape">
                    <wps:wsp>
                      <wps:cNvSpPr/>
                      <wps:spPr>
                        <a:xfrm>
                          <a:off x="0" y="0"/>
                          <a:ext cx="4648320" cy="96192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Obdélník 6" fillcolor="black" stroked="f" style="position:absolute;margin-left:103.7pt;margin-top:0.85pt;width:365.95pt;height:75.7pt">
                <w10:wrap type="none"/>
                <v:fill o:detectmouseclick="t" type="solid" color2="white"/>
                <v:stroke color="#3465a4" weight="12600" joinstyle="miter" endcap="flat"/>
              </v:rect>
            </w:pict>
          </mc:Fallback>
        </mc:AlternateContent>
      </w:r>
      <w:r>
        <w:rPr>
          <w:rFonts w:cs="Arial"/>
          <w:szCs w:val="22"/>
        </w:rPr>
        <w:t xml:space="preserve">zastoupený:         </w:t>
        <w:tab/>
        <w:t xml:space="preserve">Andrejem Prnem, MBC, BBA, ředitelem správy DS na základě pověření ze dne 2.1.2014 </w:t>
        <w:tab/>
        <w:tab/>
      </w:r>
    </w:p>
    <w:p>
      <w:pPr>
        <w:pStyle w:val="Tlotextu"/>
        <w:tabs>
          <w:tab w:val="clear" w:pos="708"/>
          <w:tab w:val="left" w:pos="2127" w:leader="none"/>
        </w:tabs>
        <w:ind w:left="2124" w:hanging="2124"/>
        <w:rPr>
          <w:rFonts w:cs="Arial"/>
          <w:szCs w:val="22"/>
        </w:rPr>
      </w:pPr>
      <w:r>
        <w:rPr>
          <w:rFonts w:cs="Arial"/>
          <w:szCs w:val="22"/>
        </w:rPr>
        <w:tab/>
        <w:t xml:space="preserve">a </w:t>
      </w:r>
    </w:p>
    <w:p>
      <w:pPr>
        <w:pStyle w:val="Tlotextu"/>
        <w:tabs>
          <w:tab w:val="clear" w:pos="708"/>
          <w:tab w:val="left" w:pos="2127" w:leader="none"/>
        </w:tabs>
        <w:ind w:left="2124" w:hanging="0"/>
        <w:rPr>
          <w:rFonts w:cs="Arial"/>
          <w:szCs w:val="22"/>
        </w:rPr>
      </w:pPr>
      <w:r>
        <w:rPr>
          <w:rFonts w:cs="Arial"/>
          <w:szCs w:val="22"/>
        </w:rPr>
        <w:tab/>
        <w:t>Ing. Pavlem Auingerem, vedoucím rozvoje a obnovy DS na základě pověření ze dne 2.1.2014</w:t>
      </w:r>
    </w:p>
    <w:p>
      <w:pPr>
        <w:pStyle w:val="Tlotextu"/>
        <w:tabs>
          <w:tab w:val="clear" w:pos="708"/>
          <w:tab w:val="left" w:pos="2127" w:leader="none"/>
        </w:tabs>
        <w:ind w:left="2124" w:hanging="2124"/>
        <w:rPr>
          <w:rFonts w:cs="Arial"/>
          <w:szCs w:val="22"/>
        </w:rPr>
      </w:pPr>
      <w:r>
        <w:rPr>
          <w:rFonts w:cs="Arial"/>
          <w:szCs w:val="22"/>
        </w:rPr>
        <w:t>IČ:</w:t>
        <w:tab/>
      </w:r>
      <w:bookmarkStart w:id="1" w:name="Text6"/>
      <w:r>
        <w:rPr>
          <w:rFonts w:cs="Arial"/>
          <w:szCs w:val="22"/>
        </w:rPr>
        <w:t>27295567</w:t>
      </w:r>
      <w:bookmarkEnd w:id="1"/>
    </w:p>
    <w:p>
      <w:pPr>
        <w:pStyle w:val="Tlotextu"/>
        <w:tabs>
          <w:tab w:val="clear" w:pos="708"/>
          <w:tab w:val="left" w:pos="2127" w:leader="none"/>
        </w:tabs>
        <w:rPr>
          <w:rFonts w:cs="Arial"/>
          <w:szCs w:val="22"/>
        </w:rPr>
      </w:pPr>
      <w:r>
        <w:rPr>
          <w:rFonts w:cs="Arial"/>
          <w:szCs w:val="22"/>
        </w:rPr>
        <w:t>DIČ:</w:t>
        <w:tab/>
        <w:t>CZ</w:t>
      </w:r>
      <w:bookmarkStart w:id="2" w:name="Text8"/>
      <w:r>
        <w:rPr>
          <w:rFonts w:cs="Arial"/>
          <w:szCs w:val="22"/>
        </w:rPr>
        <w:t>27295567</w:t>
      </w:r>
      <w:bookmarkEnd w:id="2"/>
    </w:p>
    <w:p>
      <w:pPr>
        <w:pStyle w:val="Normal"/>
        <w:tabs>
          <w:tab w:val="clear" w:pos="708"/>
          <w:tab w:val="left" w:pos="2127" w:leader="none"/>
        </w:tabs>
        <w:rPr>
          <w:rFonts w:ascii="Arial" w:hAnsi="Arial" w:cs="Arial"/>
          <w:sz w:val="22"/>
          <w:szCs w:val="22"/>
        </w:rPr>
      </w:pPr>
      <w:r>
        <w:rPr>
          <w:rFonts w:cs="Arial" w:ascii="Arial" w:hAnsi="Arial"/>
          <w:sz w:val="22"/>
          <w:szCs w:val="22"/>
        </w:rPr>
        <w:t>bankovní spojení:</w:t>
        <w:tab/>
      </w:r>
      <w:bookmarkStart w:id="3" w:name="Text9"/>
      <w:r>
        <w:rPr>
          <w:rFonts w:cs="Arial" w:ascii="Arial" w:hAnsi="Arial"/>
          <w:sz w:val="22"/>
          <w:szCs w:val="22"/>
        </w:rPr>
        <w:t>Československá obchodní banka, a.s.</w:t>
      </w:r>
      <w:bookmarkEnd w:id="3"/>
      <w:r>
        <w:rPr>
          <w:rFonts w:cs="Arial" w:ascii="Arial" w:hAnsi="Arial"/>
          <w:sz w:val="22"/>
          <w:szCs w:val="22"/>
        </w:rPr>
        <w:t xml:space="preserve"> </w:t>
      </w:r>
    </w:p>
    <w:p>
      <w:pPr>
        <w:pStyle w:val="Normal"/>
        <w:tabs>
          <w:tab w:val="clear" w:pos="708"/>
          <w:tab w:val="left" w:pos="2127" w:leader="none"/>
        </w:tabs>
        <w:rPr>
          <w:rFonts w:ascii="Arial" w:hAnsi="Arial" w:cs="Arial"/>
          <w:sz w:val="22"/>
          <w:szCs w:val="22"/>
        </w:rPr>
      </w:pPr>
      <w:r>
        <w:rPr>
          <w:rFonts w:cs="Arial" w:ascii="Arial" w:hAnsi="Arial"/>
          <w:sz w:val="22"/>
          <w:szCs w:val="22"/>
        </w:rPr>
        <w:t xml:space="preserve">č. účtu: </w:t>
        <w:tab/>
      </w:r>
      <w:bookmarkStart w:id="4" w:name="Text10"/>
      <w:r>
        <w:rPr>
          <w:rFonts w:cs="Arial" w:ascii="Arial" w:hAnsi="Arial"/>
          <w:sz w:val="22"/>
          <w:szCs w:val="22"/>
        </w:rPr>
        <w:t>17663193/0300</w:t>
      </w:r>
      <w:bookmarkEnd w:id="4"/>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(dále jen „nájemce“)</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ab/>
        <w:tab/>
      </w:r>
    </w:p>
    <w:p>
      <w:pPr>
        <w:pStyle w:val="Normln2"/>
        <w:jc w:val="left"/>
        <w:rPr>
          <w:rFonts w:ascii="Arial" w:hAnsi="Arial" w:cs="Arial"/>
          <w:sz w:val="22"/>
          <w:szCs w:val="22"/>
        </w:rPr>
      </w:pPr>
      <w:r>
        <w:rPr>
          <w:rFonts w:cs="Arial" w:ascii="Arial" w:hAnsi="Arial"/>
          <w:sz w:val="22"/>
          <w:szCs w:val="22"/>
        </w:rPr>
        <w:t>uzavřeli níže uvedeného dne, měsíce a roku tuto smlouvu o nájmu plynárenského zařízení (dále jen „nájemní smlouva“ nebo také „tato smlouva“)</w:t>
      </w:r>
    </w:p>
    <w:p>
      <w:pPr>
        <w:pStyle w:val="Normln2"/>
        <w:rPr>
          <w:rFonts w:ascii="Arial" w:hAnsi="Arial" w:cs="Arial"/>
          <w:sz w:val="22"/>
          <w:szCs w:val="22"/>
        </w:rPr>
      </w:pPr>
      <w:r>
        <w:rPr>
          <w:rFonts w:cs="Arial" w:ascii="Arial" w:hAnsi="Arial"/>
          <w:sz w:val="22"/>
          <w:szCs w:val="22"/>
        </w:rPr>
      </w:r>
    </w:p>
    <w:p>
      <w:pPr>
        <w:pStyle w:val="Normln2"/>
        <w:rPr>
          <w:rFonts w:ascii="Arial" w:hAnsi="Arial" w:cs="Arial"/>
          <w:sz w:val="22"/>
          <w:szCs w:val="22"/>
        </w:rPr>
      </w:pPr>
      <w:r>
        <w:rPr>
          <w:rFonts w:cs="Arial" w:ascii="Arial" w:hAnsi="Arial"/>
          <w:sz w:val="22"/>
          <w:szCs w:val="22"/>
        </w:rPr>
      </w:r>
    </w:p>
    <w:p>
      <w:pPr>
        <w:pStyle w:val="Normln2"/>
        <w:rPr>
          <w:rFonts w:ascii="Arial" w:hAnsi="Arial" w:cs="Arial"/>
          <w:sz w:val="22"/>
          <w:szCs w:val="22"/>
        </w:rPr>
      </w:pPr>
      <w:r>
        <w:rPr>
          <w:rFonts w:cs="Arial" w:ascii="Arial" w:hAnsi="Arial"/>
          <w:sz w:val="22"/>
          <w:szCs w:val="22"/>
        </w:rPr>
      </w:r>
    </w:p>
    <w:p>
      <w:pPr>
        <w:pStyle w:val="Normln2"/>
        <w:rPr>
          <w:rFonts w:ascii="Arial" w:hAnsi="Arial" w:cs="Arial"/>
          <w:sz w:val="22"/>
          <w:szCs w:val="22"/>
        </w:rPr>
      </w:pPr>
      <w:r>
        <w:rPr>
          <w:rFonts w:cs="Arial" w:ascii="Arial" w:hAnsi="Arial"/>
          <w:sz w:val="22"/>
          <w:szCs w:val="22"/>
        </w:rPr>
      </w:r>
    </w:p>
    <w:p>
      <w:pPr>
        <w:pStyle w:val="Normln2"/>
        <w:rPr>
          <w:rFonts w:ascii="Arial" w:hAnsi="Arial" w:cs="Arial"/>
          <w:sz w:val="22"/>
          <w:szCs w:val="22"/>
        </w:rPr>
      </w:pPr>
      <w:r>
        <w:rPr>
          <w:rFonts w:cs="Arial" w:ascii="Arial" w:hAnsi="Arial"/>
          <w:sz w:val="22"/>
          <w:szCs w:val="22"/>
        </w:rPr>
      </w:r>
    </w:p>
    <w:p>
      <w:pPr>
        <w:pStyle w:val="Normln2"/>
        <w:rPr>
          <w:rFonts w:ascii="Arial" w:hAnsi="Arial" w:cs="Arial"/>
          <w:sz w:val="22"/>
          <w:szCs w:val="22"/>
        </w:rPr>
      </w:pPr>
      <w:r>
        <w:rPr>
          <w:rFonts w:cs="Arial" w:ascii="Arial" w:hAnsi="Arial"/>
          <w:sz w:val="22"/>
          <w:szCs w:val="22"/>
        </w:rPr>
      </w:r>
    </w:p>
    <w:p>
      <w:pPr>
        <w:pStyle w:val="Normln2"/>
        <w:jc w:val="center"/>
        <w:rPr>
          <w:rFonts w:ascii="Arial" w:hAnsi="Arial" w:cs="Arial"/>
          <w:b/>
          <w:b/>
          <w:sz w:val="22"/>
          <w:szCs w:val="22"/>
        </w:rPr>
      </w:pPr>
      <w:r>
        <w:rPr>
          <w:rFonts w:cs="Arial" w:ascii="Arial" w:hAnsi="Arial"/>
          <w:b/>
          <w:sz w:val="22"/>
          <w:szCs w:val="22"/>
        </w:rPr>
        <w:t>I.</w:t>
      </w:r>
    </w:p>
    <w:p>
      <w:pPr>
        <w:pStyle w:val="L"/>
        <w:numPr>
          <w:ilvl w:val="0"/>
          <w:numId w:val="0"/>
        </w:numPr>
        <w:tabs>
          <w:tab w:val="clear" w:pos="708"/>
          <w:tab w:val="left" w:pos="2835" w:leader="none"/>
        </w:tabs>
        <w:ind w:left="0" w:hanging="0"/>
        <w:jc w:val="center"/>
        <w:rPr>
          <w:rFonts w:ascii="Arial" w:hAnsi="Arial" w:cs="Arial"/>
          <w:sz w:val="22"/>
          <w:szCs w:val="22"/>
        </w:rPr>
      </w:pPr>
      <w:r>
        <w:rPr>
          <w:rFonts w:cs="Arial" w:ascii="Arial" w:hAnsi="Arial"/>
          <w:sz w:val="22"/>
          <w:szCs w:val="22"/>
        </w:rPr>
        <w:t>Předmět smlouvy</w:t>
      </w:r>
    </w:p>
    <w:p>
      <w:pPr>
        <w:pStyle w:val="StylNormln1Vlevo15cm"/>
        <w:numPr>
          <w:ilvl w:val="0"/>
          <w:numId w:val="4"/>
        </w:numPr>
        <w:tabs>
          <w:tab w:val="clear" w:pos="708"/>
          <w:tab w:val="left" w:pos="3544" w:leader="none"/>
        </w:tabs>
        <w:spacing w:before="0" w:after="120"/>
        <w:ind w:left="419" w:hanging="357"/>
        <w:jc w:val="left"/>
        <w:rPr>
          <w:rFonts w:ascii="Arial" w:hAnsi="Arial" w:cs="Arial"/>
          <w:sz w:val="22"/>
          <w:szCs w:val="22"/>
        </w:rPr>
      </w:pPr>
      <w:r>
        <w:rPr>
          <w:rFonts w:cs="Arial" w:ascii="Arial" w:hAnsi="Arial"/>
          <w:sz w:val="22"/>
          <w:szCs w:val="22"/>
        </w:rPr>
        <w:t xml:space="preserve">Pronajímatel pronajímá nájemci níže uvedené plynárenské zařízení (dále jen „PZ“) a nájemce se zavazuje zajistit provoz PZ v dále stanoveném rozsahu. Je-li předmětem nájmu i regulační stanice plynu (dále jen „RS“), zavazuje se nájemce zajistit provoz na technologické části RS. </w:t>
      </w:r>
    </w:p>
    <w:p>
      <w:pPr>
        <w:pStyle w:val="StylNormln1Vlevo15cm"/>
        <w:tabs>
          <w:tab w:val="clear" w:pos="708"/>
          <w:tab w:val="left" w:pos="3544" w:leader="none"/>
        </w:tabs>
        <w:spacing w:before="0" w:after="120"/>
        <w:ind w:left="419" w:hanging="0"/>
        <w:jc w:val="left"/>
        <w:rPr>
          <w:rFonts w:ascii="Arial" w:hAnsi="Arial" w:cs="Arial"/>
          <w:sz w:val="22"/>
          <w:szCs w:val="22"/>
        </w:rPr>
      </w:pPr>
      <w:r>
        <w:rPr>
          <w:rFonts w:cs="Arial" w:ascii="Arial" w:hAnsi="Arial"/>
          <w:sz w:val="22"/>
          <w:szCs w:val="22"/>
        </w:rPr>
        <w:t>Pronajímatel prohlašuje, že je výlučným vlastníkem PZ, které je specifikováno následujícím způsobem:</w:t>
      </w:r>
    </w:p>
    <w:p>
      <w:pPr>
        <w:pStyle w:val="StylNormln1Vlevo15cm"/>
        <w:tabs>
          <w:tab w:val="clear" w:pos="708"/>
          <w:tab w:val="left" w:pos="3544" w:leader="none"/>
        </w:tabs>
        <w:spacing w:before="0" w:after="120"/>
        <w:ind w:left="419" w:hanging="0"/>
        <w:jc w:val="left"/>
        <w:rPr>
          <w:rFonts w:ascii="Arial" w:hAnsi="Arial" w:cs="Arial"/>
          <w:sz w:val="22"/>
          <w:szCs w:val="22"/>
        </w:rPr>
      </w:pPr>
      <w:r>
        <w:rPr>
          <w:rFonts w:cs="Arial" w:ascii="Arial" w:hAnsi="Arial"/>
          <w:sz w:val="22"/>
          <w:szCs w:val="22"/>
        </w:rPr>
      </w:r>
    </w:p>
    <w:p>
      <w:pPr>
        <w:pStyle w:val="StylNormln1Vlevo15cm"/>
        <w:tabs>
          <w:tab w:val="clear" w:pos="708"/>
          <w:tab w:val="left" w:pos="3544" w:leader="none"/>
        </w:tabs>
        <w:spacing w:before="0" w:after="120"/>
        <w:ind w:left="419" w:hanging="0"/>
        <w:jc w:val="left"/>
        <w:rPr>
          <w:rFonts w:ascii="Arial" w:hAnsi="Arial" w:cs="Arial"/>
          <w:sz w:val="22"/>
          <w:szCs w:val="22"/>
        </w:rPr>
      </w:pPr>
      <w:r>
        <w:rPr>
          <w:rFonts w:cs="Arial" w:ascii="Arial" w:hAnsi="Arial"/>
          <w:sz w:val="22"/>
          <w:szCs w:val="22"/>
        </w:rPr>
      </w:r>
    </w:p>
    <w:tbl>
      <w:tblPr>
        <w:tblW w:w="9498" w:type="dxa"/>
        <w:jc w:val="left"/>
        <w:tblInd w:w="70" w:type="dxa"/>
        <w:tblCellMar>
          <w:top w:w="0" w:type="dxa"/>
          <w:left w:w="70" w:type="dxa"/>
          <w:bottom w:w="0" w:type="dxa"/>
          <w:right w:w="70" w:type="dxa"/>
        </w:tblCellMar>
        <w:tblLook w:firstRow="0" w:noVBand="0" w:lastRow="0" w:firstColumn="0" w:lastColumn="0" w:noHBand="0" w:val="0000"/>
      </w:tblPr>
      <w:tblGrid>
        <w:gridCol w:w="2268"/>
        <w:gridCol w:w="1134"/>
        <w:gridCol w:w="993"/>
        <w:gridCol w:w="850"/>
        <w:gridCol w:w="1843"/>
        <w:gridCol w:w="2409"/>
      </w:tblGrid>
      <w:tr>
        <w:trPr>
          <w:trHeight w:val="331" w:hRule="atLeast"/>
        </w:trPr>
        <w:tc>
          <w:tcPr>
            <w:tcW w:w="9497" w:type="dxa"/>
            <w:gridSpan w:val="6"/>
            <w:tcBorders>
              <w:top w:val="single" w:sz="8" w:space="0" w:color="000000"/>
              <w:left w:val="single" w:sz="8" w:space="0" w:color="000000"/>
              <w:bottom w:val="single" w:sz="8" w:space="0" w:color="000000"/>
              <w:right w:val="single" w:sz="8" w:space="0" w:color="000000"/>
            </w:tcBorders>
            <w:shd w:color="auto" w:fill="auto" w:val="pct20"/>
            <w:vAlign w:val="bottom"/>
          </w:tcPr>
          <w:p>
            <w:pPr>
              <w:pStyle w:val="Normal"/>
              <w:rPr>
                <w:rFonts w:ascii="Arial" w:hAnsi="Arial" w:cs="Arial"/>
                <w:b/>
                <w:b/>
                <w:sz w:val="22"/>
                <w:szCs w:val="22"/>
              </w:rPr>
            </w:pPr>
            <w:r>
              <w:rPr>
                <w:rFonts w:cs="Arial" w:ascii="Arial" w:hAnsi="Arial"/>
                <w:b/>
                <w:sz w:val="22"/>
                <w:szCs w:val="22"/>
              </w:rPr>
              <w:t>Název stavby (PZ): Středotlaké plynovody a přípojky v ul. Vaňkova a Dukelská, Klatovy</w:t>
            </w:r>
          </w:p>
        </w:tc>
      </w:tr>
      <w:tr>
        <w:trPr/>
        <w:tc>
          <w:tcPr>
            <w:tcW w:w="2268" w:type="dxa"/>
            <w:tcBorders>
              <w:top w:val="single" w:sz="8" w:space="0" w:color="000000"/>
              <w:left w:val="single" w:sz="8" w:space="0" w:color="000000"/>
              <w:bottom w:val="single" w:sz="8" w:space="0" w:color="000000"/>
              <w:right w:val="single" w:sz="8" w:space="0" w:color="000000"/>
            </w:tcBorders>
            <w:shd w:color="auto" w:fill="D9D9D9" w:val="clear"/>
            <w:vAlign w:val="bottom"/>
          </w:tcPr>
          <w:p>
            <w:pPr>
              <w:pStyle w:val="NazevaDS"/>
              <w:spacing w:before="120" w:after="0"/>
              <w:ind w:right="-70" w:hanging="0"/>
              <w:rPr>
                <w:rFonts w:ascii="Arial" w:hAnsi="Arial" w:cs="Arial"/>
                <w:sz w:val="22"/>
                <w:szCs w:val="22"/>
              </w:rPr>
            </w:pPr>
            <w:r>
              <w:rPr>
                <w:rFonts w:cs="Arial" w:ascii="Arial" w:hAnsi="Arial"/>
                <w:sz w:val="22"/>
                <w:szCs w:val="22"/>
              </w:rPr>
              <w:t>Tlaková úroveň</w:t>
            </w:r>
          </w:p>
        </w:tc>
        <w:tc>
          <w:tcPr>
            <w:tcW w:w="1134" w:type="dxa"/>
            <w:tcBorders>
              <w:top w:val="single" w:sz="8" w:space="0" w:color="000000"/>
              <w:left w:val="single" w:sz="8" w:space="0" w:color="000000"/>
              <w:bottom w:val="single" w:sz="8" w:space="0" w:color="000000"/>
              <w:right w:val="single" w:sz="8" w:space="0" w:color="000000"/>
            </w:tcBorders>
            <w:shd w:color="auto" w:fill="D9D9D9" w:val="clear"/>
            <w:vAlign w:val="bottom"/>
          </w:tcPr>
          <w:p>
            <w:pPr>
              <w:pStyle w:val="NazevaDS"/>
              <w:ind w:left="709" w:hanging="779"/>
              <w:jc w:val="center"/>
              <w:rPr>
                <w:rFonts w:ascii="Arial" w:hAnsi="Arial" w:cs="Arial"/>
                <w:bCs/>
                <w:sz w:val="22"/>
                <w:szCs w:val="22"/>
              </w:rPr>
            </w:pPr>
            <w:r>
              <w:rPr>
                <w:rFonts w:cs="Arial" w:ascii="Arial" w:hAnsi="Arial"/>
                <w:bCs/>
                <w:sz w:val="22"/>
                <w:szCs w:val="22"/>
              </w:rPr>
              <w:t>DN,</w:t>
            </w:r>
            <w:r>
              <w:rPr>
                <w:rFonts w:eastAsia="Symbol" w:cs="Symbol" w:ascii="Symbol" w:hAnsi="Symbol"/>
                <w:bCs/>
                <w:sz w:val="22"/>
                <w:szCs w:val="22"/>
              </w:rPr>
              <w:t></w:t>
            </w:r>
          </w:p>
        </w:tc>
        <w:tc>
          <w:tcPr>
            <w:tcW w:w="993" w:type="dxa"/>
            <w:tcBorders>
              <w:top w:val="single" w:sz="8" w:space="0" w:color="000000"/>
              <w:left w:val="single" w:sz="8" w:space="0" w:color="000000"/>
              <w:bottom w:val="single" w:sz="8" w:space="0" w:color="000000"/>
              <w:right w:val="single" w:sz="8" w:space="0" w:color="000000"/>
            </w:tcBorders>
            <w:shd w:color="auto" w:fill="D9D9D9" w:val="clear"/>
            <w:vAlign w:val="bottom"/>
          </w:tcPr>
          <w:p>
            <w:pPr>
              <w:pStyle w:val="NazevaDS"/>
              <w:ind w:left="-70" w:hanging="0"/>
              <w:jc w:val="center"/>
              <w:rPr>
                <w:rFonts w:ascii="Arial" w:hAnsi="Arial" w:cs="Arial"/>
                <w:bCs/>
                <w:sz w:val="22"/>
                <w:szCs w:val="22"/>
              </w:rPr>
            </w:pPr>
            <w:r>
              <w:rPr>
                <w:rFonts w:cs="Arial" w:ascii="Arial" w:hAnsi="Arial"/>
                <w:bCs/>
                <w:sz w:val="22"/>
                <w:szCs w:val="22"/>
              </w:rPr>
              <w:t xml:space="preserve">L </w:t>
            </w:r>
            <w:r>
              <w:rPr>
                <w:rFonts w:eastAsia="Arial" w:cs="Arial" w:ascii="Arial" w:hAnsi="Arial"/>
                <w:bCs/>
                <w:sz w:val="22"/>
                <w:szCs w:val="22"/>
              </w:rPr>
              <w:t>[</w:t>
            </w:r>
            <w:r>
              <w:rPr>
                <w:rFonts w:cs="Arial" w:ascii="Arial" w:hAnsi="Arial"/>
                <w:bCs/>
                <w:sz w:val="22"/>
                <w:szCs w:val="22"/>
              </w:rPr>
              <w:t xml:space="preserve"> m </w:t>
            </w:r>
            <w:r>
              <w:rPr>
                <w:rFonts w:eastAsia="Arial" w:cs="Arial" w:ascii="Arial" w:hAnsi="Arial"/>
                <w:bCs/>
                <w:sz w:val="22"/>
                <w:szCs w:val="22"/>
              </w:rPr>
              <w:t>]</w:t>
            </w:r>
          </w:p>
        </w:tc>
        <w:tc>
          <w:tcPr>
            <w:tcW w:w="850" w:type="dxa"/>
            <w:tcBorders>
              <w:top w:val="single" w:sz="8" w:space="0" w:color="000000"/>
              <w:left w:val="single" w:sz="8" w:space="0" w:color="000000"/>
              <w:bottom w:val="single" w:sz="8" w:space="0" w:color="000000"/>
              <w:right w:val="single" w:sz="8" w:space="0" w:color="000000"/>
            </w:tcBorders>
            <w:shd w:color="auto" w:fill="D9D9D9" w:val="clear"/>
            <w:vAlign w:val="bottom"/>
          </w:tcPr>
          <w:p>
            <w:pPr>
              <w:pStyle w:val="NazevaDS"/>
              <w:ind w:left="-70" w:right="-70" w:hanging="3"/>
              <w:jc w:val="center"/>
              <w:rPr>
                <w:rFonts w:ascii="Arial" w:hAnsi="Arial" w:cs="Arial"/>
                <w:bCs/>
                <w:sz w:val="22"/>
                <w:szCs w:val="22"/>
              </w:rPr>
            </w:pPr>
            <w:r>
              <w:rPr>
                <w:rFonts w:cs="Arial" w:ascii="Arial" w:hAnsi="Arial"/>
                <w:bCs/>
                <w:sz w:val="22"/>
                <w:szCs w:val="22"/>
              </w:rPr>
              <w:t xml:space="preserve">  </w:t>
            </w:r>
            <w:r>
              <w:rPr>
                <w:rFonts w:cs="Arial" w:ascii="Arial" w:hAnsi="Arial"/>
                <w:bCs/>
                <w:sz w:val="22"/>
                <w:szCs w:val="22"/>
              </w:rPr>
              <w:t>Ks</w:t>
            </w:r>
          </w:p>
        </w:tc>
        <w:tc>
          <w:tcPr>
            <w:tcW w:w="1843" w:type="dxa"/>
            <w:tcBorders>
              <w:top w:val="single" w:sz="8" w:space="0" w:color="000000"/>
              <w:left w:val="single" w:sz="8" w:space="0" w:color="000000"/>
              <w:bottom w:val="single" w:sz="8" w:space="0" w:color="000000"/>
              <w:right w:val="single" w:sz="8" w:space="0" w:color="000000"/>
            </w:tcBorders>
            <w:shd w:color="auto" w:fill="D9D9D9" w:val="clear"/>
            <w:vAlign w:val="bottom"/>
          </w:tcPr>
          <w:p>
            <w:pPr>
              <w:pStyle w:val="NazevaDS"/>
              <w:rPr>
                <w:rFonts w:ascii="Arial" w:hAnsi="Arial" w:cs="Arial"/>
                <w:bCs/>
                <w:sz w:val="22"/>
                <w:szCs w:val="22"/>
              </w:rPr>
            </w:pPr>
            <w:r>
              <w:rPr>
                <w:rFonts w:cs="Arial" w:ascii="Arial" w:hAnsi="Arial"/>
                <w:bCs/>
                <w:sz w:val="22"/>
                <w:szCs w:val="22"/>
              </w:rPr>
              <w:t>Katastr. území</w:t>
            </w:r>
          </w:p>
        </w:tc>
        <w:tc>
          <w:tcPr>
            <w:tcW w:w="2409" w:type="dxa"/>
            <w:tcBorders>
              <w:top w:val="single" w:sz="8" w:space="0" w:color="000000"/>
              <w:left w:val="single" w:sz="8" w:space="0" w:color="000000"/>
              <w:bottom w:val="single" w:sz="8" w:space="0" w:color="000000"/>
              <w:right w:val="single" w:sz="8" w:space="0" w:color="000000"/>
            </w:tcBorders>
            <w:shd w:color="auto" w:fill="D9D9D9" w:val="clear"/>
            <w:vAlign w:val="bottom"/>
          </w:tcPr>
          <w:p>
            <w:pPr>
              <w:pStyle w:val="NazevaDS"/>
              <w:rPr>
                <w:rFonts w:ascii="Arial" w:hAnsi="Arial" w:cs="Arial"/>
                <w:bCs/>
                <w:sz w:val="22"/>
                <w:szCs w:val="22"/>
              </w:rPr>
            </w:pPr>
            <w:r>
              <w:rPr>
                <w:rFonts w:cs="Arial" w:ascii="Arial" w:hAnsi="Arial"/>
                <w:bCs/>
                <w:sz w:val="22"/>
                <w:szCs w:val="22"/>
              </w:rPr>
              <w:t>Obec/ Ulice</w:t>
            </w:r>
          </w:p>
        </w:tc>
      </w:tr>
      <w:tr>
        <w:trPr/>
        <w:tc>
          <w:tcPr>
            <w:tcW w:w="2268" w:type="dxa"/>
            <w:tcBorders>
              <w:top w:val="single" w:sz="8" w:space="0" w:color="000000"/>
              <w:left w:val="single" w:sz="8" w:space="0" w:color="000000"/>
              <w:bottom w:val="single" w:sz="8" w:space="0" w:color="000000"/>
              <w:right w:val="single" w:sz="8" w:space="0" w:color="000000"/>
            </w:tcBorders>
            <w:shd w:color="auto" w:fill="D9D9D9" w:val="clear"/>
          </w:tcPr>
          <w:p>
            <w:pPr>
              <w:pStyle w:val="NazevaDS"/>
              <w:spacing w:before="120" w:after="0"/>
              <w:ind w:left="709" w:right="168" w:hanging="709"/>
              <w:rPr>
                <w:rFonts w:ascii="Arial" w:hAnsi="Arial" w:cs="Arial"/>
                <w:sz w:val="22"/>
                <w:szCs w:val="22"/>
              </w:rPr>
            </w:pPr>
            <w:r>
              <w:rPr>
                <w:rFonts w:cs="Arial" w:ascii="Arial" w:hAnsi="Arial"/>
                <w:sz w:val="22"/>
                <w:szCs w:val="22"/>
              </w:rPr>
              <w:t>STL</w:t>
            </w:r>
          </w:p>
        </w:tc>
        <w:tc>
          <w:tcPr>
            <w:tcW w:w="1134" w:type="dxa"/>
            <w:tcBorders>
              <w:top w:val="single" w:sz="8" w:space="0" w:color="000000"/>
              <w:left w:val="single" w:sz="8" w:space="0" w:color="000000"/>
              <w:bottom w:val="single" w:sz="8" w:space="0" w:color="000000"/>
              <w:right w:val="single" w:sz="8" w:space="0" w:color="000000"/>
            </w:tcBorders>
          </w:tcPr>
          <w:p>
            <w:pPr>
              <w:pStyle w:val="NazevaDS"/>
              <w:tabs>
                <w:tab w:val="clear" w:pos="708"/>
                <w:tab w:val="right" w:pos="655" w:leader="none"/>
              </w:tabs>
              <w:spacing w:before="120" w:after="0"/>
              <w:ind w:left="709" w:right="168" w:hanging="425"/>
              <w:jc w:val="right"/>
              <w:rPr>
                <w:rFonts w:ascii="Arial" w:hAnsi="Arial" w:cs="Arial"/>
                <w:b w:val="false"/>
                <w:b w:val="false"/>
                <w:bCs/>
                <w:sz w:val="22"/>
                <w:szCs w:val="22"/>
              </w:rPr>
            </w:pPr>
            <w:r>
              <w:rPr>
                <w:rFonts w:cs="Arial" w:ascii="Arial" w:hAnsi="Arial"/>
                <w:b w:val="false"/>
                <w:bCs/>
                <w:sz w:val="22"/>
                <w:szCs w:val="22"/>
              </w:rPr>
              <w:t>100</w:t>
            </w:r>
          </w:p>
        </w:tc>
        <w:tc>
          <w:tcPr>
            <w:tcW w:w="993" w:type="dxa"/>
            <w:tcBorders>
              <w:top w:val="single" w:sz="8" w:space="0" w:color="000000"/>
              <w:left w:val="single" w:sz="8" w:space="0" w:color="000000"/>
              <w:bottom w:val="single" w:sz="8" w:space="0" w:color="000000"/>
              <w:right w:val="single" w:sz="8" w:space="0" w:color="000000"/>
            </w:tcBorders>
          </w:tcPr>
          <w:p>
            <w:pPr>
              <w:pStyle w:val="NazevaDS"/>
              <w:spacing w:before="120" w:after="0"/>
              <w:ind w:left="-70" w:right="72" w:hanging="0"/>
              <w:jc w:val="right"/>
              <w:rPr>
                <w:rFonts w:ascii="Arial" w:hAnsi="Arial" w:cs="Arial"/>
                <w:b w:val="false"/>
                <w:b w:val="false"/>
                <w:bCs/>
                <w:sz w:val="22"/>
                <w:szCs w:val="22"/>
              </w:rPr>
            </w:pPr>
            <w:r>
              <w:rPr>
                <w:rFonts w:cs="Arial" w:ascii="Arial" w:hAnsi="Arial"/>
                <w:b w:val="false"/>
                <w:bCs/>
                <w:sz w:val="22"/>
                <w:szCs w:val="22"/>
              </w:rPr>
              <w:t>114,04</w:t>
            </w:r>
          </w:p>
        </w:tc>
        <w:tc>
          <w:tcPr>
            <w:tcW w:w="850" w:type="dxa"/>
            <w:tcBorders>
              <w:top w:val="single" w:sz="8" w:space="0" w:color="000000"/>
              <w:left w:val="single" w:sz="8" w:space="0" w:color="000000"/>
              <w:bottom w:val="single" w:sz="8" w:space="0" w:color="000000"/>
              <w:right w:val="single" w:sz="8" w:space="0" w:color="000000"/>
            </w:tcBorders>
          </w:tcPr>
          <w:p>
            <w:pPr>
              <w:pStyle w:val="Normal"/>
              <w:spacing w:before="120" w:after="0"/>
              <w:ind w:left="-68" w:right="71" w:hanging="0"/>
              <w:jc w:val="right"/>
              <w:rPr>
                <w:rFonts w:ascii="Arial" w:hAnsi="Arial" w:cs="Arial"/>
                <w:sz w:val="22"/>
                <w:szCs w:val="22"/>
              </w:rPr>
            </w:pPr>
            <w:r>
              <w:rPr>
                <w:rFonts w:cs="Arial" w:ascii="Arial" w:hAnsi="Arial"/>
                <w:sz w:val="22"/>
                <w:szCs w:val="22"/>
              </w:rPr>
            </w:r>
          </w:p>
        </w:tc>
        <w:tc>
          <w:tcPr>
            <w:tcW w:w="1843" w:type="dxa"/>
            <w:tcBorders>
              <w:top w:val="single" w:sz="8" w:space="0" w:color="000000"/>
              <w:left w:val="single" w:sz="8" w:space="0" w:color="000000"/>
              <w:bottom w:val="single" w:sz="8" w:space="0" w:color="000000"/>
              <w:right w:val="single" w:sz="8" w:space="0" w:color="000000"/>
            </w:tcBorders>
            <w:vAlign w:val="bottom"/>
          </w:tcPr>
          <w:p>
            <w:pPr>
              <w:pStyle w:val="Normal"/>
              <w:rPr>
                <w:rFonts w:ascii="Arial" w:hAnsi="Arial" w:cs="Arial"/>
                <w:sz w:val="22"/>
                <w:szCs w:val="22"/>
              </w:rPr>
            </w:pPr>
            <w:r>
              <w:rPr>
                <w:rFonts w:cs="Arial" w:ascii="Arial" w:hAnsi="Arial"/>
                <w:sz w:val="22"/>
                <w:szCs w:val="22"/>
              </w:rPr>
              <w:t>Klatovy</w:t>
            </w:r>
          </w:p>
        </w:tc>
        <w:tc>
          <w:tcPr>
            <w:tcW w:w="2409" w:type="dxa"/>
            <w:tcBorders>
              <w:top w:val="single" w:sz="8" w:space="0" w:color="000000"/>
              <w:left w:val="single" w:sz="8" w:space="0" w:color="000000"/>
              <w:bottom w:val="single" w:sz="8" w:space="0" w:color="000000"/>
              <w:right w:val="single" w:sz="8" w:space="0" w:color="000000"/>
            </w:tcBorders>
            <w:vAlign w:val="bottom"/>
          </w:tcPr>
          <w:p>
            <w:pPr>
              <w:pStyle w:val="Normal"/>
              <w:rPr>
                <w:rFonts w:ascii="Arial" w:hAnsi="Arial" w:cs="Arial"/>
                <w:sz w:val="22"/>
                <w:szCs w:val="22"/>
              </w:rPr>
            </w:pPr>
            <w:r>
              <w:rPr>
                <w:rFonts w:cs="Arial" w:ascii="Arial" w:hAnsi="Arial"/>
                <w:sz w:val="22"/>
                <w:szCs w:val="22"/>
              </w:rPr>
              <w:t>Klatovy</w:t>
            </w:r>
          </w:p>
        </w:tc>
      </w:tr>
      <w:tr>
        <w:trPr/>
        <w:tc>
          <w:tcPr>
            <w:tcW w:w="2268" w:type="dxa"/>
            <w:tcBorders>
              <w:top w:val="single" w:sz="8" w:space="0" w:color="000000"/>
              <w:left w:val="single" w:sz="8" w:space="0" w:color="000000"/>
              <w:bottom w:val="single" w:sz="8" w:space="0" w:color="000000"/>
              <w:right w:val="single" w:sz="8" w:space="0" w:color="000000"/>
            </w:tcBorders>
            <w:shd w:color="auto" w:fill="D9D9D9" w:val="clear"/>
          </w:tcPr>
          <w:p>
            <w:pPr>
              <w:pStyle w:val="NazevaDS"/>
              <w:spacing w:before="120" w:after="0"/>
              <w:ind w:left="709" w:right="168" w:hanging="709"/>
              <w:rPr>
                <w:rFonts w:ascii="Arial" w:hAnsi="Arial" w:cs="Arial"/>
                <w:sz w:val="22"/>
                <w:szCs w:val="22"/>
              </w:rPr>
            </w:pPr>
            <w:r>
              <w:rPr>
                <w:rFonts w:cs="Arial" w:ascii="Arial" w:hAnsi="Arial"/>
                <w:sz w:val="22"/>
                <w:szCs w:val="22"/>
              </w:rPr>
              <w:t xml:space="preserve">STL </w:t>
            </w:r>
          </w:p>
        </w:tc>
        <w:tc>
          <w:tcPr>
            <w:tcW w:w="1134" w:type="dxa"/>
            <w:tcBorders>
              <w:top w:val="single" w:sz="8" w:space="0" w:color="000000"/>
              <w:left w:val="single" w:sz="8" w:space="0" w:color="000000"/>
              <w:bottom w:val="single" w:sz="8" w:space="0" w:color="000000"/>
              <w:right w:val="single" w:sz="8" w:space="0" w:color="000000"/>
            </w:tcBorders>
          </w:tcPr>
          <w:p>
            <w:pPr>
              <w:pStyle w:val="NazevaDS"/>
              <w:tabs>
                <w:tab w:val="clear" w:pos="708"/>
                <w:tab w:val="right" w:pos="655" w:leader="none"/>
              </w:tabs>
              <w:spacing w:before="120" w:after="0"/>
              <w:ind w:left="709" w:right="168" w:hanging="425"/>
              <w:jc w:val="right"/>
              <w:rPr>
                <w:rFonts w:ascii="Arial" w:hAnsi="Arial" w:cs="Arial"/>
                <w:b w:val="false"/>
                <w:b w:val="false"/>
                <w:bCs/>
                <w:sz w:val="22"/>
                <w:szCs w:val="22"/>
              </w:rPr>
            </w:pPr>
            <w:r>
              <w:rPr>
                <w:rFonts w:cs="Arial" w:ascii="Arial" w:hAnsi="Arial"/>
                <w:b w:val="false"/>
                <w:bCs/>
                <w:sz w:val="22"/>
                <w:szCs w:val="22"/>
              </w:rPr>
              <w:t>50</w:t>
            </w:r>
          </w:p>
        </w:tc>
        <w:tc>
          <w:tcPr>
            <w:tcW w:w="993" w:type="dxa"/>
            <w:tcBorders>
              <w:top w:val="single" w:sz="8" w:space="0" w:color="000000"/>
              <w:left w:val="single" w:sz="8" w:space="0" w:color="000000"/>
              <w:bottom w:val="single" w:sz="8" w:space="0" w:color="000000"/>
              <w:right w:val="single" w:sz="8" w:space="0" w:color="000000"/>
            </w:tcBorders>
          </w:tcPr>
          <w:p>
            <w:pPr>
              <w:pStyle w:val="NazevaDS"/>
              <w:spacing w:before="120" w:after="0"/>
              <w:ind w:left="-70" w:right="72" w:hanging="0"/>
              <w:jc w:val="right"/>
              <w:rPr>
                <w:rFonts w:ascii="Arial" w:hAnsi="Arial" w:cs="Arial"/>
                <w:b w:val="false"/>
                <w:b w:val="false"/>
                <w:bCs/>
                <w:sz w:val="22"/>
                <w:szCs w:val="22"/>
              </w:rPr>
            </w:pPr>
            <w:r>
              <w:rPr>
                <w:rFonts w:cs="Arial" w:ascii="Arial" w:hAnsi="Arial"/>
                <w:b w:val="false"/>
                <w:bCs/>
                <w:sz w:val="22"/>
                <w:szCs w:val="22"/>
              </w:rPr>
              <w:t>87,99</w:t>
            </w:r>
          </w:p>
        </w:tc>
        <w:tc>
          <w:tcPr>
            <w:tcW w:w="850" w:type="dxa"/>
            <w:tcBorders>
              <w:top w:val="single" w:sz="8" w:space="0" w:color="000000"/>
              <w:left w:val="single" w:sz="8" w:space="0" w:color="000000"/>
              <w:bottom w:val="single" w:sz="8" w:space="0" w:color="000000"/>
              <w:right w:val="single" w:sz="8" w:space="0" w:color="000000"/>
            </w:tcBorders>
          </w:tcPr>
          <w:p>
            <w:pPr>
              <w:pStyle w:val="Normal"/>
              <w:spacing w:before="120" w:after="0"/>
              <w:ind w:left="-68" w:right="71" w:hanging="0"/>
              <w:jc w:val="right"/>
              <w:rPr>
                <w:rFonts w:ascii="Arial" w:hAnsi="Arial" w:cs="Arial"/>
                <w:sz w:val="22"/>
                <w:szCs w:val="22"/>
              </w:rPr>
            </w:pPr>
            <w:r>
              <w:rPr>
                <w:rFonts w:cs="Arial" w:ascii="Arial" w:hAnsi="Arial"/>
                <w:sz w:val="22"/>
                <w:szCs w:val="22"/>
              </w:rPr>
            </w:r>
          </w:p>
        </w:tc>
        <w:tc>
          <w:tcPr>
            <w:tcW w:w="1843" w:type="dxa"/>
            <w:tcBorders>
              <w:top w:val="single" w:sz="8" w:space="0" w:color="000000"/>
              <w:left w:val="single" w:sz="8" w:space="0" w:color="000000"/>
              <w:bottom w:val="single" w:sz="8" w:space="0" w:color="000000"/>
              <w:right w:val="single" w:sz="8" w:space="0" w:color="000000"/>
            </w:tcBorders>
            <w:vAlign w:val="bottom"/>
          </w:tcPr>
          <w:p>
            <w:pPr>
              <w:pStyle w:val="Normal"/>
              <w:rPr>
                <w:rFonts w:ascii="Arial" w:hAnsi="Arial" w:cs="Arial"/>
                <w:sz w:val="22"/>
                <w:szCs w:val="22"/>
              </w:rPr>
            </w:pPr>
            <w:r>
              <w:rPr>
                <w:rFonts w:cs="Arial" w:ascii="Arial" w:hAnsi="Arial"/>
                <w:sz w:val="22"/>
                <w:szCs w:val="22"/>
              </w:rPr>
              <w:t>Klatovy</w:t>
            </w:r>
          </w:p>
        </w:tc>
        <w:tc>
          <w:tcPr>
            <w:tcW w:w="2409" w:type="dxa"/>
            <w:tcBorders>
              <w:top w:val="single" w:sz="8" w:space="0" w:color="000000"/>
              <w:left w:val="single" w:sz="8" w:space="0" w:color="000000"/>
              <w:bottom w:val="single" w:sz="8" w:space="0" w:color="000000"/>
              <w:right w:val="single" w:sz="8" w:space="0" w:color="000000"/>
            </w:tcBorders>
            <w:vAlign w:val="bottom"/>
          </w:tcPr>
          <w:p>
            <w:pPr>
              <w:pStyle w:val="Normal"/>
              <w:rPr>
                <w:rFonts w:ascii="Arial" w:hAnsi="Arial" w:cs="Arial"/>
                <w:sz w:val="22"/>
                <w:szCs w:val="22"/>
              </w:rPr>
            </w:pPr>
            <w:r>
              <w:rPr>
                <w:rFonts w:cs="Arial" w:ascii="Arial" w:hAnsi="Arial"/>
                <w:sz w:val="22"/>
                <w:szCs w:val="22"/>
              </w:rPr>
              <w:t>Klatovy</w:t>
            </w:r>
          </w:p>
        </w:tc>
      </w:tr>
      <w:tr>
        <w:trPr/>
        <w:tc>
          <w:tcPr>
            <w:tcW w:w="2268" w:type="dxa"/>
            <w:tcBorders>
              <w:top w:val="single" w:sz="8" w:space="0" w:color="000000"/>
              <w:left w:val="single" w:sz="8" w:space="0" w:color="000000"/>
              <w:bottom w:val="single" w:sz="8" w:space="0" w:color="000000"/>
              <w:right w:val="single" w:sz="8" w:space="0" w:color="000000"/>
            </w:tcBorders>
            <w:shd w:color="auto" w:fill="D9D9D9" w:val="clear"/>
          </w:tcPr>
          <w:p>
            <w:pPr>
              <w:pStyle w:val="NazevaDS"/>
              <w:spacing w:before="120" w:after="0"/>
              <w:ind w:left="709" w:right="168" w:hanging="709"/>
              <w:rPr>
                <w:rFonts w:ascii="Arial" w:hAnsi="Arial" w:cs="Arial"/>
                <w:sz w:val="22"/>
                <w:szCs w:val="22"/>
              </w:rPr>
            </w:pPr>
            <w:r>
              <w:rPr>
                <w:rFonts w:cs="Arial" w:ascii="Arial" w:hAnsi="Arial"/>
                <w:sz w:val="22"/>
                <w:szCs w:val="22"/>
              </w:rPr>
              <w:t>Přípojky</w:t>
            </w:r>
          </w:p>
        </w:tc>
        <w:tc>
          <w:tcPr>
            <w:tcW w:w="1134" w:type="dxa"/>
            <w:tcBorders>
              <w:top w:val="single" w:sz="8" w:space="0" w:color="000000"/>
              <w:left w:val="single" w:sz="8" w:space="0" w:color="000000"/>
              <w:bottom w:val="single" w:sz="8" w:space="0" w:color="000000"/>
              <w:right w:val="single" w:sz="8" w:space="0" w:color="000000"/>
            </w:tcBorders>
          </w:tcPr>
          <w:p>
            <w:pPr>
              <w:pStyle w:val="NazevaDS"/>
              <w:tabs>
                <w:tab w:val="clear" w:pos="708"/>
                <w:tab w:val="right" w:pos="655" w:leader="none"/>
              </w:tabs>
              <w:spacing w:before="120" w:after="0"/>
              <w:ind w:left="709" w:right="168" w:hanging="425"/>
              <w:jc w:val="right"/>
              <w:rPr>
                <w:rFonts w:ascii="Arial" w:hAnsi="Arial" w:cs="Arial"/>
                <w:b w:val="false"/>
                <w:b w:val="false"/>
                <w:bCs/>
                <w:sz w:val="22"/>
                <w:szCs w:val="22"/>
              </w:rPr>
            </w:pPr>
            <w:r>
              <w:rPr>
                <w:rFonts w:cs="Arial" w:ascii="Arial" w:hAnsi="Arial"/>
                <w:b w:val="false"/>
                <w:bCs/>
                <w:sz w:val="22"/>
                <w:szCs w:val="22"/>
              </w:rPr>
              <w:t>100</w:t>
            </w:r>
          </w:p>
        </w:tc>
        <w:tc>
          <w:tcPr>
            <w:tcW w:w="993" w:type="dxa"/>
            <w:tcBorders>
              <w:top w:val="single" w:sz="8" w:space="0" w:color="000000"/>
              <w:left w:val="single" w:sz="8" w:space="0" w:color="000000"/>
              <w:bottom w:val="single" w:sz="8" w:space="0" w:color="000000"/>
              <w:right w:val="single" w:sz="8" w:space="0" w:color="000000"/>
            </w:tcBorders>
          </w:tcPr>
          <w:p>
            <w:pPr>
              <w:pStyle w:val="NazevaDS"/>
              <w:spacing w:before="120" w:after="0"/>
              <w:ind w:left="-70" w:right="72" w:hanging="0"/>
              <w:jc w:val="right"/>
              <w:rPr>
                <w:rFonts w:ascii="Arial" w:hAnsi="Arial" w:cs="Arial"/>
                <w:b w:val="false"/>
                <w:b w:val="false"/>
                <w:bCs/>
                <w:sz w:val="22"/>
                <w:szCs w:val="22"/>
              </w:rPr>
            </w:pPr>
            <w:r>
              <w:rPr>
                <w:rFonts w:cs="Arial" w:ascii="Arial" w:hAnsi="Arial"/>
                <w:b w:val="false"/>
                <w:bCs/>
                <w:sz w:val="22"/>
                <w:szCs w:val="22"/>
              </w:rPr>
              <w:t>3,50</w:t>
            </w:r>
          </w:p>
        </w:tc>
        <w:tc>
          <w:tcPr>
            <w:tcW w:w="850" w:type="dxa"/>
            <w:tcBorders>
              <w:top w:val="single" w:sz="8" w:space="0" w:color="000000"/>
              <w:left w:val="single" w:sz="8" w:space="0" w:color="000000"/>
              <w:bottom w:val="single" w:sz="8" w:space="0" w:color="000000"/>
              <w:right w:val="single" w:sz="8" w:space="0" w:color="000000"/>
            </w:tcBorders>
          </w:tcPr>
          <w:p>
            <w:pPr>
              <w:pStyle w:val="Normal"/>
              <w:spacing w:before="120" w:after="0"/>
              <w:ind w:left="-68" w:right="71" w:hanging="0"/>
              <w:jc w:val="right"/>
              <w:rPr>
                <w:rFonts w:ascii="Arial" w:hAnsi="Arial" w:cs="Arial"/>
                <w:sz w:val="22"/>
                <w:szCs w:val="22"/>
              </w:rPr>
            </w:pPr>
            <w:r>
              <w:rPr>
                <w:rFonts w:cs="Arial" w:ascii="Arial" w:hAnsi="Arial"/>
                <w:sz w:val="22"/>
                <w:szCs w:val="22"/>
              </w:rPr>
              <w:t>1</w:t>
            </w:r>
          </w:p>
        </w:tc>
        <w:tc>
          <w:tcPr>
            <w:tcW w:w="1843" w:type="dxa"/>
            <w:tcBorders>
              <w:top w:val="single" w:sz="8" w:space="0" w:color="000000"/>
              <w:left w:val="single" w:sz="8" w:space="0" w:color="000000"/>
              <w:bottom w:val="single" w:sz="8" w:space="0" w:color="000000"/>
              <w:right w:val="single" w:sz="8" w:space="0" w:color="000000"/>
            </w:tcBorders>
            <w:vAlign w:val="bottom"/>
          </w:tcPr>
          <w:p>
            <w:pPr>
              <w:pStyle w:val="Normal"/>
              <w:rPr>
                <w:rFonts w:ascii="Arial" w:hAnsi="Arial" w:cs="Arial"/>
                <w:sz w:val="22"/>
                <w:szCs w:val="22"/>
              </w:rPr>
            </w:pPr>
            <w:r>
              <w:rPr>
                <w:rFonts w:cs="Arial" w:ascii="Arial" w:hAnsi="Arial"/>
                <w:sz w:val="22"/>
                <w:szCs w:val="22"/>
              </w:rPr>
              <w:t>Klatovy</w:t>
            </w:r>
          </w:p>
        </w:tc>
        <w:tc>
          <w:tcPr>
            <w:tcW w:w="2409" w:type="dxa"/>
            <w:tcBorders>
              <w:top w:val="single" w:sz="8" w:space="0" w:color="000000"/>
              <w:left w:val="single" w:sz="8" w:space="0" w:color="000000"/>
              <w:bottom w:val="single" w:sz="8" w:space="0" w:color="000000"/>
              <w:right w:val="single" w:sz="8" w:space="0" w:color="000000"/>
            </w:tcBorders>
            <w:vAlign w:val="bottom"/>
          </w:tcPr>
          <w:p>
            <w:pPr>
              <w:pStyle w:val="Normal"/>
              <w:rPr>
                <w:rFonts w:ascii="Arial" w:hAnsi="Arial" w:cs="Arial"/>
                <w:sz w:val="22"/>
                <w:szCs w:val="22"/>
              </w:rPr>
            </w:pPr>
            <w:r>
              <w:rPr>
                <w:rFonts w:cs="Arial" w:ascii="Arial" w:hAnsi="Arial"/>
                <w:sz w:val="22"/>
                <w:szCs w:val="22"/>
              </w:rPr>
              <w:t>Klatovy</w:t>
            </w:r>
          </w:p>
        </w:tc>
      </w:tr>
      <w:tr>
        <w:trPr/>
        <w:tc>
          <w:tcPr>
            <w:tcW w:w="2268" w:type="dxa"/>
            <w:tcBorders>
              <w:top w:val="single" w:sz="8" w:space="0" w:color="000000"/>
              <w:left w:val="single" w:sz="8" w:space="0" w:color="000000"/>
              <w:bottom w:val="single" w:sz="8" w:space="0" w:color="000000"/>
              <w:right w:val="single" w:sz="8" w:space="0" w:color="000000"/>
            </w:tcBorders>
            <w:shd w:color="auto" w:fill="D9D9D9" w:val="clear"/>
          </w:tcPr>
          <w:p>
            <w:pPr>
              <w:pStyle w:val="NazevaDS"/>
              <w:spacing w:before="120" w:after="0"/>
              <w:ind w:left="709" w:right="168" w:hanging="709"/>
              <w:rPr>
                <w:rFonts w:ascii="Arial" w:hAnsi="Arial" w:cs="Arial"/>
                <w:sz w:val="22"/>
                <w:szCs w:val="22"/>
              </w:rPr>
            </w:pPr>
            <w:r>
              <w:rPr>
                <w:rFonts w:cs="Arial" w:ascii="Arial" w:hAnsi="Arial"/>
                <w:sz w:val="22"/>
                <w:szCs w:val="22"/>
              </w:rPr>
              <w:t>Přípojky</w:t>
            </w:r>
          </w:p>
        </w:tc>
        <w:tc>
          <w:tcPr>
            <w:tcW w:w="1134" w:type="dxa"/>
            <w:tcBorders>
              <w:top w:val="single" w:sz="8" w:space="0" w:color="000000"/>
              <w:left w:val="single" w:sz="8" w:space="0" w:color="000000"/>
              <w:bottom w:val="single" w:sz="8" w:space="0" w:color="000000"/>
              <w:right w:val="single" w:sz="8" w:space="0" w:color="000000"/>
            </w:tcBorders>
          </w:tcPr>
          <w:p>
            <w:pPr>
              <w:pStyle w:val="NazevaDS"/>
              <w:tabs>
                <w:tab w:val="clear" w:pos="708"/>
                <w:tab w:val="right" w:pos="655" w:leader="none"/>
              </w:tabs>
              <w:spacing w:before="120" w:after="0"/>
              <w:ind w:left="709" w:right="168" w:hanging="425"/>
              <w:jc w:val="right"/>
              <w:rPr>
                <w:rFonts w:ascii="Arial" w:hAnsi="Arial" w:cs="Arial"/>
                <w:b w:val="false"/>
                <w:b w:val="false"/>
                <w:bCs/>
                <w:sz w:val="22"/>
                <w:szCs w:val="22"/>
              </w:rPr>
            </w:pPr>
            <w:r>
              <w:rPr>
                <w:rFonts w:cs="Arial" w:ascii="Arial" w:hAnsi="Arial"/>
                <w:b w:val="false"/>
                <w:bCs/>
                <w:sz w:val="22"/>
                <w:szCs w:val="22"/>
              </w:rPr>
              <w:t>50</w:t>
            </w:r>
          </w:p>
        </w:tc>
        <w:tc>
          <w:tcPr>
            <w:tcW w:w="993" w:type="dxa"/>
            <w:tcBorders>
              <w:top w:val="single" w:sz="8" w:space="0" w:color="000000"/>
              <w:left w:val="single" w:sz="8" w:space="0" w:color="000000"/>
              <w:bottom w:val="single" w:sz="8" w:space="0" w:color="000000"/>
              <w:right w:val="single" w:sz="8" w:space="0" w:color="000000"/>
            </w:tcBorders>
          </w:tcPr>
          <w:p>
            <w:pPr>
              <w:pStyle w:val="NazevaDS"/>
              <w:spacing w:before="120" w:after="0"/>
              <w:ind w:left="-70" w:right="72" w:hanging="0"/>
              <w:jc w:val="right"/>
              <w:rPr>
                <w:rFonts w:ascii="Arial" w:hAnsi="Arial" w:cs="Arial"/>
                <w:b w:val="false"/>
                <w:b w:val="false"/>
                <w:bCs/>
                <w:sz w:val="22"/>
                <w:szCs w:val="22"/>
              </w:rPr>
            </w:pPr>
            <w:r>
              <w:rPr>
                <w:rFonts w:cs="Arial" w:ascii="Arial" w:hAnsi="Arial"/>
                <w:b w:val="false"/>
                <w:bCs/>
                <w:sz w:val="22"/>
                <w:szCs w:val="22"/>
              </w:rPr>
              <w:t>7,39</w:t>
            </w:r>
          </w:p>
        </w:tc>
        <w:tc>
          <w:tcPr>
            <w:tcW w:w="850"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before="120" w:after="0"/>
              <w:ind w:left="-68" w:right="71" w:hanging="0"/>
              <w:jc w:val="right"/>
              <w:rPr>
                <w:rFonts w:ascii="Arial" w:hAnsi="Arial" w:cs="Arial"/>
                <w:sz w:val="22"/>
                <w:szCs w:val="22"/>
              </w:rPr>
            </w:pPr>
            <w:r>
              <w:rPr>
                <w:rFonts w:cs="Arial" w:ascii="Arial" w:hAnsi="Arial"/>
                <w:sz w:val="22"/>
                <w:szCs w:val="22"/>
              </w:rPr>
              <w:t>1</w:t>
            </w:r>
          </w:p>
        </w:tc>
        <w:tc>
          <w:tcPr>
            <w:tcW w:w="1843" w:type="dxa"/>
            <w:tcBorders>
              <w:top w:val="single" w:sz="8" w:space="0" w:color="000000"/>
              <w:left w:val="single" w:sz="8" w:space="0" w:color="000000"/>
              <w:bottom w:val="single" w:sz="8" w:space="0" w:color="000000"/>
              <w:right w:val="single" w:sz="8" w:space="0" w:color="000000"/>
            </w:tcBorders>
            <w:shd w:color="auto" w:fill="auto" w:val="clear"/>
            <w:vAlign w:val="bottom"/>
          </w:tcPr>
          <w:p>
            <w:pPr>
              <w:pStyle w:val="Normal"/>
              <w:rPr>
                <w:rFonts w:ascii="Arial" w:hAnsi="Arial" w:cs="Arial"/>
                <w:sz w:val="22"/>
                <w:szCs w:val="22"/>
              </w:rPr>
            </w:pPr>
            <w:r>
              <w:rPr>
                <w:rFonts w:cs="Arial" w:ascii="Arial" w:hAnsi="Arial"/>
                <w:sz w:val="22"/>
                <w:szCs w:val="22"/>
              </w:rPr>
              <w:t>Klatovy</w:t>
            </w:r>
          </w:p>
        </w:tc>
        <w:tc>
          <w:tcPr>
            <w:tcW w:w="2409" w:type="dxa"/>
            <w:tcBorders>
              <w:top w:val="single" w:sz="8" w:space="0" w:color="000000"/>
              <w:left w:val="single" w:sz="8" w:space="0" w:color="000000"/>
              <w:bottom w:val="single" w:sz="8" w:space="0" w:color="000000"/>
              <w:right w:val="single" w:sz="8" w:space="0" w:color="000000"/>
            </w:tcBorders>
            <w:shd w:color="auto" w:fill="auto" w:val="clear"/>
            <w:vAlign w:val="bottom"/>
          </w:tcPr>
          <w:p>
            <w:pPr>
              <w:pStyle w:val="Normal"/>
              <w:rPr>
                <w:rFonts w:ascii="Arial" w:hAnsi="Arial" w:cs="Arial"/>
                <w:sz w:val="22"/>
                <w:szCs w:val="22"/>
              </w:rPr>
            </w:pPr>
            <w:r>
              <w:rPr>
                <w:rFonts w:cs="Arial" w:ascii="Arial" w:hAnsi="Arial"/>
                <w:sz w:val="22"/>
                <w:szCs w:val="22"/>
              </w:rPr>
              <w:t>Klatovy</w:t>
            </w:r>
          </w:p>
        </w:tc>
      </w:tr>
      <w:tr>
        <w:trPr/>
        <w:tc>
          <w:tcPr>
            <w:tcW w:w="2268" w:type="dxa"/>
            <w:tcBorders>
              <w:top w:val="single" w:sz="8" w:space="0" w:color="000000"/>
              <w:left w:val="single" w:sz="8" w:space="0" w:color="000000"/>
              <w:bottom w:val="single" w:sz="8" w:space="0" w:color="000000"/>
              <w:right w:val="single" w:sz="8" w:space="0" w:color="000000"/>
            </w:tcBorders>
            <w:shd w:color="auto" w:fill="D9D9D9" w:val="clear"/>
          </w:tcPr>
          <w:p>
            <w:pPr>
              <w:pStyle w:val="NazevaDS"/>
              <w:spacing w:before="120" w:after="0"/>
              <w:ind w:left="709" w:right="168" w:hanging="709"/>
              <w:rPr>
                <w:rFonts w:ascii="Arial" w:hAnsi="Arial" w:cs="Arial"/>
                <w:sz w:val="22"/>
                <w:szCs w:val="22"/>
              </w:rPr>
            </w:pPr>
            <w:r>
              <w:rPr>
                <w:rFonts w:cs="Arial" w:ascii="Arial" w:hAnsi="Arial"/>
                <w:sz w:val="22"/>
                <w:szCs w:val="22"/>
              </w:rPr>
              <w:t>Přípojky</w:t>
            </w:r>
          </w:p>
        </w:tc>
        <w:tc>
          <w:tcPr>
            <w:tcW w:w="1134" w:type="dxa"/>
            <w:tcBorders>
              <w:top w:val="single" w:sz="8" w:space="0" w:color="000000"/>
              <w:left w:val="single" w:sz="8" w:space="0" w:color="000000"/>
              <w:bottom w:val="single" w:sz="8" w:space="0" w:color="000000"/>
              <w:right w:val="single" w:sz="8" w:space="0" w:color="000000"/>
            </w:tcBorders>
          </w:tcPr>
          <w:p>
            <w:pPr>
              <w:pStyle w:val="NazevaDS"/>
              <w:tabs>
                <w:tab w:val="clear" w:pos="708"/>
                <w:tab w:val="right" w:pos="655" w:leader="none"/>
              </w:tabs>
              <w:spacing w:before="120" w:after="0"/>
              <w:ind w:left="709" w:right="168" w:hanging="425"/>
              <w:jc w:val="right"/>
              <w:rPr>
                <w:rFonts w:ascii="Arial" w:hAnsi="Arial" w:cs="Arial"/>
                <w:b w:val="false"/>
                <w:b w:val="false"/>
                <w:bCs/>
                <w:sz w:val="22"/>
                <w:szCs w:val="22"/>
              </w:rPr>
            </w:pPr>
            <w:r>
              <w:rPr>
                <w:rFonts w:cs="Arial" w:ascii="Arial" w:hAnsi="Arial"/>
                <w:b w:val="false"/>
                <w:bCs/>
                <w:sz w:val="22"/>
                <w:szCs w:val="22"/>
              </w:rPr>
              <w:t>40</w:t>
            </w:r>
          </w:p>
        </w:tc>
        <w:tc>
          <w:tcPr>
            <w:tcW w:w="993" w:type="dxa"/>
            <w:tcBorders>
              <w:top w:val="single" w:sz="8" w:space="0" w:color="000000"/>
              <w:left w:val="single" w:sz="8" w:space="0" w:color="000000"/>
              <w:bottom w:val="single" w:sz="8" w:space="0" w:color="000000"/>
              <w:right w:val="single" w:sz="8" w:space="0" w:color="000000"/>
            </w:tcBorders>
          </w:tcPr>
          <w:p>
            <w:pPr>
              <w:pStyle w:val="NazevaDS"/>
              <w:spacing w:before="120" w:after="0"/>
              <w:ind w:left="-70" w:right="72" w:hanging="0"/>
              <w:jc w:val="right"/>
              <w:rPr>
                <w:rFonts w:ascii="Arial" w:hAnsi="Arial" w:cs="Arial"/>
                <w:b w:val="false"/>
                <w:b w:val="false"/>
                <w:bCs/>
                <w:sz w:val="22"/>
                <w:szCs w:val="22"/>
              </w:rPr>
            </w:pPr>
            <w:r>
              <w:rPr>
                <w:rFonts w:cs="Arial" w:ascii="Arial" w:hAnsi="Arial"/>
                <w:b w:val="false"/>
                <w:bCs/>
                <w:sz w:val="22"/>
                <w:szCs w:val="22"/>
              </w:rPr>
              <w:t>6,06</w:t>
            </w:r>
          </w:p>
        </w:tc>
        <w:tc>
          <w:tcPr>
            <w:tcW w:w="850"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before="120" w:after="0"/>
              <w:ind w:left="-68" w:right="71" w:hanging="0"/>
              <w:jc w:val="right"/>
              <w:rPr>
                <w:rFonts w:ascii="Arial" w:hAnsi="Arial" w:cs="Arial"/>
                <w:sz w:val="22"/>
                <w:szCs w:val="22"/>
              </w:rPr>
            </w:pPr>
            <w:r>
              <w:rPr>
                <w:rFonts w:cs="Arial" w:ascii="Arial" w:hAnsi="Arial"/>
                <w:sz w:val="22"/>
                <w:szCs w:val="22"/>
              </w:rPr>
              <w:t>1</w:t>
            </w:r>
          </w:p>
        </w:tc>
        <w:tc>
          <w:tcPr>
            <w:tcW w:w="1843" w:type="dxa"/>
            <w:tcBorders>
              <w:top w:val="single" w:sz="8" w:space="0" w:color="000000"/>
              <w:left w:val="single" w:sz="8" w:space="0" w:color="000000"/>
              <w:bottom w:val="single" w:sz="8" w:space="0" w:color="000000"/>
              <w:right w:val="single" w:sz="8" w:space="0" w:color="000000"/>
            </w:tcBorders>
            <w:shd w:color="auto" w:fill="auto" w:val="clear"/>
            <w:vAlign w:val="bottom"/>
          </w:tcPr>
          <w:p>
            <w:pPr>
              <w:pStyle w:val="Normal"/>
              <w:rPr>
                <w:rFonts w:ascii="Arial" w:hAnsi="Arial" w:cs="Arial"/>
                <w:sz w:val="22"/>
                <w:szCs w:val="22"/>
              </w:rPr>
            </w:pPr>
            <w:r>
              <w:rPr>
                <w:rFonts w:cs="Arial" w:ascii="Arial" w:hAnsi="Arial"/>
                <w:sz w:val="22"/>
                <w:szCs w:val="22"/>
              </w:rPr>
              <w:t>Klatovy</w:t>
            </w:r>
          </w:p>
        </w:tc>
        <w:tc>
          <w:tcPr>
            <w:tcW w:w="2409" w:type="dxa"/>
            <w:tcBorders>
              <w:top w:val="single" w:sz="8" w:space="0" w:color="000000"/>
              <w:left w:val="single" w:sz="8" w:space="0" w:color="000000"/>
              <w:bottom w:val="single" w:sz="8" w:space="0" w:color="000000"/>
              <w:right w:val="single" w:sz="8" w:space="0" w:color="000000"/>
            </w:tcBorders>
            <w:shd w:color="auto" w:fill="auto" w:val="clear"/>
            <w:vAlign w:val="bottom"/>
          </w:tcPr>
          <w:p>
            <w:pPr>
              <w:pStyle w:val="Normal"/>
              <w:rPr>
                <w:rFonts w:ascii="Arial" w:hAnsi="Arial" w:cs="Arial"/>
                <w:sz w:val="22"/>
                <w:szCs w:val="22"/>
              </w:rPr>
            </w:pPr>
            <w:r>
              <w:rPr>
                <w:rFonts w:cs="Arial" w:ascii="Arial" w:hAnsi="Arial"/>
                <w:sz w:val="22"/>
                <w:szCs w:val="22"/>
              </w:rPr>
              <w:t>Klatovy</w:t>
            </w:r>
          </w:p>
        </w:tc>
      </w:tr>
    </w:tbl>
    <w:p>
      <w:pPr>
        <w:pStyle w:val="Normln1"/>
        <w:tabs>
          <w:tab w:val="clear" w:pos="708"/>
          <w:tab w:val="left" w:pos="3544" w:leader="none"/>
        </w:tabs>
        <w:ind w:left="426" w:hanging="0"/>
        <w:rPr>
          <w:rFonts w:ascii="Arial" w:hAnsi="Arial" w:cs="Arial"/>
          <w:sz w:val="22"/>
          <w:szCs w:val="22"/>
        </w:rPr>
      </w:pPr>
      <w:r>
        <w:rPr>
          <w:rFonts w:cs="Arial" w:ascii="Arial" w:hAnsi="Arial"/>
          <w:sz w:val="22"/>
          <w:szCs w:val="22"/>
        </w:rPr>
      </w:r>
    </w:p>
    <w:p>
      <w:pPr>
        <w:pStyle w:val="Normln1"/>
        <w:tabs>
          <w:tab w:val="clear" w:pos="708"/>
          <w:tab w:val="left" w:pos="3544" w:leader="none"/>
        </w:tabs>
        <w:ind w:left="426" w:hanging="0"/>
        <w:rPr>
          <w:rFonts w:ascii="Arial" w:hAnsi="Arial" w:cs="Arial"/>
          <w:sz w:val="22"/>
          <w:szCs w:val="22"/>
        </w:rPr>
      </w:pPr>
      <w:r>
        <w:rPr>
          <w:rFonts w:cs="Arial" w:ascii="Arial" w:hAnsi="Arial"/>
          <w:sz w:val="22"/>
          <w:szCs w:val="22"/>
        </w:rPr>
      </w:r>
    </w:p>
    <w:p>
      <w:pPr>
        <w:pStyle w:val="Normln1"/>
        <w:tabs>
          <w:tab w:val="clear" w:pos="708"/>
          <w:tab w:val="left" w:pos="3544" w:leader="none"/>
        </w:tabs>
        <w:ind w:left="426" w:hanging="0"/>
        <w:rPr>
          <w:rFonts w:ascii="Arial" w:hAnsi="Arial" w:cs="Arial"/>
          <w:sz w:val="22"/>
          <w:szCs w:val="22"/>
        </w:rPr>
      </w:pPr>
      <w:r>
        <w:rPr>
          <w:rFonts w:cs="Arial" w:ascii="Arial" w:hAnsi="Arial"/>
          <w:sz w:val="22"/>
          <w:szCs w:val="22"/>
        </w:rPr>
      </w:r>
    </w:p>
    <w:p>
      <w:pPr>
        <w:pStyle w:val="Import10"/>
        <w:numPr>
          <w:ilvl w:val="0"/>
          <w:numId w:val="4"/>
        </w:numPr>
        <w:tabs>
          <w:tab w:val="clear" w:pos="720"/>
          <w:tab w:val="clear" w:pos="1584"/>
          <w:tab w:val="clear" w:pos="2448"/>
          <w:tab w:val="clear" w:pos="3312"/>
          <w:tab w:val="clear" w:pos="4176"/>
          <w:tab w:val="clear" w:pos="5040"/>
          <w:tab w:val="clear" w:pos="5904"/>
          <w:tab w:val="clear" w:pos="6768"/>
          <w:tab w:val="clear" w:pos="7632"/>
          <w:tab w:val="clear" w:pos="8496"/>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spacing w:lineRule="auto" w:line="240" w:before="120" w:after="0"/>
        <w:ind w:left="426" w:hanging="426"/>
        <w:rPr>
          <w:rFonts w:ascii="Arial" w:hAnsi="Arial" w:cs="Arial"/>
          <w:sz w:val="22"/>
          <w:szCs w:val="22"/>
        </w:rPr>
      </w:pPr>
      <w:r>
        <w:rPr>
          <w:rFonts w:cs="Arial" w:ascii="Arial" w:hAnsi="Arial"/>
          <w:sz w:val="22"/>
          <w:szCs w:val="22"/>
        </w:rPr>
        <w:t xml:space="preserve">PZ je blíže specifikováno v technické dokumentaci stavby a je pronajato včetně všech součástí a příslušenství. Současně s PZ převzal nájemce technickou dokumentaci k PZ, obsahující základní písemné doklady ke stavbě. O převzetí PZ byly mezi smluvními stranami sepsány Zápisy o technické přejímce (odevzdání a převzetí stavby) PZ ve dnech 12.9.1997 a 22.9.1998. Pronajímatel současně předal nájemci nebo jeho zmocněnci (dále jen „zmocněnec“) veškeré doklady opravňující k užívání PZ a dispozici s ním. Obě strany prohlašují, že </w:t>
      </w:r>
      <w:bookmarkStart w:id="5" w:name="OLE_LINK2"/>
      <w:bookmarkStart w:id="6" w:name="OLE_LINK1"/>
      <w:r>
        <w:rPr>
          <w:rFonts w:cs="Arial" w:ascii="Arial" w:hAnsi="Arial"/>
          <w:sz w:val="22"/>
          <w:szCs w:val="22"/>
        </w:rPr>
        <w:t>mapový podklad ze systému GIS s vyznačenou polohou PZ</w:t>
      </w:r>
      <w:bookmarkEnd w:id="5"/>
      <w:bookmarkEnd w:id="6"/>
      <w:r>
        <w:rPr>
          <w:rFonts w:cs="Arial" w:ascii="Arial" w:hAnsi="Arial"/>
          <w:sz w:val="22"/>
          <w:szCs w:val="22"/>
        </w:rPr>
        <w:t xml:space="preserve">, odpovídá skutečnému provedení stavby ke dni podpisu této smlouvy. Po dobu nájemního vztahu bude nájemce do dokumentace zaznamenávat veškeré změny a doplnění výchozího stavu. </w:t>
      </w:r>
    </w:p>
    <w:p>
      <w:pPr>
        <w:pStyle w:val="Import10"/>
        <w:numPr>
          <w:ilvl w:val="0"/>
          <w:numId w:val="4"/>
        </w:numPr>
        <w:spacing w:lineRule="auto" w:line="240" w:before="120" w:after="0"/>
        <w:ind w:left="426" w:hanging="426"/>
        <w:rPr>
          <w:rFonts w:ascii="Arial" w:hAnsi="Arial" w:cs="Arial"/>
          <w:sz w:val="22"/>
          <w:szCs w:val="22"/>
        </w:rPr>
      </w:pPr>
      <w:r>
        <w:rPr>
          <w:rFonts w:cs="Arial" w:ascii="Arial" w:hAnsi="Arial"/>
          <w:sz w:val="22"/>
          <w:szCs w:val="22"/>
        </w:rPr>
        <w:t>Nájemce prohlašuje, že je oprávněným k podnikání ve smyslu zvláštního zákona (zákon č. 458/2000 Sb., energetický zákon, ve znění pozdějších předpisů, dále jen energetický zákon) a je oprávněn provozovat plynárenská zařízení.</w:t>
      </w:r>
    </w:p>
    <w:p>
      <w:pPr>
        <w:pStyle w:val="Normal"/>
        <w:jc w:val="center"/>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t>II.</w:t>
      </w:r>
    </w:p>
    <w:p>
      <w:pPr>
        <w:pStyle w:val="Nadpis2"/>
        <w:rPr/>
      </w:pPr>
      <w:r>
        <w:rPr/>
        <w:t>Základní práva a povinnosti</w:t>
      </w:r>
    </w:p>
    <w:p>
      <w:pPr>
        <w:pStyle w:val="Normal"/>
        <w:rPr/>
      </w:pPr>
      <w:r>
        <w:rPr/>
      </w:r>
    </w:p>
    <w:p>
      <w:pPr>
        <w:pStyle w:val="Import1"/>
        <w:numPr>
          <w:ilvl w:val="0"/>
          <w:numId w:val="5"/>
        </w:numPr>
        <w:tabs>
          <w:tab w:val="clear" w:pos="720"/>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spacing w:lineRule="auto" w:line="240" w:before="120" w:after="0"/>
        <w:ind w:left="426" w:hanging="426"/>
        <w:rPr>
          <w:rFonts w:ascii="Arial" w:hAnsi="Arial" w:cs="Arial"/>
          <w:sz w:val="22"/>
          <w:szCs w:val="22"/>
        </w:rPr>
      </w:pPr>
      <w:r>
        <w:rPr>
          <w:rFonts w:cs="Arial" w:ascii="Arial" w:hAnsi="Arial"/>
          <w:sz w:val="22"/>
          <w:szCs w:val="22"/>
        </w:rPr>
        <w:t xml:space="preserve">Pronajímatel pronajímá PZ specifikované v čl. I. odst. 1 ve stavu způsobilém k bezpečnému a spolehlivému provozování za účelem distribuce plynu zákazníkům. Pronajímatel podpisem této smlouvy uděluje výslovný souhlas k tomu, aby nájemce pronajímané PZ používal k účelům vymezeným energetickým zákonem a licencí na distribuci plynu, a aby nájemce s odbornou péčí připojil na PZ každého, kdo o to požádá a splní podmínky připojení stanovené právními předpisy. </w:t>
      </w:r>
    </w:p>
    <w:p>
      <w:pPr>
        <w:pStyle w:val="Tlotextu"/>
        <w:numPr>
          <w:ilvl w:val="0"/>
          <w:numId w:val="5"/>
        </w:numPr>
        <w:spacing w:before="120" w:after="0"/>
        <w:ind w:left="426" w:hanging="426"/>
        <w:rPr>
          <w:rFonts w:cs="Arial"/>
          <w:szCs w:val="22"/>
        </w:rPr>
      </w:pPr>
      <w:r>
        <w:rPr>
          <w:rFonts w:cs="Arial"/>
          <w:szCs w:val="22"/>
        </w:rPr>
        <w:t>Nájemce je oprávněn k výkonu činností na pronajatém PZ, v rozsahu určeném touto smlouvou, zmocnit třetí osobu.</w:t>
      </w:r>
    </w:p>
    <w:p>
      <w:pPr>
        <w:pStyle w:val="ListParagraph"/>
        <w:numPr>
          <w:ilvl w:val="0"/>
          <w:numId w:val="5"/>
        </w:numPr>
        <w:spacing w:before="120" w:after="0"/>
        <w:ind w:left="425" w:hanging="425"/>
        <w:jc w:val="both"/>
        <w:rPr>
          <w:rFonts w:ascii="Arial" w:hAnsi="Arial" w:cs="Arial"/>
          <w:sz w:val="22"/>
          <w:szCs w:val="22"/>
        </w:rPr>
      </w:pPr>
      <w:r>
        <w:rPr>
          <w:rFonts w:cs="Arial" w:ascii="Arial" w:hAnsi="Arial"/>
          <w:sz w:val="22"/>
          <w:szCs w:val="22"/>
        </w:rPr>
        <w:t>Pronajímatel kromě činností uvedených v čl. I. zmocňuje touto smlouvou nájemce, aby, sám nebo jím zmocněná osoba, vydával stanoviska vlastníka technické infrastruktury ve smyslu zákona č. 183/2006 Sb., stavebního zákona, ve znění pozdějších změn, týkající se PZ, zajišťoval vytyčování polohy PZ pro třetí strany a řešil případy neoprávněných cizích staveb a provádění činností třetích osob v ochranném a bezpečnostním pásmu PZ.</w:t>
      </w:r>
      <w:r>
        <w:rPr>
          <w:rFonts w:cs="Arial" w:ascii="Arial" w:hAnsi="Arial"/>
          <w:color w:val="1F497D"/>
          <w:sz w:val="22"/>
          <w:szCs w:val="22"/>
        </w:rPr>
        <w:t xml:space="preserve"> </w:t>
      </w:r>
      <w:r>
        <w:rPr>
          <w:rFonts w:cs="Arial" w:ascii="Arial" w:hAnsi="Arial"/>
          <w:sz w:val="22"/>
          <w:szCs w:val="22"/>
        </w:rPr>
        <w:t>Nájemce se zavazuje jednat s právnickými nebo fyzickými osobami v rozsahu práv a povinností provozovatele distribuční soustavy týkajících se PZ, zejména se nájemce zavazuje evidovat, dokumentovat a oznamovat příslušným orgánům narušení PZ třetí stranou. Pronajímateli bude narušení (vznik poruchového nebo havarijního stavu PZ) oznámeno pouze v případě, že by předpokládané náklady na jeho odstranění přesáhly částku 50.000,- Kč bez DPH a že jejich příčinou nebude zásah do PZ třetí stranou.</w:t>
      </w:r>
    </w:p>
    <w:p>
      <w:pPr>
        <w:pStyle w:val="PlainText"/>
        <w:numPr>
          <w:ilvl w:val="0"/>
          <w:numId w:val="5"/>
        </w:numPr>
        <w:spacing w:before="120" w:after="120"/>
        <w:ind w:left="425" w:hanging="425"/>
        <w:rPr>
          <w:rFonts w:ascii="Arial" w:hAnsi="Arial" w:cs="Arial"/>
          <w:sz w:val="22"/>
          <w:szCs w:val="22"/>
        </w:rPr>
      </w:pPr>
      <w:r>
        <w:rPr>
          <w:rFonts w:cs="Arial" w:ascii="Arial" w:hAnsi="Arial"/>
          <w:sz w:val="22"/>
          <w:szCs w:val="22"/>
        </w:rPr>
        <w:t xml:space="preserve">Zajištěním provozu PZ, které bude vykonávat nájemce, se rozumí provádění inspekcí, revizí, údržby a oprav PZ v rozsahu a ve lhůtách stanovených v TPG 905 01, 913 01, dalších platných předpisech a touto smlouvou. </w:t>
      </w:r>
    </w:p>
    <w:p>
      <w:pPr>
        <w:pStyle w:val="PlainText"/>
        <w:numPr>
          <w:ilvl w:val="0"/>
          <w:numId w:val="6"/>
        </w:numPr>
        <w:ind w:left="567" w:hanging="284"/>
        <w:rPr>
          <w:rFonts w:ascii="Arial" w:hAnsi="Arial" w:cs="Arial"/>
          <w:sz w:val="22"/>
          <w:szCs w:val="22"/>
        </w:rPr>
      </w:pPr>
      <w:r>
        <w:rPr>
          <w:rFonts w:cs="Arial" w:ascii="Arial" w:hAnsi="Arial"/>
          <w:sz w:val="22"/>
          <w:szCs w:val="22"/>
        </w:rPr>
        <w:t>Inspekce a revize je souhrn kontrolních činností zaměřených na zjištění, zda stav PZ odpovídá předpisům k zajištění bezpečnosti a ochrany zdraví při práci a provozně bezpečnostním požadavkům. Náklady na inspekce a revize nese nájemce.</w:t>
      </w:r>
    </w:p>
    <w:p>
      <w:pPr>
        <w:pStyle w:val="PlainText"/>
        <w:tabs>
          <w:tab w:val="clear" w:pos="708"/>
          <w:tab w:val="left" w:pos="360" w:leader="none"/>
        </w:tabs>
        <w:ind w:left="567" w:hanging="284"/>
        <w:rPr>
          <w:rFonts w:ascii="Arial" w:hAnsi="Arial" w:cs="Arial"/>
          <w:sz w:val="22"/>
          <w:szCs w:val="22"/>
        </w:rPr>
      </w:pPr>
      <w:r>
        <w:rPr>
          <w:rFonts w:cs="Arial" w:ascii="Arial" w:hAnsi="Arial"/>
          <w:sz w:val="22"/>
          <w:szCs w:val="22"/>
        </w:rPr>
      </w:r>
    </w:p>
    <w:p>
      <w:pPr>
        <w:pStyle w:val="PlainText"/>
        <w:numPr>
          <w:ilvl w:val="0"/>
          <w:numId w:val="6"/>
        </w:numPr>
        <w:ind w:left="567" w:hanging="284"/>
        <w:rPr>
          <w:rFonts w:ascii="Arial" w:hAnsi="Arial" w:cs="Arial"/>
          <w:sz w:val="22"/>
          <w:szCs w:val="22"/>
        </w:rPr>
      </w:pPr>
      <w:r>
        <w:rPr>
          <w:rFonts w:cs="Arial" w:ascii="Arial" w:hAnsi="Arial"/>
          <w:sz w:val="22"/>
          <w:szCs w:val="22"/>
        </w:rPr>
        <w:t>Údržbou je souhrn pravidelných činností na PZ a jeho součástí či příslušenství směřujících k udržení provozuschopného stavu, bez výměn částí PZ nebo jeho součástí či příslušenství. Náklady na údržbu nese nájemce.</w:t>
      </w:r>
    </w:p>
    <w:p>
      <w:pPr>
        <w:pStyle w:val="PlainText"/>
        <w:tabs>
          <w:tab w:val="clear" w:pos="708"/>
          <w:tab w:val="left" w:pos="360" w:leader="none"/>
        </w:tabs>
        <w:ind w:left="567" w:hanging="284"/>
        <w:rPr>
          <w:rFonts w:ascii="Arial" w:hAnsi="Arial" w:cs="Arial"/>
          <w:sz w:val="22"/>
          <w:szCs w:val="22"/>
        </w:rPr>
      </w:pPr>
      <w:r>
        <w:rPr>
          <w:rFonts w:cs="Arial" w:ascii="Arial" w:hAnsi="Arial"/>
          <w:sz w:val="22"/>
          <w:szCs w:val="22"/>
        </w:rPr>
      </w:r>
    </w:p>
    <w:p>
      <w:pPr>
        <w:pStyle w:val="PlainText"/>
        <w:numPr>
          <w:ilvl w:val="0"/>
          <w:numId w:val="6"/>
        </w:numPr>
        <w:spacing w:before="0" w:after="120"/>
        <w:ind w:left="568" w:hanging="284"/>
        <w:rPr>
          <w:rFonts w:ascii="Arial" w:hAnsi="Arial" w:cs="Arial"/>
          <w:sz w:val="22"/>
          <w:szCs w:val="22"/>
        </w:rPr>
      </w:pPr>
      <w:r>
        <w:rPr>
          <w:rFonts w:cs="Arial" w:ascii="Arial" w:hAnsi="Arial"/>
          <w:sz w:val="22"/>
          <w:szCs w:val="22"/>
        </w:rPr>
        <w:t xml:space="preserve">Opravou se rozumí zásah do zařízení, kterým je odstraňován jeho poruchový nebo havarijní stav. Dojde-li k potřebě opravy PZ z důvodu protiprávního zásahu do PZ třetí stranou (např. narušení PZ při stavebních pracích nebo při autonehodách), zavazuje se nájemce provést opravu na svůj náklad, přičemž jejich úhradu bude vymáhat na třetí straně, která poruchový nebo havarijní stav způsobila. </w:t>
      </w:r>
    </w:p>
    <w:p>
      <w:pPr>
        <w:pStyle w:val="PlainText"/>
        <w:ind w:left="567" w:hanging="0"/>
        <w:rPr>
          <w:rFonts w:ascii="Arial" w:hAnsi="Arial" w:cs="Arial"/>
          <w:sz w:val="22"/>
          <w:szCs w:val="22"/>
        </w:rPr>
      </w:pPr>
      <w:r>
        <w:rPr>
          <w:rFonts w:cs="Arial" w:ascii="Arial" w:hAnsi="Arial"/>
          <w:sz w:val="22"/>
          <w:szCs w:val="22"/>
        </w:rPr>
        <w:t>U ostatních druhů oprav (např. odstraňování poruch vlivem koroze, vady materiálu, opravy z důvodu vyšší moci, apod.) hradí náklady do 50 tis. Kč bez DPH v jednotlivém případě nájemce.</w:t>
      </w:r>
    </w:p>
    <w:p>
      <w:pPr>
        <w:pStyle w:val="PlainText"/>
        <w:tabs>
          <w:tab w:val="clear" w:pos="708"/>
          <w:tab w:val="left" w:pos="360" w:leader="none"/>
        </w:tabs>
        <w:ind w:left="426" w:hanging="426"/>
        <w:rPr>
          <w:rFonts w:ascii="Arial" w:hAnsi="Arial" w:cs="Arial"/>
          <w:sz w:val="22"/>
          <w:szCs w:val="22"/>
        </w:rPr>
      </w:pPr>
      <w:r>
        <w:rPr>
          <w:rFonts w:cs="Arial" w:ascii="Arial" w:hAnsi="Arial"/>
          <w:sz w:val="22"/>
          <w:szCs w:val="22"/>
        </w:rPr>
      </w:r>
    </w:p>
    <w:p>
      <w:pPr>
        <w:pStyle w:val="PlainText"/>
        <w:numPr>
          <w:ilvl w:val="0"/>
          <w:numId w:val="6"/>
        </w:numPr>
        <w:ind w:left="567" w:hanging="284"/>
        <w:rPr>
          <w:rFonts w:ascii="Arial" w:hAnsi="Arial" w:cs="Arial"/>
          <w:sz w:val="22"/>
          <w:szCs w:val="22"/>
        </w:rPr>
      </w:pPr>
      <w:r>
        <w:rPr>
          <w:rFonts w:cs="Arial" w:ascii="Arial" w:hAnsi="Arial"/>
          <w:sz w:val="22"/>
          <w:szCs w:val="22"/>
        </w:rPr>
        <w:t xml:space="preserve">Náklady na uniklý plyn nese nájemce. V případě, že k úniku došlo v příčinné souvislosti s protiprávním jednáním třetí osoby (např. stavební činnost třetí osoby nebo autonehoda) bude nájemce jejich úhradu vymáhat na třetí straně, která únik způsobila. Za škodu vzniklou v souvislosti s nesplněním povinnosti pronajímatele provést rekonstrukci PZ, zejména za škodu vzniklou nájemci odpovídající hodnotě plynu uniklého v důsledku neprovedení rekonstrukce PZ, nese odpovědnost pronajímatel.   </w:t>
      </w:r>
    </w:p>
    <w:p>
      <w:pPr>
        <w:pStyle w:val="ListParagraph"/>
        <w:tabs>
          <w:tab w:val="clear" w:pos="708"/>
          <w:tab w:val="left" w:pos="360" w:leader="none"/>
        </w:tabs>
        <w:ind w:left="426" w:hanging="426"/>
        <w:rPr>
          <w:rFonts w:ascii="Arial" w:hAnsi="Arial" w:cs="Arial"/>
          <w:sz w:val="22"/>
          <w:szCs w:val="22"/>
        </w:rPr>
      </w:pPr>
      <w:r>
        <w:rPr>
          <w:rFonts w:cs="Arial" w:ascii="Arial" w:hAnsi="Arial"/>
          <w:sz w:val="22"/>
          <w:szCs w:val="22"/>
        </w:rPr>
      </w:r>
    </w:p>
    <w:p>
      <w:pPr>
        <w:pStyle w:val="PlainText"/>
        <w:numPr>
          <w:ilvl w:val="0"/>
          <w:numId w:val="5"/>
        </w:numPr>
        <w:tabs>
          <w:tab w:val="clear" w:pos="708"/>
          <w:tab w:val="left" w:pos="360" w:leader="none"/>
        </w:tabs>
        <w:ind w:left="426" w:hanging="426"/>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Rekonstrukce PZ je obnova PZ nebo jeho části z důvodu jeho opotřebení, stárnutí či z důvodu živelných událostí (např. výměna potrubí). </w:t>
      </w:r>
    </w:p>
    <w:p>
      <w:pPr>
        <w:pStyle w:val="OdstpolVI"/>
        <w:numPr>
          <w:ilvl w:val="0"/>
          <w:numId w:val="0"/>
        </w:numPr>
        <w:tabs>
          <w:tab w:val="left" w:pos="360" w:leader="none"/>
          <w:tab w:val="left" w:pos="426" w:leader="none"/>
        </w:tabs>
        <w:spacing w:before="120" w:after="0"/>
        <w:ind w:left="426" w:right="168" w:hanging="0"/>
        <w:jc w:val="left"/>
        <w:rPr>
          <w:rFonts w:ascii="Arial" w:hAnsi="Arial" w:cs="Arial"/>
          <w:sz w:val="22"/>
          <w:szCs w:val="22"/>
        </w:rPr>
      </w:pPr>
      <w:r>
        <w:rPr>
          <w:rFonts w:cs="Arial" w:ascii="Arial" w:hAnsi="Arial"/>
          <w:sz w:val="22"/>
          <w:szCs w:val="22"/>
        </w:rPr>
        <w:t xml:space="preserve">Pronajímatel je povinen v případě rekonstrukce uhradit nájemci veškeré náklady včetně nákladů vzniklých v souvislosti s přerušením a obnovou provozu. </w:t>
      </w:r>
    </w:p>
    <w:p>
      <w:pPr>
        <w:pStyle w:val="OdstpolVI"/>
        <w:numPr>
          <w:ilvl w:val="0"/>
          <w:numId w:val="0"/>
        </w:numPr>
        <w:tabs>
          <w:tab w:val="left" w:pos="360" w:leader="none"/>
          <w:tab w:val="left" w:pos="426" w:leader="none"/>
        </w:tabs>
        <w:spacing w:before="120" w:after="0"/>
        <w:ind w:left="426" w:right="168" w:hanging="0"/>
        <w:jc w:val="left"/>
        <w:rPr>
          <w:rFonts w:ascii="Arial" w:hAnsi="Arial" w:cs="Arial"/>
          <w:sz w:val="22"/>
          <w:szCs w:val="22"/>
        </w:rPr>
      </w:pPr>
      <w:r>
        <w:rPr>
          <w:rFonts w:cs="Arial" w:ascii="Arial" w:hAnsi="Arial"/>
          <w:sz w:val="22"/>
          <w:szCs w:val="22"/>
        </w:rPr>
        <w:t xml:space="preserve">Nájemce je povinen bez zbytečného odkladu nejpozději však tři roky před požadovaným termínem realizace oznámit písemně pronajímateli potřebu a rozsah rekonstrukcí (dále jen „výzva“), které je nezbytné provést pro udržení pronajatého zařízení v bezpečném stavu, způsobilém k užívání. Přitom je povinen rekonstrukci PZ pronajímateli řádně zdůvodnit. Takovým důvodem bude zejména doložení stavu ohrožujícího bezpečnost provozu PZ (jeho poruchovost), stáří PZ (uplynutí předpokládané životnosti PZ), apod. Pronajímatel se zavazuje, že do tří měsíců ode dne doručení oznámení potřeby provedení rekonstrukce PZ, písemně sdělí nájemci, zda zajistí rekonstrukci prostřednictvím třetí osoby nebo má rekonstrukci zajistit nájemce; současně s tím oznámí i předpokládaný rok, ve kterém bude rekonstrukce provedena respektive, zda je schopen zajistit její realizaci v termínu požadovaném nájemcem. Pokud se pronajímatel nevyjádří jinak či pokud není schopen zajistit její realizaci třetí osobou v požadovaném termínu, zavazuje se tuto rekonstrukci provést nájemce na náklad pronajímatele. </w:t>
      </w:r>
    </w:p>
    <w:p>
      <w:pPr>
        <w:pStyle w:val="OdstpolVI"/>
        <w:numPr>
          <w:ilvl w:val="1"/>
          <w:numId w:val="7"/>
        </w:numPr>
        <w:tabs>
          <w:tab w:val="left" w:pos="360" w:leader="none"/>
          <w:tab w:val="left" w:pos="426" w:leader="none"/>
        </w:tabs>
        <w:spacing w:before="120" w:after="0"/>
        <w:ind w:left="426" w:right="168" w:hanging="426"/>
        <w:jc w:val="left"/>
        <w:rPr>
          <w:rFonts w:ascii="Arial" w:hAnsi="Arial" w:cs="Arial"/>
          <w:sz w:val="22"/>
          <w:szCs w:val="22"/>
        </w:rPr>
      </w:pPr>
      <w:r>
        <w:rPr>
          <w:rFonts w:cs="Arial" w:ascii="Arial" w:hAnsi="Arial"/>
          <w:sz w:val="22"/>
          <w:szCs w:val="22"/>
        </w:rPr>
        <w:t xml:space="preserve">Pokud bude rekonstrukci zajišťovat nájemce, bude mezi pronajímatelem a nájemcem uzavřena samostatná smlouva, v níž budou sjednány podmínky zajištění rekonstrukce PZ, zejména podmínky její projektové přípravy, realizace, výše úplaty a potřebná součinnost pronajímatele a nájemce. </w:t>
      </w:r>
    </w:p>
    <w:p>
      <w:pPr>
        <w:pStyle w:val="OdstpolVI"/>
        <w:numPr>
          <w:ilvl w:val="1"/>
          <w:numId w:val="7"/>
        </w:numPr>
        <w:tabs>
          <w:tab w:val="left" w:pos="360" w:leader="none"/>
          <w:tab w:val="left" w:pos="426" w:leader="none"/>
        </w:tabs>
        <w:spacing w:before="120" w:after="0"/>
        <w:ind w:left="426" w:right="168" w:hanging="426"/>
        <w:jc w:val="left"/>
        <w:rPr>
          <w:rFonts w:ascii="Arial" w:hAnsi="Arial" w:cs="Arial"/>
          <w:sz w:val="22"/>
          <w:szCs w:val="22"/>
        </w:rPr>
      </w:pPr>
      <w:r>
        <w:rPr>
          <w:rFonts w:cs="Arial" w:ascii="Arial" w:hAnsi="Arial"/>
          <w:sz w:val="22"/>
          <w:szCs w:val="22"/>
        </w:rPr>
        <w:t>Pokud bude rekonstrukci zajišťovat pronajímatel třetí osobou je povinen zajistit dodržení všech právních předpisů, norem a technických pravidel a interních předpisů nájemce týkajících se projektování a výstavby rekonstruovaného PZ. Pronajímatel je rovněž povinen uhradit případnou škodu nebo náklady, jež bude muset nájemce vynaložit v souvislosti s přerušením provozu, které nastane v rozporu s energetickým zákonem nebo nedodržením standardů dle vyhlášky č. 545/2006 Sb. v platném znění v důsledku jednání pronajímatele. Obě smluvní strany se zavazují uzavřít před zahájením rekonstrukce smlouvu, jejímž předmětem budou podmínky její projektové přípravy a realizace a vzájemná součinnost stran při rekonstrukci PZ.</w:t>
      </w:r>
    </w:p>
    <w:p>
      <w:pPr>
        <w:pStyle w:val="OdstpolVI"/>
        <w:numPr>
          <w:ilvl w:val="0"/>
          <w:numId w:val="5"/>
        </w:numPr>
        <w:tabs>
          <w:tab w:val="left" w:pos="360" w:leader="none"/>
          <w:tab w:val="left" w:pos="425" w:leader="none"/>
        </w:tabs>
        <w:spacing w:before="120" w:after="0"/>
        <w:ind w:left="426" w:right="168" w:hanging="426"/>
        <w:jc w:val="left"/>
        <w:rPr>
          <w:rFonts w:ascii="Arial" w:hAnsi="Arial" w:cs="Arial"/>
          <w:sz w:val="22"/>
          <w:szCs w:val="22"/>
        </w:rPr>
      </w:pPr>
      <w:r>
        <w:rPr>
          <w:rFonts w:cs="Arial" w:ascii="Arial" w:hAnsi="Arial"/>
          <w:sz w:val="22"/>
          <w:szCs w:val="22"/>
        </w:rPr>
        <w:t xml:space="preserve">Nájemce odpovídá za škody vzniklé na PZ z titulu zanedbání povinností vyplývajících z předpisů pro provoz PZ. Nájemce odpovídá za škodu na PZ, kterou způsobil vlastní činností nebo osoby, které k vlastní činnosti použil. </w:t>
      </w:r>
    </w:p>
    <w:p>
      <w:pPr>
        <w:pStyle w:val="OdstpolVI"/>
        <w:numPr>
          <w:ilvl w:val="0"/>
          <w:numId w:val="5"/>
        </w:numPr>
        <w:tabs>
          <w:tab w:val="left" w:pos="360" w:leader="none"/>
          <w:tab w:val="left" w:pos="426" w:leader="none"/>
        </w:tabs>
        <w:spacing w:before="120" w:after="0"/>
        <w:ind w:left="426" w:right="168" w:hanging="426"/>
        <w:jc w:val="left"/>
        <w:rPr>
          <w:rFonts w:ascii="Arial" w:hAnsi="Arial" w:cs="Arial"/>
          <w:sz w:val="22"/>
          <w:szCs w:val="22"/>
        </w:rPr>
      </w:pPr>
      <w:r>
        <w:rPr>
          <w:rFonts w:cs="Arial" w:ascii="Arial" w:hAnsi="Arial"/>
          <w:sz w:val="22"/>
          <w:szCs w:val="22"/>
        </w:rPr>
        <w:t xml:space="preserve">Nájemce se zavazuje vést o všech prováděných činnostech po celou dobu provozování PZ řádnou provozní dokumentaci a provádět průběžně aktualizaci technické dokumentace převzaté od pronajímatele při přejímce stavby PZ. </w:t>
      </w:r>
    </w:p>
    <w:p>
      <w:pPr>
        <w:pStyle w:val="OdstpolVI"/>
        <w:numPr>
          <w:ilvl w:val="0"/>
          <w:numId w:val="5"/>
        </w:numPr>
        <w:spacing w:before="120" w:after="0"/>
        <w:ind w:left="426" w:right="168" w:hanging="426"/>
        <w:jc w:val="left"/>
        <w:rPr>
          <w:rFonts w:ascii="Arial" w:hAnsi="Arial" w:cs="Arial"/>
          <w:sz w:val="22"/>
          <w:szCs w:val="22"/>
        </w:rPr>
      </w:pPr>
      <w:r>
        <w:rPr>
          <w:rFonts w:cs="Arial" w:ascii="Arial" w:hAnsi="Arial"/>
          <w:sz w:val="22"/>
          <w:szCs w:val="22"/>
        </w:rPr>
        <w:t>V případě ukončení nájemního vztahu se nájemce zavazuje předat veškerou technickou i provozní dokumentaci zpět pronajímateli. Technická dokumentace bude doplněna o případné změny PZ, vzniknuvší v době trvání nájemního vztahu.</w:t>
      </w:r>
    </w:p>
    <w:p>
      <w:pPr>
        <w:pStyle w:val="OdstpolVI"/>
        <w:numPr>
          <w:ilvl w:val="0"/>
          <w:numId w:val="5"/>
        </w:numPr>
        <w:tabs>
          <w:tab w:val="left" w:pos="360" w:leader="none"/>
          <w:tab w:val="left" w:pos="426" w:leader="none"/>
        </w:tabs>
        <w:spacing w:before="120" w:after="0"/>
        <w:ind w:left="426" w:right="168" w:hanging="426"/>
        <w:jc w:val="left"/>
        <w:rPr>
          <w:rFonts w:ascii="Arial" w:hAnsi="Arial" w:cs="Arial"/>
          <w:sz w:val="22"/>
          <w:szCs w:val="22"/>
        </w:rPr>
      </w:pPr>
      <w:r>
        <w:rPr>
          <w:rFonts w:cs="Arial" w:ascii="Arial" w:hAnsi="Arial"/>
          <w:sz w:val="22"/>
          <w:szCs w:val="22"/>
        </w:rPr>
        <w:t>Nájemce oznámí pronajímateli zásadní změny, které mají vliv na majetkovou podstatu zařízení, jako jsou např. přeložky potrubí, požadavky na zrušení zařízení, apod.</w:t>
      </w:r>
    </w:p>
    <w:p>
      <w:pPr>
        <w:pStyle w:val="OdstpolVI"/>
        <w:numPr>
          <w:ilvl w:val="0"/>
          <w:numId w:val="5"/>
        </w:numPr>
        <w:tabs>
          <w:tab w:val="left" w:pos="360" w:leader="none"/>
          <w:tab w:val="left" w:pos="426" w:leader="none"/>
        </w:tabs>
        <w:spacing w:before="120" w:after="0"/>
        <w:ind w:left="426" w:right="168" w:hanging="426"/>
        <w:jc w:val="left"/>
        <w:rPr>
          <w:rFonts w:ascii="Arial" w:hAnsi="Arial" w:cs="Arial"/>
          <w:sz w:val="22"/>
          <w:szCs w:val="22"/>
        </w:rPr>
      </w:pPr>
      <w:r>
        <w:rPr>
          <w:rFonts w:cs="Arial" w:ascii="Arial" w:hAnsi="Arial"/>
          <w:sz w:val="22"/>
          <w:szCs w:val="22"/>
        </w:rPr>
        <w:t>V případě vzniku potřeby přeložky PZ a se souhlasem pronajímatele se smluvní strany zavazují, že uzavřou společně s třetí stranou, která potřebu přeložky vyvolala, smlouvu o zajištění přeložky, v níž budou sjednány příslušné podmínky, zejména podmínky její projektové přípravy a realizace a potřebné součinnosti smluvních stran.</w:t>
      </w:r>
    </w:p>
    <w:p>
      <w:pPr>
        <w:pStyle w:val="Import1"/>
        <w:numPr>
          <w:ilvl w:val="0"/>
          <w:numId w:val="5"/>
        </w:numPr>
        <w:tabs>
          <w:tab w:val="left" w:pos="426" w:leader="none"/>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spacing w:lineRule="auto" w:line="240" w:before="120" w:after="0"/>
        <w:ind w:left="426" w:right="-1" w:hanging="426"/>
        <w:rPr>
          <w:rFonts w:ascii="Arial" w:hAnsi="Arial" w:cs="Arial"/>
          <w:sz w:val="22"/>
          <w:szCs w:val="22"/>
        </w:rPr>
      </w:pPr>
      <w:r>
        <w:rPr>
          <w:rFonts w:cs="Arial" w:ascii="Arial" w:hAnsi="Arial"/>
          <w:sz w:val="22"/>
          <w:szCs w:val="22"/>
        </w:rPr>
        <w:t>Pronajímatel je povinen oznámit nájemci veškeré relevantní skutečnosti, zejména přechod nebo převod vlastnictví věci, změnu názvu nebo sídla pronajímatele</w:t>
      </w:r>
      <w:r>
        <w:rPr>
          <w:rFonts w:cs="Arial" w:ascii="Arial" w:hAnsi="Arial"/>
          <w:color w:val="FF00FF"/>
          <w:sz w:val="22"/>
          <w:szCs w:val="22"/>
        </w:rPr>
        <w:t xml:space="preserve">, </w:t>
      </w:r>
      <w:r>
        <w:rPr>
          <w:rFonts w:cs="Arial" w:ascii="Arial" w:hAnsi="Arial"/>
          <w:sz w:val="22"/>
          <w:szCs w:val="22"/>
        </w:rPr>
        <w:t xml:space="preserve">zahájení insolvenčního řízení podle zákona č. 182/2006 Sb. nebo změnu plátcovství DPH. </w:t>
      </w:r>
    </w:p>
    <w:p>
      <w:pPr>
        <w:pStyle w:val="Import1"/>
        <w:numPr>
          <w:ilvl w:val="0"/>
          <w:numId w:val="5"/>
        </w:numPr>
        <w:tabs>
          <w:tab w:val="left" w:pos="426" w:leader="none"/>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spacing w:lineRule="auto" w:line="240" w:before="120" w:after="0"/>
        <w:ind w:left="426" w:right="-1" w:hanging="426"/>
        <w:rPr>
          <w:rFonts w:ascii="Arial" w:hAnsi="Arial" w:cs="Arial"/>
          <w:sz w:val="22"/>
          <w:szCs w:val="22"/>
        </w:rPr>
      </w:pPr>
      <w:r>
        <w:rPr>
          <w:rFonts w:cs="Arial" w:ascii="Arial" w:hAnsi="Arial"/>
          <w:sz w:val="22"/>
          <w:szCs w:val="22"/>
        </w:rPr>
        <w:t>Pronajímatel se zavazuje, že se bez předchozího písemného souhlasu nájemce zdrží všech zásahů do PZ, včetně činnosti v jeho ochranném a bezpečnostním pásmu.</w:t>
      </w:r>
    </w:p>
    <w:p>
      <w:pPr>
        <w:pStyle w:val="Import1"/>
        <w:numPr>
          <w:ilvl w:val="0"/>
          <w:numId w:val="5"/>
        </w:numPr>
        <w:tabs>
          <w:tab w:val="left" w:pos="426" w:leader="none"/>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spacing w:lineRule="auto" w:line="240" w:before="120" w:after="0"/>
        <w:ind w:left="426" w:right="-1" w:hanging="426"/>
        <w:rPr>
          <w:rFonts w:ascii="Arial" w:hAnsi="Arial" w:cs="Arial"/>
          <w:sz w:val="22"/>
          <w:szCs w:val="22"/>
        </w:rPr>
      </w:pPr>
      <w:r>
        <w:rPr>
          <w:rFonts w:cs="Arial" w:ascii="Arial" w:hAnsi="Arial"/>
          <w:sz w:val="22"/>
          <w:szCs w:val="22"/>
        </w:rPr>
        <w:t>Závazky pronajímatele podle tohoto článku jsou splatné do 30 dnů od doručení faktury nebo daňového dokladu vystaveného nájemcem.</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jc w:val="center"/>
        <w:rPr>
          <w:rFonts w:ascii="Arial" w:hAnsi="Arial" w:cs="Arial"/>
          <w:b/>
          <w:b/>
          <w:sz w:val="22"/>
          <w:szCs w:val="22"/>
        </w:rPr>
      </w:pPr>
      <w:r>
        <w:rPr>
          <w:rFonts w:cs="Arial" w:ascii="Arial" w:hAnsi="Arial"/>
          <w:b/>
          <w:sz w:val="22"/>
          <w:szCs w:val="22"/>
        </w:rPr>
        <w:t>III.</w:t>
      </w:r>
    </w:p>
    <w:p>
      <w:pPr>
        <w:pStyle w:val="Nadpis2"/>
        <w:rPr/>
      </w:pPr>
      <w:r>
        <w:rPr/>
        <w:t>Nájemné</w:t>
      </w:r>
    </w:p>
    <w:p>
      <w:pPr>
        <w:pStyle w:val="Normal"/>
        <w:rPr/>
      </w:pPr>
      <w:r>
        <w:rPr/>
      </w:r>
    </w:p>
    <w:p>
      <w:pPr>
        <w:pStyle w:val="OdstpolV"/>
        <w:numPr>
          <w:ilvl w:val="0"/>
          <w:numId w:val="2"/>
        </w:numPr>
        <w:spacing w:before="0" w:after="120"/>
        <w:jc w:val="left"/>
        <w:rPr>
          <w:rFonts w:ascii="Arial" w:hAnsi="Arial" w:cs="Arial"/>
          <w:bCs/>
          <w:sz w:val="22"/>
          <w:szCs w:val="22"/>
        </w:rPr>
      </w:pPr>
      <w:r>
        <w:rPr>
          <w:rFonts w:cs="Arial" w:ascii="Arial" w:hAnsi="Arial"/>
          <w:bCs/>
          <w:sz w:val="22"/>
          <w:szCs w:val="22"/>
        </w:rPr>
        <w:t xml:space="preserve">Výše nájemného za kalendářní rok do roku 2019 činí </w:t>
      </w:r>
      <w:r>
        <w:rPr>
          <w:rFonts w:cs="Arial" w:ascii="Arial" w:hAnsi="Arial"/>
          <w:b/>
          <w:bCs/>
          <w:sz w:val="22"/>
          <w:szCs w:val="22"/>
        </w:rPr>
        <w:t>19.655,- Kč</w:t>
      </w:r>
      <w:r>
        <w:rPr>
          <w:rFonts w:cs="Arial" w:ascii="Arial" w:hAnsi="Arial"/>
          <w:bCs/>
          <w:sz w:val="22"/>
          <w:szCs w:val="22"/>
        </w:rPr>
        <w:t>. Po roce 2019 bude nájemné za kalendářní rok rovno hodnotě určené postupem pro stanovení regulovaných nákladů na nájem plynárenského zařízení ve vlastnictví třetích osob, uvedeného v příloze č. 11 vyhlášky Energetického regulačního úřadu č.140/2009 Sb. ve znění platném k 1. 1. 2014.</w:t>
      </w:r>
    </w:p>
    <w:p>
      <w:pPr>
        <w:pStyle w:val="OdstpolV"/>
        <w:numPr>
          <w:ilvl w:val="0"/>
          <w:numId w:val="2"/>
        </w:numPr>
        <w:tabs>
          <w:tab w:val="clear" w:pos="708"/>
          <w:tab w:val="left" w:pos="426" w:leader="none"/>
        </w:tabs>
        <w:spacing w:before="0" w:after="120"/>
        <w:ind w:left="426" w:hanging="426"/>
        <w:rPr>
          <w:rFonts w:ascii="Arial" w:hAnsi="Arial" w:cs="Arial"/>
          <w:bCs/>
          <w:sz w:val="22"/>
          <w:szCs w:val="22"/>
        </w:rPr>
      </w:pPr>
      <w:r>
        <w:rPr>
          <w:rFonts w:cs="Arial" w:ascii="Arial" w:hAnsi="Arial"/>
          <w:bCs/>
          <w:sz w:val="22"/>
          <w:szCs w:val="22"/>
        </w:rPr>
        <w:t xml:space="preserve">a) Smluvní strany sjednaly, že dojde-li ke změně přílohy č. 11 vyhlášky č. 140/2009 Sb., je nájemce povinen platit pronajímateli po roce 2019 nové nájemné, které bude rovno výši regulovaných nákladů na nájem plynárenského zařízení ve vlastnictví třetích osob podle této vyhlášky ode dne účinnosti takové změny. </w:t>
      </w:r>
    </w:p>
    <w:p>
      <w:pPr>
        <w:pStyle w:val="OdstpolV"/>
        <w:numPr>
          <w:ilvl w:val="0"/>
          <w:numId w:val="0"/>
        </w:numPr>
        <w:tabs>
          <w:tab w:val="clear" w:pos="708"/>
          <w:tab w:val="left" w:pos="426" w:leader="none"/>
        </w:tabs>
        <w:spacing w:before="0" w:after="120"/>
        <w:ind w:left="426" w:hanging="0"/>
        <w:rPr>
          <w:rFonts w:ascii="Arial" w:hAnsi="Arial" w:cs="Arial"/>
          <w:bCs/>
          <w:sz w:val="22"/>
          <w:szCs w:val="22"/>
        </w:rPr>
      </w:pPr>
      <w:r>
        <w:rPr>
          <w:rFonts w:cs="Arial" w:ascii="Arial" w:hAnsi="Arial"/>
          <w:bCs/>
          <w:sz w:val="22"/>
          <w:szCs w:val="22"/>
        </w:rPr>
        <w:t>b) Smluvní strany sjednaly, že dojde-li po roce 2019 k okolnostem uvedeným v příloze č. 11 vyhlášky č.140/2009 Sb., majícím za následek změnu ve výpočtu regulovaných nákladů na nájem plynárenského zařízení ve vlastnictví třetích osob, zejména uplatnění nových vstupních parametrů regulace pro následující regulační období, bude výše nájemného odpovídat výsledku nového výpočtu podle přílohy č. 11 vyhlášky č. 140/2009 Sb. a to ode dne účinnosti takových změn.</w:t>
      </w:r>
    </w:p>
    <w:p>
      <w:pPr>
        <w:pStyle w:val="OdstpolV"/>
        <w:numPr>
          <w:ilvl w:val="0"/>
          <w:numId w:val="0"/>
        </w:numPr>
        <w:tabs>
          <w:tab w:val="clear" w:pos="708"/>
          <w:tab w:val="left" w:pos="426" w:leader="none"/>
        </w:tabs>
        <w:spacing w:before="0" w:after="120"/>
        <w:ind w:left="426" w:hanging="426"/>
        <w:jc w:val="left"/>
        <w:rPr>
          <w:rFonts w:ascii="Arial" w:hAnsi="Arial" w:cs="Arial"/>
          <w:bCs/>
          <w:sz w:val="22"/>
          <w:szCs w:val="22"/>
        </w:rPr>
      </w:pPr>
      <w:r>
        <w:rPr>
          <w:rFonts w:cs="Arial" w:ascii="Arial" w:hAnsi="Arial"/>
          <w:bCs/>
          <w:sz w:val="22"/>
          <w:szCs w:val="22"/>
        </w:rPr>
        <w:tab/>
        <w:t xml:space="preserve">c) Pokud dojde ke zrušení přílohy č. 11 vyhlášky č. 140/2009 Sb. nebo ke zrušení vyhlášky č. 140/2009 Sb., strany sjednaly, že výše nájemného po roce 2019 se bude řídit úpravou regulovaných nákladů na nájem za zařízení ve vlastnictví třetích stran, která přílohu č. 11 vyhl. č. 140/2009 Sb. nebo vyhl. č. 140/2009 Sb. nahradí. </w:t>
      </w:r>
    </w:p>
    <w:p>
      <w:pPr>
        <w:pStyle w:val="OdstpolV"/>
        <w:numPr>
          <w:ilvl w:val="0"/>
          <w:numId w:val="0"/>
        </w:numPr>
        <w:tabs>
          <w:tab w:val="clear" w:pos="708"/>
          <w:tab w:val="left" w:pos="426" w:leader="none"/>
        </w:tabs>
        <w:spacing w:before="0" w:after="120"/>
        <w:ind w:left="426" w:hanging="426"/>
        <w:jc w:val="left"/>
        <w:rPr>
          <w:rFonts w:ascii="Arial" w:hAnsi="Arial" w:cs="Arial"/>
          <w:bCs/>
          <w:sz w:val="22"/>
          <w:szCs w:val="22"/>
        </w:rPr>
      </w:pPr>
      <w:r>
        <w:rPr>
          <w:rFonts w:cs="Arial" w:ascii="Arial" w:hAnsi="Arial"/>
          <w:bCs/>
          <w:sz w:val="22"/>
          <w:szCs w:val="22"/>
        </w:rPr>
        <w:tab/>
        <w:t>Pokud příloha č. 11 vyhl. č. 140/2009 Sb. nebo vyhl. č. 140/2009 Sb. nebude nahrazena odpovídající úpravou regulovaných nákladů na nájem za zařízení ve vlastnictví třetích stran, bude nájemné rovno nájemnému, jaké bylo za poslední kalendářní rok, v němž byla vyhláška č. 140/2009 Sb. nebo její příloha č. 11 bez náhrady zrušena.</w:t>
      </w:r>
    </w:p>
    <w:p>
      <w:pPr>
        <w:pStyle w:val="OdstpolV"/>
        <w:numPr>
          <w:ilvl w:val="0"/>
          <w:numId w:val="9"/>
        </w:numPr>
        <w:spacing w:before="0" w:after="80"/>
        <w:jc w:val="left"/>
        <w:rPr>
          <w:rFonts w:ascii="Arial" w:hAnsi="Arial" w:cs="Arial"/>
          <w:sz w:val="22"/>
          <w:szCs w:val="22"/>
        </w:rPr>
      </w:pPr>
      <w:r>
        <w:rPr>
          <w:rFonts w:cs="Arial" w:ascii="Arial" w:hAnsi="Arial"/>
          <w:sz w:val="22"/>
          <w:szCs w:val="22"/>
        </w:rPr>
        <w:t>Smluvní strany sjednaly, že pronajímatel přičte k nájemnému dle čl. III. odst. 1 DPH v zákonné výši.</w:t>
      </w:r>
    </w:p>
    <w:p>
      <w:pPr>
        <w:pStyle w:val="OdstpolV"/>
        <w:numPr>
          <w:ilvl w:val="0"/>
          <w:numId w:val="0"/>
        </w:numPr>
        <w:spacing w:before="0" w:after="80"/>
        <w:ind w:left="357" w:hanging="0"/>
        <w:jc w:val="left"/>
        <w:rPr>
          <w:rFonts w:ascii="Arial" w:hAnsi="Arial" w:cs="Arial"/>
          <w:sz w:val="22"/>
          <w:szCs w:val="22"/>
        </w:rPr>
      </w:pPr>
      <w:r>
        <w:rPr>
          <w:rFonts w:cs="Arial" w:ascii="Arial" w:hAnsi="Arial"/>
          <w:sz w:val="22"/>
          <w:szCs w:val="22"/>
        </w:rPr>
        <w:t>Datem uskutečnění zdanitelného plnění se pak rozumí 31. 12. příslušného kalendářního roku. Pokud nájemní vztah skončí dříve, je datem uskutečnění zdanitelného plnění poslední den nájemního vztahu.</w:t>
      </w:r>
    </w:p>
    <w:p>
      <w:pPr>
        <w:pStyle w:val="ListParagraph"/>
        <w:spacing w:before="0" w:after="120"/>
        <w:ind w:left="360" w:hanging="0"/>
        <w:rPr>
          <w:rFonts w:ascii="Arial" w:hAnsi="Arial" w:cs="Arial"/>
          <w:sz w:val="22"/>
          <w:szCs w:val="22"/>
        </w:rPr>
      </w:pPr>
      <w:r>
        <w:rPr>
          <w:rFonts w:cs="Arial" w:ascii="Arial" w:hAnsi="Arial"/>
          <w:sz w:val="22"/>
          <w:szCs w:val="22"/>
        </w:rPr>
        <w:t>Pokud k datu uskutečnění zdanitelného plnění budou u pronajímatele naplněny podmínky ust. § 106a ZoDPH (nespolehlivý plátce) nebo bude na daňovém dokladu uveden bankovní účet nezveřejněný zákonným způsobem ve smyslu ust. § 109 odst. 2 písm. c) ZoDPH (nezveřejněný účet), je nájemce oprávněn postupovat dle ust. § 109a ZoDPH, tj. zvláštním způsobem zajištění daně. V takovém případě je nájemce oprávněn uhradit část finančního závazku ve výši vypočtené daně z přidané hodnoty nikoliv na bankovní účet pronajímatele, ale přímo na bankovní účet příslušného správce daně, přičemž se tímto považuje finanční závazek nájemce vůči pronajímateli za zcela vyrovnaný.</w:t>
      </w:r>
    </w:p>
    <w:p>
      <w:pPr>
        <w:pStyle w:val="ListParagraph"/>
        <w:numPr>
          <w:ilvl w:val="0"/>
          <w:numId w:val="10"/>
        </w:numPr>
        <w:rPr>
          <w:rFonts w:ascii="Arial" w:hAnsi="Arial" w:cs="Arial"/>
          <w:sz w:val="22"/>
          <w:szCs w:val="22"/>
        </w:rPr>
      </w:pPr>
      <w:r>
        <w:rPr>
          <w:rFonts w:cs="Arial" w:ascii="Arial" w:hAnsi="Arial"/>
          <w:sz w:val="22"/>
          <w:szCs w:val="22"/>
        </w:rPr>
        <w:t xml:space="preserve">Nájemce se zavazuje uhradit pronajímateli dohodnuté roční nájemné za příslušný kalendářní rok na základě daňového dokladu vystaveného do 15 dnů ode dne uskutečnění zdanitelného plnění na bankovní účet pronajímatele uvedený v záhlaví této smlouvy. V případě ukončení nájemní smlouvy v průběhu kalendářního roku vystaví pronajímatel daňový doklad nejpozději do 15 dnů od data ukončení nájemního vztahu. </w:t>
      </w:r>
    </w:p>
    <w:p>
      <w:pPr>
        <w:pStyle w:val="Normal"/>
        <w:ind w:left="360" w:hanging="0"/>
        <w:rPr>
          <w:rFonts w:ascii="Arial" w:hAnsi="Arial" w:cs="Arial"/>
          <w:sz w:val="22"/>
          <w:szCs w:val="22"/>
        </w:rPr>
      </w:pPr>
      <w:r>
        <w:rPr>
          <w:rFonts w:cs="Arial" w:ascii="Arial" w:hAnsi="Arial"/>
          <w:sz w:val="22"/>
          <w:szCs w:val="22"/>
        </w:rPr>
        <w:t xml:space="preserve">Splatnost daňového dokladu činí 30 dní od data doručení na níže uvedenou adresu. </w:t>
      </w:r>
    </w:p>
    <w:p>
      <w:pPr>
        <w:pStyle w:val="Normal"/>
        <w:spacing w:before="120" w:after="120"/>
        <w:ind w:left="357" w:hanging="0"/>
        <w:rPr>
          <w:rFonts w:ascii="Arial" w:hAnsi="Arial" w:cs="Arial"/>
          <w:sz w:val="22"/>
          <w:szCs w:val="22"/>
        </w:rPr>
      </w:pPr>
      <w:r>
        <w:rPr>
          <w:rFonts w:cs="Arial" w:ascii="Arial" w:hAnsi="Arial"/>
          <w:sz w:val="22"/>
          <w:szCs w:val="22"/>
        </w:rPr>
        <w:t xml:space="preserve">Adresa pro doručování veškerých daňových dokladů je: </w:t>
      </w:r>
    </w:p>
    <w:p>
      <w:pPr>
        <w:pStyle w:val="Normal"/>
        <w:spacing w:before="120" w:after="120"/>
        <w:ind w:left="357" w:hanging="0"/>
        <w:rPr>
          <w:rFonts w:ascii="Arial" w:hAnsi="Arial" w:cs="Arial"/>
          <w:sz w:val="22"/>
          <w:szCs w:val="22"/>
        </w:rPr>
      </w:pPr>
      <w:r>
        <w:rPr>
          <w:rFonts w:cs="Arial" w:ascii="Arial" w:hAnsi="Arial"/>
          <w:sz w:val="22"/>
          <w:szCs w:val="22"/>
        </w:rPr>
        <w:t>RWE GasNet, s.r.o. Klíšská 940, 401 17 Ústí nad Labem.</w:t>
      </w:r>
    </w:p>
    <w:p>
      <w:pPr>
        <w:pStyle w:val="ListParagraph"/>
        <w:numPr>
          <w:ilvl w:val="0"/>
          <w:numId w:val="10"/>
        </w:numPr>
        <w:spacing w:before="120" w:after="120"/>
        <w:rPr>
          <w:rFonts w:ascii="Arial" w:hAnsi="Arial" w:cs="Arial"/>
          <w:sz w:val="22"/>
          <w:szCs w:val="22"/>
        </w:rPr>
      </w:pPr>
      <w:r>
        <w:rPr>
          <w:rFonts w:cs="Arial" w:ascii="Arial" w:hAnsi="Arial"/>
          <w:sz w:val="22"/>
          <w:szCs w:val="22"/>
        </w:rPr>
        <w:t>Sjednává se, že daňový doklad musí obsahovat číslo této smlouvy. Daňový doklad musí dále, kromě náležitostí, stanovených zákonem č. 235/2004 Sb., o dani z přidané hodnoty, ve znění pozdějších změn a doplňků, zejména v § 29 tohoto zákona, obsahovat též bankovní spojení plátce zveřejněné správcem daně způsobem umožňující dálkový přístup v registru plátců DPH. Nebude-li mít daňový doklad povinné náležitosti, je nájemce před uplynutím doby splatnosti oprávněn vrátit jej bez zaplacení k opravě či doplnění. Pronajímatel je povinen podle povahy nesprávnosti doklad opravit nebo nově zhotovit. Oprávněným vrácením dokladu se staví běh doby jeho splatnosti. Nová doba splatnosti běží znovu ode dne doručení opraveného nebo nově vyhotoveného dokladu.</w:t>
      </w:r>
    </w:p>
    <w:p>
      <w:pPr>
        <w:pStyle w:val="Normal"/>
        <w:numPr>
          <w:ilvl w:val="0"/>
          <w:numId w:val="10"/>
        </w:numPr>
        <w:spacing w:before="0" w:after="120"/>
        <w:rPr>
          <w:rFonts w:ascii="Arial" w:hAnsi="Arial" w:cs="Arial"/>
          <w:sz w:val="22"/>
          <w:szCs w:val="22"/>
        </w:rPr>
      </w:pPr>
      <w:r>
        <w:rPr>
          <w:rFonts w:cs="Arial" w:ascii="Arial" w:hAnsi="Arial"/>
          <w:sz w:val="22"/>
          <w:szCs w:val="22"/>
        </w:rPr>
        <w:t xml:space="preserve">Uhrazením se rozumí připsání příslušné částky z účtu jedné smluvní strany ve prospěch účtu druhé smluvní strany uvedeného v záhlaví této smlouvy. </w:t>
      </w:r>
    </w:p>
    <w:p>
      <w:pPr>
        <w:pStyle w:val="ListParagraph"/>
        <w:tabs>
          <w:tab w:val="clear" w:pos="708"/>
          <w:tab w:val="left" w:pos="1485" w:leader="none"/>
        </w:tabs>
        <w:spacing w:before="0" w:after="120"/>
        <w:ind w:left="284" w:hanging="0"/>
        <w:contextualSpacing/>
        <w:rPr>
          <w:rFonts w:ascii="Arial" w:hAnsi="Arial" w:cs="Arial"/>
          <w:b/>
          <w:b/>
          <w:sz w:val="22"/>
          <w:szCs w:val="22"/>
        </w:rPr>
      </w:pPr>
      <w:r>
        <w:rPr>
          <w:rFonts w:cs="Arial" w:ascii="Arial" w:hAnsi="Arial"/>
          <w:sz w:val="22"/>
          <w:szCs w:val="22"/>
        </w:rPr>
        <w:t xml:space="preserve"> </w:t>
      </w:r>
    </w:p>
    <w:p>
      <w:pPr>
        <w:pStyle w:val="Normal"/>
        <w:jc w:val="center"/>
        <w:rPr>
          <w:rFonts w:ascii="Arial" w:hAnsi="Arial" w:cs="Arial"/>
          <w:b/>
          <w:b/>
          <w:sz w:val="22"/>
          <w:szCs w:val="22"/>
        </w:rPr>
      </w:pPr>
      <w:r>
        <w:rPr>
          <w:rFonts w:cs="Arial" w:ascii="Arial" w:hAnsi="Arial"/>
          <w:b/>
          <w:sz w:val="22"/>
          <w:szCs w:val="22"/>
        </w:rPr>
        <w:t xml:space="preserve"> </w:t>
      </w:r>
      <w:r>
        <w:rPr>
          <w:rFonts w:cs="Arial" w:ascii="Arial" w:hAnsi="Arial"/>
          <w:b/>
          <w:sz w:val="22"/>
          <w:szCs w:val="22"/>
        </w:rPr>
        <w:t>IV.</w:t>
      </w:r>
    </w:p>
    <w:p>
      <w:pPr>
        <w:pStyle w:val="Nadpis2"/>
        <w:rPr/>
      </w:pPr>
      <w:r>
        <w:rPr/>
        <w:t>Doba trvání smlouvy, výpověď</w:t>
      </w:r>
    </w:p>
    <w:p>
      <w:pPr>
        <w:pStyle w:val="Normal"/>
        <w:rPr/>
      </w:pPr>
      <w:r>
        <w:rPr/>
      </w:r>
    </w:p>
    <w:p>
      <w:pPr>
        <w:pStyle w:val="OdstpolV"/>
        <w:numPr>
          <w:ilvl w:val="0"/>
          <w:numId w:val="3"/>
        </w:numPr>
        <w:tabs>
          <w:tab w:val="clear" w:pos="708"/>
          <w:tab w:val="left" w:pos="709" w:leader="none"/>
        </w:tabs>
        <w:spacing w:before="120" w:after="120"/>
        <w:ind w:left="357" w:right="170" w:hanging="357"/>
        <w:jc w:val="left"/>
        <w:rPr>
          <w:rFonts w:ascii="Arial" w:hAnsi="Arial" w:cs="Arial"/>
          <w:sz w:val="22"/>
          <w:szCs w:val="22"/>
        </w:rPr>
      </w:pPr>
      <w:r>
        <w:rPr>
          <w:rFonts w:eastAsia="Calibri" w:cs="Arial" w:ascii="Arial" w:hAnsi="Arial"/>
          <w:sz w:val="22"/>
          <w:szCs w:val="22"/>
        </w:rPr>
        <w:t>Nájem se sjednává na dobu neurčitou. Vypovědět lze tuto smlouvu pouze z důvodů a ve výpovědních dobách v ní uvedených. Tím není dotčeno právo od ní odstoupit z důvodů uvedených v právních předpisech.</w:t>
      </w:r>
    </w:p>
    <w:p>
      <w:pPr>
        <w:pStyle w:val="OdstpolV"/>
        <w:numPr>
          <w:ilvl w:val="0"/>
          <w:numId w:val="3"/>
        </w:numPr>
        <w:spacing w:before="120" w:after="120"/>
        <w:ind w:left="357" w:right="170" w:hanging="357"/>
        <w:jc w:val="left"/>
        <w:rPr>
          <w:rFonts w:ascii="Arial" w:hAnsi="Arial" w:cs="Arial"/>
          <w:sz w:val="22"/>
          <w:szCs w:val="22"/>
        </w:rPr>
      </w:pPr>
      <w:r>
        <w:rPr>
          <w:rFonts w:cs="Arial" w:ascii="Arial" w:hAnsi="Arial"/>
          <w:sz w:val="22"/>
          <w:szCs w:val="22"/>
        </w:rPr>
        <w:t xml:space="preserve">Nájemce je oprávněn vypovědět tuto smlouvu, pokud pronajímatel odmítne uzavřít s nájemcem smlouvu o zajištění rekonstrukce PZ dle čl. II odst. 5 této smlouvy nebo, pokud bude rekonstrukci zajišťovat pronajímatel a rekonstrukce nebude provedena do termínu uvedeného ve výzvě dle čl. II odst. 5 této smlouvy. Nájemce má právo tuto smlouvu vypovědět také v případech, kdy: </w:t>
      </w:r>
    </w:p>
    <w:p>
      <w:pPr>
        <w:pStyle w:val="OdstpolV"/>
        <w:numPr>
          <w:ilvl w:val="3"/>
          <w:numId w:val="7"/>
        </w:numPr>
        <w:spacing w:before="120" w:after="120"/>
        <w:ind w:left="567" w:right="170" w:hanging="283"/>
        <w:jc w:val="left"/>
        <w:rPr>
          <w:rFonts w:ascii="Arial" w:hAnsi="Arial" w:cs="Arial"/>
          <w:sz w:val="22"/>
          <w:szCs w:val="22"/>
        </w:rPr>
      </w:pPr>
      <w:r>
        <w:rPr>
          <w:rFonts w:cs="Arial" w:ascii="Arial" w:hAnsi="Arial"/>
          <w:sz w:val="22"/>
          <w:szCs w:val="22"/>
        </w:rPr>
        <w:t>pronajímatel bude mít povinnost odstranit PZ či jeho část z nemovité věci,</w:t>
      </w:r>
    </w:p>
    <w:p>
      <w:pPr>
        <w:pStyle w:val="OdstpolV"/>
        <w:numPr>
          <w:ilvl w:val="3"/>
          <w:numId w:val="7"/>
        </w:numPr>
        <w:spacing w:before="120" w:after="120"/>
        <w:ind w:left="567" w:right="170" w:hanging="283"/>
        <w:jc w:val="left"/>
        <w:rPr>
          <w:rFonts w:ascii="Arial" w:hAnsi="Arial" w:cs="Arial"/>
          <w:sz w:val="22"/>
          <w:szCs w:val="22"/>
        </w:rPr>
      </w:pPr>
      <w:r>
        <w:rPr>
          <w:rFonts w:cs="Arial" w:ascii="Arial" w:hAnsi="Arial"/>
          <w:sz w:val="22"/>
          <w:szCs w:val="22"/>
        </w:rPr>
        <w:t>pronajímatel ani přes opakovanou výzvu nesplní povinnost dle čl. VI odst. 3 této smlouvy, nebo</w:t>
      </w:r>
    </w:p>
    <w:p>
      <w:pPr>
        <w:pStyle w:val="OdstpolV"/>
        <w:numPr>
          <w:ilvl w:val="3"/>
          <w:numId w:val="7"/>
        </w:numPr>
        <w:spacing w:before="120" w:after="120"/>
        <w:ind w:left="567" w:right="170" w:hanging="283"/>
        <w:jc w:val="left"/>
        <w:rPr>
          <w:rFonts w:ascii="Arial" w:hAnsi="Arial" w:cs="Arial"/>
          <w:color w:val="FF0000"/>
          <w:sz w:val="22"/>
          <w:szCs w:val="22"/>
        </w:rPr>
      </w:pPr>
      <w:r>
        <w:rPr>
          <w:rFonts w:cs="Arial" w:ascii="Arial" w:hAnsi="Arial"/>
          <w:sz w:val="22"/>
          <w:szCs w:val="22"/>
        </w:rPr>
        <w:t xml:space="preserve">dojde k významné změně způsobu regulace činnosti nájemce týkající se provozu plynárenských zařízení, zejména ke změně způsobu regulace cen v plynárenství. Za významnou změnu se bude považovat zejména situace, kdy by nájemci měla setrváním ve smluvním vztahu vzniknout finanční újma, kterou nájemce pronajímateli doloží.   </w:t>
      </w:r>
    </w:p>
    <w:p>
      <w:pPr>
        <w:pStyle w:val="OdstpolV"/>
        <w:numPr>
          <w:ilvl w:val="0"/>
          <w:numId w:val="0"/>
        </w:numPr>
        <w:tabs>
          <w:tab w:val="clear" w:pos="708"/>
          <w:tab w:val="left" w:pos="709" w:leader="none"/>
        </w:tabs>
        <w:spacing w:before="120" w:after="120"/>
        <w:ind w:left="357" w:right="170" w:hanging="0"/>
        <w:jc w:val="left"/>
        <w:rPr>
          <w:rFonts w:ascii="Arial" w:hAnsi="Arial" w:cs="Arial"/>
          <w:sz w:val="22"/>
          <w:szCs w:val="22"/>
        </w:rPr>
      </w:pPr>
      <w:r>
        <w:rPr>
          <w:rFonts w:cs="Arial" w:ascii="Arial" w:hAnsi="Arial"/>
          <w:sz w:val="22"/>
          <w:szCs w:val="22"/>
        </w:rPr>
        <w:t>V těchto případech je výpovědní lhůta jeden kalendářní rok a začíná běžet prvým dnem kalendářního měsíce následujícího po měsíci, v němž byla výpověď doručena pronajímateli. Nájemce je povinen o této skutečnosti bezodkladně informovat všechny dotčené účastníky trhu s plynem a Energetický regulační úřad.</w:t>
      </w:r>
    </w:p>
    <w:p>
      <w:pPr>
        <w:pStyle w:val="OdstpolV"/>
        <w:numPr>
          <w:ilvl w:val="0"/>
          <w:numId w:val="3"/>
        </w:numPr>
        <w:tabs>
          <w:tab w:val="clear" w:pos="708"/>
          <w:tab w:val="left" w:pos="709" w:leader="none"/>
        </w:tabs>
        <w:spacing w:before="120" w:after="120"/>
        <w:ind w:left="360" w:right="170" w:hanging="360"/>
        <w:jc w:val="left"/>
        <w:rPr>
          <w:rFonts w:ascii="Arial" w:hAnsi="Arial" w:cs="Arial"/>
          <w:sz w:val="22"/>
          <w:szCs w:val="22"/>
        </w:rPr>
      </w:pPr>
      <w:r>
        <w:rPr>
          <w:rFonts w:eastAsia="Calibri" w:cs="Arial" w:ascii="Arial" w:hAnsi="Arial"/>
          <w:sz w:val="22"/>
          <w:szCs w:val="22"/>
        </w:rPr>
        <w:t xml:space="preserve">a) Nedohodnou-li se strany jinak, je pronajímatel oprávněn tuto smlouvu vypovědět vždy pouze k datu ukončení tzv. “regulačního období”, které je definované ve vyhlášce Energetického regulačního úřadu č. 140/2009 Sb. pro činnost distribuce zemního plynu. Bude-li vyhláška 140/2009 Sb. zrušena a nahrazena, bude se za regulační období považovat to období definované v jiném právním předpise, který vyhlášku č. 140/2009 Sb. nahradí. Pokud bude vyhláška č. 140/2009 Sb. zrušena bez náhrady, bude možné vypovědět tuto smlouvy ze strany pronajímatele vždy v pětileté periodě (dále také jako „jiná lhůta“) počínající kalendářním rokem, který následuje po roce, ve kterém byla vyhláška č. 140/2009 Sb. zrušena bez náhrady.   </w:t>
      </w:r>
    </w:p>
    <w:p>
      <w:pPr>
        <w:pStyle w:val="ListParagraph"/>
        <w:spacing w:before="120" w:after="120"/>
        <w:ind w:left="360" w:right="170" w:hanging="0"/>
        <w:contextualSpacing/>
        <w:rPr>
          <w:rFonts w:ascii="Arial" w:hAnsi="Arial" w:eastAsia="Calibri" w:cs="Arial"/>
          <w:sz w:val="22"/>
          <w:szCs w:val="22"/>
        </w:rPr>
      </w:pPr>
      <w:r>
        <w:rPr>
          <w:rFonts w:eastAsia="Calibri" w:cs="Arial" w:ascii="Arial" w:hAnsi="Arial"/>
          <w:sz w:val="22"/>
          <w:szCs w:val="22"/>
        </w:rPr>
        <w:t>b) Pro účel tohoto odstavce č. 3 začne počátek výpovědní doby plynout od data doručení výpovědi nájemci a končí uplynutím posledního dne regulačního období nebo jiné lhůty. V případě, že pronajímatel doručí nájemci výpověď smlouvy později než jeden rok před koncem regulačního období nebo jiné lhůty, začátek výpovědní doby začne plynout od data doručení výpovědi nájemci a končí uplynutím posledního dne regulačního období nebo jiné lhůty, které následuje po regulačním období nebo jiné lhůtě, ve kterém byla výpověď nájemci doručena.</w:t>
      </w:r>
    </w:p>
    <w:p>
      <w:pPr>
        <w:pStyle w:val="ListParagraph"/>
        <w:spacing w:before="120" w:after="120"/>
        <w:ind w:left="360" w:right="170" w:hanging="0"/>
        <w:contextualSpacing/>
        <w:rPr>
          <w:rFonts w:ascii="Arial" w:hAnsi="Arial" w:eastAsia="Calibri" w:cs="Arial"/>
          <w:sz w:val="22"/>
          <w:szCs w:val="22"/>
        </w:rPr>
      </w:pPr>
      <w:r>
        <w:rPr>
          <w:rFonts w:eastAsia="Calibri" w:cs="Arial" w:ascii="Arial" w:hAnsi="Arial"/>
          <w:sz w:val="22"/>
          <w:szCs w:val="22"/>
        </w:rPr>
        <w:t>c) Pronajímatel se zavazuje v případě podání výpovědi zajistit pro zákazníky připojené k pronajatému PZ distribuci plynu tak, aby nebyla přerušena kontinuita distribuce plynu zákazníkům uplynutím nebo po uplynutí výpovědní doby.</w:t>
      </w:r>
    </w:p>
    <w:p>
      <w:pPr>
        <w:pStyle w:val="Normal"/>
        <w:jc w:val="center"/>
        <w:rPr>
          <w:rFonts w:ascii="Arial" w:hAnsi="Arial" w:cs="Arial"/>
          <w:b/>
          <w:b/>
          <w:sz w:val="22"/>
          <w:szCs w:val="22"/>
        </w:rPr>
      </w:pPr>
      <w:r>
        <w:rPr>
          <w:rFonts w:cs="Arial" w:ascii="Arial" w:hAnsi="Arial"/>
          <w:b/>
          <w:sz w:val="22"/>
          <w:szCs w:val="22"/>
        </w:rPr>
        <w:t>V.</w:t>
      </w:r>
    </w:p>
    <w:p>
      <w:pPr>
        <w:pStyle w:val="Nadpis2"/>
        <w:rPr/>
      </w:pPr>
      <w:r>
        <w:rPr/>
        <w:t>Ujednání o předkupním právu</w:t>
      </w:r>
    </w:p>
    <w:p>
      <w:pPr>
        <w:pStyle w:val="Normal"/>
        <w:rPr/>
      </w:pPr>
      <w:r>
        <w:rPr/>
      </w:r>
    </w:p>
    <w:p>
      <w:pPr>
        <w:pStyle w:val="OdstpolV"/>
        <w:numPr>
          <w:ilvl w:val="0"/>
          <w:numId w:val="8"/>
        </w:numPr>
        <w:tabs>
          <w:tab w:val="clear" w:pos="708"/>
          <w:tab w:val="left" w:pos="709" w:leader="none"/>
        </w:tabs>
        <w:spacing w:before="120" w:after="120"/>
        <w:ind w:left="360" w:right="170" w:hanging="360"/>
        <w:jc w:val="left"/>
        <w:rPr>
          <w:rFonts w:ascii="Arial" w:hAnsi="Arial" w:eastAsia="Calibri" w:cs="Arial"/>
          <w:sz w:val="22"/>
          <w:szCs w:val="22"/>
        </w:rPr>
      </w:pPr>
      <w:r>
        <w:rPr>
          <w:rFonts w:eastAsia="Calibri" w:cs="Arial" w:ascii="Arial" w:hAnsi="Arial"/>
          <w:sz w:val="22"/>
          <w:szCs w:val="22"/>
        </w:rPr>
        <w:t>Rozhodne-li se pronajímatel, že prodá nebo jiným způsobem převede vlastnictví k pronajatému PZ (RS), zavazuje se jej nabídnout jako prvnímu ke koupi nájemci. Tato nabídka musí být učiněna písemně a prokazatelným způsobem doručena nájemci. Svou nabídkou je pronajímatel vázán nejméně po dobu 60 dnů od doručení písemné nabídky nájemci.</w:t>
      </w:r>
    </w:p>
    <w:p>
      <w:pPr>
        <w:pStyle w:val="OdstpolV"/>
        <w:numPr>
          <w:ilvl w:val="0"/>
          <w:numId w:val="8"/>
        </w:numPr>
        <w:tabs>
          <w:tab w:val="clear" w:pos="708"/>
          <w:tab w:val="left" w:pos="709" w:leader="none"/>
        </w:tabs>
        <w:spacing w:before="120" w:after="120"/>
        <w:ind w:left="360" w:right="170" w:hanging="360"/>
        <w:jc w:val="left"/>
        <w:rPr>
          <w:rFonts w:ascii="Arial" w:hAnsi="Arial" w:eastAsia="Calibri" w:cs="Arial"/>
          <w:sz w:val="22"/>
          <w:szCs w:val="22"/>
        </w:rPr>
      </w:pPr>
      <w:r>
        <w:rPr>
          <w:rFonts w:eastAsia="Calibri" w:cs="Arial" w:ascii="Arial" w:hAnsi="Arial"/>
          <w:sz w:val="22"/>
          <w:szCs w:val="22"/>
        </w:rPr>
        <w:t>Koupě PZ (RS) je podmíněna zajištěním majetkoprávních vztahů k pozemkům dotčeným PZ (zřízení věcného břemene), případně RS (koupě pozemku).</w:t>
      </w:r>
    </w:p>
    <w:p>
      <w:pPr>
        <w:pStyle w:val="Tlotextu"/>
        <w:overflowPunct w:val="true"/>
        <w:spacing w:before="120" w:after="0"/>
        <w:ind w:left="426" w:hanging="0"/>
        <w:textAlignment w:val="baseline"/>
        <w:rPr>
          <w:rFonts w:cs="Arial"/>
          <w:szCs w:val="22"/>
        </w:rPr>
      </w:pPr>
      <w:r>
        <w:rPr>
          <w:rFonts w:cs="Arial"/>
          <w:szCs w:val="22"/>
        </w:rPr>
      </w:r>
    </w:p>
    <w:p>
      <w:pPr>
        <w:pStyle w:val="Tlotextu"/>
        <w:overflowPunct w:val="true"/>
        <w:spacing w:before="0" w:after="0"/>
        <w:ind w:left="425" w:hanging="0"/>
        <w:textAlignment w:val="baseline"/>
        <w:rPr>
          <w:rFonts w:cs="Arial"/>
          <w:szCs w:val="22"/>
        </w:rPr>
      </w:pPr>
      <w:r>
        <w:rPr>
          <w:rFonts w:cs="Arial"/>
          <w:szCs w:val="22"/>
        </w:rPr>
        <w:t>Kontaktní osoba pro otázky zřízení věcného břemene:</w:t>
      </w:r>
    </w:p>
    <w:p>
      <w:pPr>
        <w:pStyle w:val="Tlotextu"/>
        <w:overflowPunct w:val="true"/>
        <w:spacing w:before="120" w:after="120"/>
        <w:ind w:left="425" w:hanging="0"/>
        <w:textAlignment w:val="baseline"/>
        <w:rPr>
          <w:rFonts w:cs="Arial"/>
          <w:szCs w:val="22"/>
        </w:rPr>
      </w:pPr>
      <w:r>
        <w:rPr>
          <w:rFonts w:cs="Arial"/>
          <w:szCs w:val="22"/>
        </w:rPr>
        <w:t xml:space="preserve">viz Kontaktní systém RWE na adrese </w:t>
      </w:r>
      <w:hyperlink r:id="rId3">
        <w:r>
          <w:rPr>
            <w:rStyle w:val="Internetovodkaz"/>
            <w:rFonts w:cs="Arial"/>
            <w:szCs w:val="22"/>
          </w:rPr>
          <w:t>http://www.rwe-distribuce.cz/cs/kontaktni-system/</w:t>
        </w:r>
      </w:hyperlink>
      <w:r>
        <w:rPr>
          <w:rFonts w:cs="Arial"/>
          <w:szCs w:val="22"/>
        </w:rPr>
        <w:t xml:space="preserve"> pod bodem „Smluvní vztahy - věcná břemena (plynovody, přípojky, přeložky v investicích třetích stran“).</w:t>
      </w:r>
    </w:p>
    <w:p>
      <w:pPr>
        <w:pStyle w:val="Tlotextu"/>
        <w:overflowPunct w:val="true"/>
        <w:spacing w:before="120" w:after="120"/>
        <w:ind w:left="425" w:hanging="0"/>
        <w:textAlignment w:val="baseline"/>
        <w:rPr>
          <w:rFonts w:cs="Arial"/>
          <w:szCs w:val="22"/>
        </w:rPr>
      </w:pPr>
      <w:r>
        <w:rPr>
          <w:rFonts w:cs="Arial"/>
          <w:szCs w:val="22"/>
        </w:rPr>
        <w:t>Kontaktní osoba pro otázky koupě nemovitých věcí:</w:t>
      </w:r>
    </w:p>
    <w:p>
      <w:pPr>
        <w:pStyle w:val="Tlotextu"/>
        <w:overflowPunct w:val="true"/>
        <w:spacing w:before="120" w:after="120"/>
        <w:ind w:left="425" w:hanging="0"/>
        <w:textAlignment w:val="baseline"/>
        <w:rPr>
          <w:rFonts w:cs="Arial"/>
          <w:szCs w:val="22"/>
        </w:rPr>
      </w:pPr>
      <w:r>
        <w:rPr>
          <w:rFonts w:cs="Arial"/>
          <w:szCs w:val="22"/>
        </w:rPr>
        <w:t xml:space="preserve">viz Kontaktní systém RWE na adrese </w:t>
      </w:r>
      <w:hyperlink r:id="rId4">
        <w:r>
          <w:rPr>
            <w:rStyle w:val="Internetovodkaz"/>
            <w:rFonts w:cs="Arial"/>
            <w:szCs w:val="22"/>
          </w:rPr>
          <w:t>http://www.rwe-distribuce.cz/cs/kontaktni-system/</w:t>
        </w:r>
      </w:hyperlink>
      <w:r>
        <w:rPr>
          <w:rFonts w:cs="Arial"/>
          <w:szCs w:val="22"/>
        </w:rPr>
        <w:t xml:space="preserve"> pod bodem „Smluvní vztahy - pozemky a budovy plynárenských zařízení“).</w:t>
      </w:r>
    </w:p>
    <w:p>
      <w:pPr>
        <w:pStyle w:val="Tlotextu"/>
        <w:spacing w:before="0" w:after="0"/>
        <w:jc w:val="center"/>
        <w:rPr>
          <w:rFonts w:cs="Arial"/>
          <w:b/>
          <w:b/>
          <w:szCs w:val="22"/>
        </w:rPr>
      </w:pPr>
      <w:r>
        <w:rPr>
          <w:rFonts w:cs="Arial"/>
          <w:b/>
          <w:szCs w:val="22"/>
        </w:rPr>
      </w:r>
    </w:p>
    <w:p>
      <w:pPr>
        <w:pStyle w:val="Tlotextu"/>
        <w:spacing w:before="0" w:after="0"/>
        <w:jc w:val="center"/>
        <w:rPr>
          <w:rFonts w:cs="Arial"/>
          <w:b/>
          <w:b/>
          <w:szCs w:val="22"/>
        </w:rPr>
      </w:pPr>
      <w:r>
        <w:rPr>
          <w:rFonts w:cs="Arial"/>
          <w:b/>
          <w:szCs w:val="22"/>
        </w:rPr>
      </w:r>
    </w:p>
    <w:p>
      <w:pPr>
        <w:pStyle w:val="Tlotextu"/>
        <w:spacing w:before="0" w:after="0"/>
        <w:jc w:val="center"/>
        <w:rPr>
          <w:rFonts w:cs="Arial"/>
          <w:b/>
          <w:b/>
          <w:szCs w:val="22"/>
        </w:rPr>
      </w:pPr>
      <w:r>
        <w:rPr>
          <w:rFonts w:cs="Arial"/>
          <w:b/>
          <w:szCs w:val="22"/>
        </w:rPr>
        <w:t>VI.</w:t>
      </w:r>
    </w:p>
    <w:p>
      <w:pPr>
        <w:pStyle w:val="Tlotextu"/>
        <w:jc w:val="center"/>
        <w:rPr>
          <w:rFonts w:cs="Arial"/>
          <w:b/>
          <w:b/>
          <w:szCs w:val="22"/>
          <w:u w:val="single"/>
        </w:rPr>
      </w:pPr>
      <w:r>
        <w:rPr>
          <w:rFonts w:cs="Arial"/>
          <w:b/>
          <w:szCs w:val="22"/>
          <w:u w:val="single"/>
        </w:rPr>
        <w:t>Společná a závěrečná ustanovení</w:t>
      </w:r>
    </w:p>
    <w:p>
      <w:pPr>
        <w:pStyle w:val="Tlotextu"/>
        <w:jc w:val="center"/>
        <w:rPr>
          <w:rFonts w:cs="Arial"/>
          <w:b/>
          <w:b/>
          <w:szCs w:val="22"/>
          <w:u w:val="single"/>
        </w:rPr>
      </w:pPr>
      <w:r>
        <w:rPr>
          <w:rFonts w:cs="Arial"/>
          <w:b/>
          <w:szCs w:val="22"/>
          <w:u w:val="single"/>
        </w:rPr>
      </w:r>
    </w:p>
    <w:p>
      <w:pPr>
        <w:pStyle w:val="Tlotextu"/>
        <w:numPr>
          <w:ilvl w:val="0"/>
          <w:numId w:val="1"/>
        </w:numPr>
        <w:overflowPunct w:val="true"/>
        <w:spacing w:before="120" w:after="120"/>
        <w:textAlignment w:val="baseline"/>
        <w:rPr>
          <w:rFonts w:cs="Arial"/>
          <w:szCs w:val="22"/>
        </w:rPr>
      </w:pPr>
      <w:r>
        <w:rPr>
          <w:rFonts w:cs="Arial"/>
          <w:szCs w:val="22"/>
        </w:rPr>
        <w:t>Tato smlouva je uzavřena v souladu s ustanoveními zákona č. 89/2012 Sb., občanský zákoník, v platném znění.</w:t>
      </w:r>
    </w:p>
    <w:p>
      <w:pPr>
        <w:pStyle w:val="Tlotextu"/>
        <w:numPr>
          <w:ilvl w:val="0"/>
          <w:numId w:val="1"/>
        </w:numPr>
        <w:overflowPunct w:val="true"/>
        <w:spacing w:before="120" w:after="120"/>
        <w:textAlignment w:val="baseline"/>
        <w:rPr>
          <w:rFonts w:cs="Arial"/>
          <w:szCs w:val="22"/>
        </w:rPr>
      </w:pPr>
      <w:r>
        <w:rPr>
          <w:rFonts w:cs="Arial"/>
          <w:szCs w:val="22"/>
        </w:rPr>
        <w:t>Případné změny a doplňky smlouvy mohou být učiněny pouze po předchozí dohodě smluvních stran, a to formou písemného, chronologicky číslovaného dodatku ke smlouvě. Toto ustanovení se nepoužije pro případ změny nájemného, které bude měněno postupem podle čl. III. této smlouvy.</w:t>
      </w:r>
    </w:p>
    <w:p>
      <w:pPr>
        <w:pStyle w:val="ListParagraph"/>
        <w:numPr>
          <w:ilvl w:val="0"/>
          <w:numId w:val="1"/>
        </w:numPr>
        <w:spacing w:before="120" w:after="120"/>
        <w:ind w:left="357" w:hanging="357"/>
        <w:contextualSpacing/>
        <w:rPr>
          <w:rFonts w:ascii="Arial" w:hAnsi="Arial" w:cs="Arial"/>
          <w:sz w:val="22"/>
          <w:szCs w:val="22"/>
        </w:rPr>
      </w:pPr>
      <w:r>
        <w:rPr>
          <w:rFonts w:cs="Arial" w:ascii="Arial" w:hAnsi="Arial"/>
          <w:sz w:val="22"/>
          <w:szCs w:val="22"/>
        </w:rPr>
        <w:t>Pronajímatel je povinen umožnit nájemci provozovat PZ (RS) na všech nemovitých věcech dotčených PZ (RS) a za tím účelem zajistit vstup a vjezd na tyto nemovité věci v souvislosti s výkonem práv a povinností nájemce podle této smlouvy, energetického zákona a dalších právních předpisů, zejména v souvislosti se stavebními úpravami, opravami a provozováním PZ.</w:t>
      </w:r>
    </w:p>
    <w:p>
      <w:pPr>
        <w:pStyle w:val="Tlotextu"/>
        <w:numPr>
          <w:ilvl w:val="0"/>
          <w:numId w:val="1"/>
        </w:numPr>
        <w:rPr>
          <w:rFonts w:cs="Arial"/>
          <w:szCs w:val="22"/>
        </w:rPr>
      </w:pPr>
      <w:r>
        <w:rPr>
          <w:rStyle w:val="Pagenumber"/>
          <w:rFonts w:cs="Arial"/>
          <w:szCs w:val="22"/>
        </w:rPr>
        <w:t>Smluvní strany se zavazují vzájemně informovat o obdržení výzvy k odstranění PZ nebo jeho části nebo o požadavku na finanční kompenzaci v souvislosti s uložením PZ do 15 dnů.</w:t>
      </w:r>
      <w:r>
        <w:rPr>
          <w:rFonts w:cs="Arial"/>
          <w:szCs w:val="22"/>
        </w:rPr>
        <w:t xml:space="preserve"> </w:t>
      </w:r>
    </w:p>
    <w:p>
      <w:pPr>
        <w:pStyle w:val="Tlotextu"/>
        <w:numPr>
          <w:ilvl w:val="0"/>
          <w:numId w:val="1"/>
        </w:numPr>
        <w:overflowPunct w:val="true"/>
        <w:spacing w:before="120" w:after="120"/>
        <w:textAlignment w:val="baseline"/>
        <w:rPr>
          <w:rFonts w:cs="Arial"/>
          <w:szCs w:val="22"/>
        </w:rPr>
      </w:pPr>
      <w:r>
        <w:rPr>
          <w:rFonts w:cs="Arial"/>
          <w:szCs w:val="22"/>
        </w:rPr>
        <w:t>Pokud není v této smlouvě uvedeno jinak, má použitý pojem stejný význam, jaký mu přisuzují obecně závazné předpisy v plynárenství, technické normy nebo technické pravidla.</w:t>
      </w:r>
    </w:p>
    <w:p>
      <w:pPr>
        <w:pStyle w:val="Tlotextu"/>
        <w:numPr>
          <w:ilvl w:val="0"/>
          <w:numId w:val="1"/>
        </w:numPr>
        <w:overflowPunct w:val="true"/>
        <w:spacing w:before="120" w:after="120"/>
        <w:textAlignment w:val="baseline"/>
        <w:rPr>
          <w:rFonts w:cs="Arial"/>
          <w:szCs w:val="22"/>
        </w:rPr>
      </w:pPr>
      <w:r>
        <w:rPr>
          <w:rFonts w:cs="Arial"/>
          <w:szCs w:val="22"/>
        </w:rPr>
        <w:t>Nájemce výslovně upozorňuje pronajímatele, že jakékoliv provedené byť nepodstatné změny v návrhu této smlouvy, s výjimkou údajů, jejichž vyplnění se předpokládá (např. údaje v záhlaví), tímto prohlášením nájemce automaticky odmítá.</w:t>
      </w:r>
    </w:p>
    <w:p>
      <w:pPr>
        <w:pStyle w:val="Tlotextu"/>
        <w:numPr>
          <w:ilvl w:val="0"/>
          <w:numId w:val="1"/>
        </w:numPr>
        <w:overflowPunct w:val="true"/>
        <w:spacing w:before="120" w:after="120"/>
        <w:textAlignment w:val="baseline"/>
        <w:rPr>
          <w:rFonts w:cs="Arial"/>
          <w:szCs w:val="22"/>
        </w:rPr>
      </w:pPr>
      <w:r>
        <w:rPr>
          <w:rFonts w:cs="Arial"/>
          <w:szCs w:val="22"/>
        </w:rPr>
        <w:t>Tato smlouva dnem své účinnosti ruší smlouvu o nájmu č. 80/2004/SNP, uzavřenou mezi pronajímatelem a nájemcem dne 29.10.2004.</w:t>
      </w:r>
    </w:p>
    <w:p>
      <w:pPr>
        <w:pStyle w:val="Tlotextu"/>
        <w:numPr>
          <w:ilvl w:val="0"/>
          <w:numId w:val="1"/>
        </w:numPr>
        <w:overflowPunct w:val="true"/>
        <w:spacing w:before="120" w:after="120"/>
        <w:textAlignment w:val="baseline"/>
        <w:rPr>
          <w:rFonts w:cs="Arial"/>
          <w:szCs w:val="22"/>
        </w:rPr>
      </w:pPr>
      <w:r>
        <w:rPr>
          <w:rFonts w:cs="Arial"/>
          <w:szCs w:val="22"/>
        </w:rPr>
        <w:t>Smluvní strany si sjednávají, že pokud v důsledku změn či odlišného výkladu právních předpisů anebo judikatury soudů bude u některého ustanovení této smlouvy shledán důvod jeho neplatnosti, smlouva jako celek zůstává nadále v platnosti.</w:t>
      </w:r>
    </w:p>
    <w:p>
      <w:pPr>
        <w:pStyle w:val="Tlotextu"/>
        <w:numPr>
          <w:ilvl w:val="0"/>
          <w:numId w:val="1"/>
        </w:numPr>
        <w:overflowPunct w:val="true"/>
        <w:spacing w:before="120" w:after="120"/>
        <w:textAlignment w:val="baseline"/>
        <w:rPr>
          <w:rFonts w:cs="Arial"/>
          <w:szCs w:val="22"/>
        </w:rPr>
      </w:pPr>
      <w:r>
        <w:rPr>
          <w:rFonts w:cs="Arial"/>
          <w:szCs w:val="22"/>
        </w:rPr>
        <w:t xml:space="preserve">Tato smlouva se vyhotovuje ve 3 stejnopisech s platností originálu, 1 výtisk obdrží pronajímatel, </w:t>
      </w:r>
      <w:bookmarkStart w:id="7" w:name="Text23"/>
      <w:r>
        <w:rPr>
          <w:rFonts w:cs="Arial"/>
          <w:szCs w:val="22"/>
        </w:rPr>
        <w:t>2 výtisky</w:t>
      </w:r>
      <w:bookmarkEnd w:id="7"/>
      <w:r>
        <w:rPr>
          <w:rFonts w:cs="Arial"/>
          <w:szCs w:val="22"/>
        </w:rPr>
        <w:t xml:space="preserve"> obdrží nájemce.</w:t>
      </w:r>
    </w:p>
    <w:p>
      <w:pPr>
        <w:pStyle w:val="Tlotextu"/>
        <w:numPr>
          <w:ilvl w:val="0"/>
          <w:numId w:val="1"/>
        </w:numPr>
        <w:overflowPunct w:val="true"/>
        <w:spacing w:before="120" w:after="120"/>
        <w:textAlignment w:val="baseline"/>
        <w:rPr>
          <w:rFonts w:cs="Arial"/>
          <w:szCs w:val="22"/>
        </w:rPr>
      </w:pPr>
      <w:r>
        <w:rPr>
          <w:rFonts w:cs="Arial"/>
          <w:szCs w:val="22"/>
        </w:rPr>
        <w:t xml:space="preserve">Účastníci prohlašují, že si smlouvu přečetli a že jí rozumí. Dále prohlašují, že tato smlouva je v celém svém obsahu výrazem jejich pravé a svobodné vůle a že není uzavírána v tísni za nápadně nevýhodných podmínek. Na důkaz toho připojují jejich zástupci své podpisy. </w:t>
      </w:r>
    </w:p>
    <w:p>
      <w:pPr>
        <w:pStyle w:val="Normal"/>
        <w:numPr>
          <w:ilvl w:val="0"/>
          <w:numId w:val="1"/>
        </w:numPr>
        <w:spacing w:before="0" w:after="120"/>
        <w:rPr>
          <w:rFonts w:ascii="Arial" w:hAnsi="Arial" w:cs="Arial"/>
          <w:sz w:val="22"/>
          <w:szCs w:val="22"/>
        </w:rPr>
      </w:pPr>
      <w:r>
        <w:rPr>
          <w:rFonts w:cs="Arial" w:ascii="Arial" w:hAnsi="Arial"/>
          <w:sz w:val="22"/>
          <w:szCs w:val="22"/>
        </w:rPr>
        <w:t>Smlouva nabývá platnosti a účinnosti dnem podpisu obou smluvních stran.</w:t>
      </w:r>
    </w:p>
    <w:p>
      <w:pPr>
        <w:pStyle w:val="Tlotextu"/>
        <w:overflowPunct w:val="true"/>
        <w:spacing w:before="120" w:after="0"/>
        <w:jc w:val="both"/>
        <w:textAlignment w:val="baseline"/>
        <w:rPr>
          <w:rFonts w:cs="Arial"/>
          <w:szCs w:val="22"/>
        </w:rPr>
      </w:pPr>
      <w:r>
        <w:rPr>
          <w:rFonts w:cs="Arial"/>
          <w:szCs w:val="22"/>
        </w:rPr>
      </w:r>
    </w:p>
    <w:p>
      <w:pPr>
        <w:pStyle w:val="Tlotextu"/>
        <w:overflowPunct w:val="true"/>
        <w:spacing w:before="120" w:after="0"/>
        <w:jc w:val="both"/>
        <w:textAlignment w:val="baseline"/>
        <w:rPr>
          <w:rFonts w:cs="Arial"/>
          <w:szCs w:val="22"/>
        </w:rPr>
      </w:pPr>
      <w:r>
        <w:rPr>
          <w:rFonts w:cs="Arial"/>
          <w:szCs w:val="22"/>
        </w:rPr>
      </w:r>
    </w:p>
    <w:p>
      <w:pPr>
        <w:pStyle w:val="Normal"/>
        <w:tabs>
          <w:tab w:val="clear" w:pos="708"/>
          <w:tab w:val="left" w:pos="1985" w:leader="none"/>
          <w:tab w:val="left" w:pos="4820" w:leader="none"/>
        </w:tabs>
        <w:spacing w:before="120" w:after="0"/>
        <w:ind w:firstLine="426"/>
        <w:rPr>
          <w:rFonts w:ascii="Arial" w:hAnsi="Arial" w:cs="Arial"/>
          <w:sz w:val="22"/>
          <w:szCs w:val="22"/>
        </w:rPr>
      </w:pPr>
      <w:r>
        <w:rPr>
          <w:rFonts w:cs="Arial" w:ascii="Arial" w:hAnsi="Arial"/>
          <w:sz w:val="22"/>
          <w:szCs w:val="22"/>
        </w:rPr>
        <w:t>V Klatovech dne 5.8.2014</w:t>
        <w:tab/>
        <w:t>V Ústí nad Labem dne 13.8.2014</w:t>
      </w:r>
    </w:p>
    <w:p>
      <w:pPr>
        <w:pStyle w:val="Normal"/>
        <w:tabs>
          <w:tab w:val="clear" w:pos="708"/>
          <w:tab w:val="left" w:pos="1985" w:leader="none"/>
          <w:tab w:val="left" w:pos="4820" w:leader="none"/>
        </w:tabs>
        <w:spacing w:before="120" w:after="0"/>
        <w:rPr>
          <w:rFonts w:ascii="Arial" w:hAnsi="Arial" w:cs="Arial"/>
          <w:sz w:val="22"/>
          <w:szCs w:val="22"/>
        </w:rPr>
      </w:pPr>
      <w:r>
        <w:rPr>
          <w:rFonts w:cs="Arial" w:ascii="Arial" w:hAnsi="Arial"/>
          <w:sz w:val="22"/>
          <w:szCs w:val="22"/>
        </w:rPr>
      </w:r>
    </w:p>
    <w:p>
      <w:pPr>
        <w:pStyle w:val="Normal"/>
        <w:tabs>
          <w:tab w:val="clear" w:pos="708"/>
          <w:tab w:val="left" w:pos="1985" w:leader="none"/>
          <w:tab w:val="left" w:pos="4820" w:leader="none"/>
        </w:tabs>
        <w:spacing w:before="120" w:after="0"/>
        <w:ind w:firstLine="426"/>
        <w:rPr>
          <w:rFonts w:ascii="Arial" w:hAnsi="Arial" w:cs="Arial"/>
          <w:sz w:val="22"/>
          <w:szCs w:val="22"/>
        </w:rPr>
      </w:pPr>
      <w:r>
        <w:rPr>
          <w:rFonts w:cs="Arial" w:ascii="Arial" w:hAnsi="Arial"/>
          <w:sz w:val="22"/>
          <w:szCs w:val="22"/>
        </w:rPr>
        <w:t>Za pronajímatele:</w:t>
        <w:tab/>
        <w:t>Za nájemce:</w:t>
      </w:r>
    </w:p>
    <w:p>
      <w:pPr>
        <w:pStyle w:val="Normal"/>
        <w:tabs>
          <w:tab w:val="clear" w:pos="708"/>
          <w:tab w:val="left" w:pos="1985" w:leader="none"/>
          <w:tab w:val="left" w:pos="4820" w:leader="none"/>
        </w:tabs>
        <w:spacing w:before="120" w:after="0"/>
        <w:ind w:firstLine="567"/>
        <w:rPr>
          <w:rFonts w:ascii="Arial" w:hAnsi="Arial" w:cs="Arial"/>
          <w:sz w:val="22"/>
          <w:szCs w:val="22"/>
        </w:rPr>
      </w:pPr>
      <w:r>
        <w:rPr>
          <w:rFonts w:cs="Arial" w:ascii="Arial" w:hAnsi="Arial"/>
          <w:sz w:val="22"/>
          <w:szCs w:val="22"/>
        </w:rPr>
      </w:r>
    </w:p>
    <w:p>
      <w:pPr>
        <w:pStyle w:val="Normal"/>
        <w:tabs>
          <w:tab w:val="clear" w:pos="708"/>
          <w:tab w:val="left" w:pos="1985" w:leader="none"/>
          <w:tab w:val="left" w:pos="4820" w:leader="none"/>
        </w:tabs>
        <w:spacing w:before="120" w:after="0"/>
        <w:ind w:firstLine="567"/>
        <w:rPr>
          <w:rFonts w:ascii="Arial" w:hAnsi="Arial" w:cs="Arial"/>
          <w:sz w:val="22"/>
          <w:szCs w:val="22"/>
        </w:rPr>
      </w:pPr>
      <w:r>
        <w:rPr>
          <w:rFonts w:cs="Arial" w:ascii="Arial" w:hAnsi="Arial"/>
          <w:sz w:val="22"/>
          <w:szCs w:val="22"/>
        </w:rPr>
      </w:r>
    </w:p>
    <w:p>
      <w:pPr>
        <w:pStyle w:val="Normal"/>
        <w:tabs>
          <w:tab w:val="clear" w:pos="708"/>
          <w:tab w:val="left" w:pos="1985" w:leader="none"/>
          <w:tab w:val="left" w:pos="4820" w:leader="none"/>
        </w:tabs>
        <w:spacing w:before="120" w:after="0"/>
        <w:ind w:firstLine="567"/>
        <w:rPr>
          <w:rFonts w:ascii="Arial" w:hAnsi="Arial" w:cs="Arial"/>
          <w:sz w:val="22"/>
          <w:szCs w:val="22"/>
        </w:rPr>
      </w:pPr>
      <w:r>
        <w:rPr>
          <w:rFonts w:cs="Arial" w:ascii="Arial" w:hAnsi="Arial"/>
          <w:sz w:val="22"/>
          <w:szCs w:val="22"/>
        </w:rPr>
      </w:r>
    </w:p>
    <w:p>
      <w:pPr>
        <w:pStyle w:val="Normal"/>
        <w:tabs>
          <w:tab w:val="clear" w:pos="708"/>
          <w:tab w:val="left" w:pos="1985" w:leader="none"/>
          <w:tab w:val="left" w:pos="4820" w:leader="none"/>
        </w:tabs>
        <w:spacing w:before="120" w:after="0"/>
        <w:ind w:firstLine="426"/>
        <w:rPr>
          <w:rFonts w:ascii="Arial" w:hAnsi="Arial" w:cs="Arial"/>
          <w:sz w:val="22"/>
          <w:szCs w:val="22"/>
        </w:rPr>
      </w:pPr>
      <w:r>
        <w:rPr>
          <w:rFonts w:cs="Arial" w:ascii="Arial" w:hAnsi="Arial"/>
          <w:sz w:val="22"/>
          <w:szCs w:val="22"/>
        </w:rPr>
        <w:t>………………………</w:t>
      </w:r>
      <w:r>
        <w:rPr>
          <w:rFonts w:cs="Arial" w:ascii="Arial" w:hAnsi="Arial"/>
          <w:sz w:val="22"/>
          <w:szCs w:val="22"/>
        </w:rPr>
        <w:tab/>
        <w:t>……………………..</w:t>
      </w:r>
    </w:p>
    <w:p>
      <w:pPr>
        <w:pStyle w:val="Normal"/>
        <w:tabs>
          <w:tab w:val="clear" w:pos="708"/>
          <w:tab w:val="left" w:pos="1134" w:leader="none"/>
          <w:tab w:val="left" w:pos="1985" w:leader="none"/>
          <w:tab w:val="left" w:pos="4820" w:leader="none"/>
          <w:tab w:val="left" w:pos="5529" w:leader="none"/>
        </w:tabs>
        <w:spacing w:before="120" w:after="0"/>
        <w:rPr>
          <w:rFonts w:ascii="Arial" w:hAnsi="Arial" w:cs="Arial"/>
          <w:sz w:val="22"/>
          <w:szCs w:val="22"/>
        </w:rPr>
      </w:pPr>
      <w:r>
        <mc:AlternateContent>
          <mc:Choice Requires="wps">
            <w:drawing>
              <wp:anchor behindDoc="0" distT="0" distB="0" distL="0" distR="0" simplePos="0" locked="0" layoutInCell="1" allowOverlap="1" relativeHeight="2">
                <wp:simplePos x="0" y="0"/>
                <wp:positionH relativeFrom="column">
                  <wp:posOffset>145415</wp:posOffset>
                </wp:positionH>
                <wp:positionV relativeFrom="paragraph">
                  <wp:posOffset>63500</wp:posOffset>
                </wp:positionV>
                <wp:extent cx="1419860" cy="419735"/>
                <wp:effectExtent l="0" t="0" r="9525" b="0"/>
                <wp:wrapNone/>
                <wp:docPr id="4" name="Obdélník 1"/>
                <a:graphic xmlns:a="http://schemas.openxmlformats.org/drawingml/2006/main">
                  <a:graphicData uri="http://schemas.microsoft.com/office/word/2010/wordprocessingShape">
                    <wps:wsp>
                      <wps:cNvSpPr/>
                      <wps:spPr>
                        <a:xfrm>
                          <a:off x="0" y="0"/>
                          <a:ext cx="1419120" cy="41904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Obdélník 1" fillcolor="black" stroked="f" style="position:absolute;margin-left:11.45pt;margin-top:5pt;width:111.7pt;height:32.95pt">
                <w10:wrap type="none"/>
                <v:fill o:detectmouseclick="t" type="solid" color2="white"/>
                <v:stroke color="#3465a4" weight="12600" joinstyle="miter" endcap="flat"/>
              </v:rect>
            </w:pict>
          </mc:Fallback>
        </mc:AlternateContent>
        <mc:AlternateContent>
          <mc:Choice Requires="wps">
            <w:drawing>
              <wp:anchor behindDoc="0" distT="0" distB="0" distL="0" distR="0" simplePos="0" locked="0" layoutInCell="1" allowOverlap="1" relativeHeight="3">
                <wp:simplePos x="0" y="0"/>
                <wp:positionH relativeFrom="column">
                  <wp:posOffset>3031490</wp:posOffset>
                </wp:positionH>
                <wp:positionV relativeFrom="paragraph">
                  <wp:posOffset>34925</wp:posOffset>
                </wp:positionV>
                <wp:extent cx="1553210" cy="505460"/>
                <wp:effectExtent l="0" t="0" r="9525" b="9525"/>
                <wp:wrapNone/>
                <wp:docPr id="5" name="Obdélník 2"/>
                <a:graphic xmlns:a="http://schemas.openxmlformats.org/drawingml/2006/main">
                  <a:graphicData uri="http://schemas.microsoft.com/office/word/2010/wordprocessingShape">
                    <wps:wsp>
                      <wps:cNvSpPr/>
                      <wps:spPr>
                        <a:xfrm>
                          <a:off x="0" y="0"/>
                          <a:ext cx="1552680" cy="504720"/>
                        </a:xfrm>
                        <a:prstGeom prst="rect">
                          <a:avLst/>
                        </a:prstGeom>
                        <a:ln>
                          <a:noFill/>
                        </a:ln>
                      </wps:spPr>
                      <wps:style>
                        <a:lnRef idx="2">
                          <a:schemeClr val="dk1">
                            <a:shade val="50000"/>
                          </a:schemeClr>
                        </a:lnRef>
                        <a:fillRef idx="1">
                          <a:schemeClr val="dk1"/>
                        </a:fillRef>
                        <a:effectRef idx="0">
                          <a:schemeClr val="dk1"/>
                        </a:effectRef>
                        <a:fontRef idx="minor"/>
                      </wps:style>
                      <wps:bodyPr/>
                    </wps:wsp>
                  </a:graphicData>
                </a:graphic>
              </wp:anchor>
            </w:drawing>
          </mc:Choice>
          <mc:Fallback>
            <w:pict>
              <v:rect id="shape_0" ID="Obdélník 2" fillcolor="black" stroked="f" style="position:absolute;margin-left:238.7pt;margin-top:2.75pt;width:122.2pt;height:39.7pt">
                <w10:wrap type="none"/>
                <v:fill o:detectmouseclick="t" type="solid" color2="white"/>
                <v:stroke color="#3465a4" weight="12600" joinstyle="miter" endcap="flat"/>
              </v:rect>
            </w:pict>
          </mc:Fallback>
        </mc:AlternateContent>
      </w:r>
      <w:r>
        <w:rPr>
          <w:rFonts w:cs="Arial" w:ascii="Arial" w:hAnsi="Arial"/>
          <w:sz w:val="22"/>
          <w:szCs w:val="22"/>
        </w:rPr>
        <w:t xml:space="preserve">       </w:t>
      </w:r>
      <w:r>
        <w:rPr>
          <w:rFonts w:cs="Arial" w:ascii="Arial" w:hAnsi="Arial"/>
          <w:sz w:val="22"/>
          <w:szCs w:val="22"/>
        </w:rPr>
        <w:t>Milan Sekyrka</w:t>
        <w:tab/>
        <w:tab/>
        <w:t>Andrej Prno, MBC, BBA</w:t>
      </w:r>
      <w:bookmarkStart w:id="8" w:name="_GoBack"/>
      <w:bookmarkEnd w:id="8"/>
    </w:p>
    <w:p>
      <w:pPr>
        <w:pStyle w:val="Normal"/>
        <w:tabs>
          <w:tab w:val="clear" w:pos="708"/>
          <w:tab w:val="left" w:pos="1134" w:leader="none"/>
          <w:tab w:val="left" w:pos="1985" w:leader="none"/>
          <w:tab w:val="left" w:pos="4820" w:leader="none"/>
          <w:tab w:val="left" w:pos="5529" w:leader="none"/>
        </w:tabs>
        <w:spacing w:before="120" w:after="0"/>
        <w:rPr>
          <w:rFonts w:ascii="Arial" w:hAnsi="Arial" w:cs="Arial"/>
          <w:sz w:val="22"/>
          <w:szCs w:val="22"/>
        </w:rPr>
      </w:pPr>
      <w:r>
        <w:rPr>
          <w:rFonts w:cs="Arial" w:ascii="Arial" w:hAnsi="Arial"/>
          <w:sz w:val="22"/>
          <w:szCs w:val="22"/>
        </w:rPr>
        <w:t xml:space="preserve">       </w:t>
      </w:r>
      <w:r>
        <w:rPr>
          <w:rFonts w:cs="Arial" w:ascii="Arial" w:hAnsi="Arial"/>
          <w:sz w:val="22"/>
          <w:szCs w:val="22"/>
        </w:rPr>
        <w:t>ředitel</w:t>
        <w:tab/>
        <w:tab/>
        <w:tab/>
        <w:t>ředitel správy DS</w:t>
      </w:r>
    </w:p>
    <w:p>
      <w:pPr>
        <w:pStyle w:val="Normal"/>
        <w:tabs>
          <w:tab w:val="clear" w:pos="708"/>
          <w:tab w:val="left" w:pos="1134" w:leader="none"/>
          <w:tab w:val="left" w:pos="1985" w:leader="none"/>
          <w:tab w:val="left" w:pos="4820" w:leader="none"/>
          <w:tab w:val="left" w:pos="5529" w:leader="none"/>
        </w:tabs>
        <w:spacing w:before="120" w:after="0"/>
        <w:ind w:firstLine="567"/>
        <w:rPr>
          <w:rFonts w:ascii="Arial" w:hAnsi="Arial" w:cs="Arial"/>
          <w:sz w:val="22"/>
          <w:szCs w:val="22"/>
        </w:rPr>
      </w:pPr>
      <w:r>
        <w:rPr>
          <w:rFonts w:cs="Arial" w:ascii="Arial" w:hAnsi="Arial"/>
          <w:sz w:val="22"/>
          <w:szCs w:val="22"/>
        </w:rPr>
      </w:r>
    </w:p>
    <w:p>
      <w:pPr>
        <w:pStyle w:val="Normal"/>
        <w:tabs>
          <w:tab w:val="clear" w:pos="708"/>
          <w:tab w:val="left" w:pos="1134" w:leader="none"/>
          <w:tab w:val="left" w:pos="1985" w:leader="none"/>
          <w:tab w:val="left" w:pos="4820" w:leader="none"/>
          <w:tab w:val="left" w:pos="5529" w:leader="none"/>
        </w:tabs>
        <w:spacing w:before="120" w:after="0"/>
        <w:ind w:firstLine="567"/>
        <w:rPr>
          <w:rFonts w:ascii="Arial" w:hAnsi="Arial" w:cs="Arial"/>
          <w:sz w:val="22"/>
          <w:szCs w:val="22"/>
        </w:rPr>
      </w:pPr>
      <w:r>
        <w:rPr>
          <w:rFonts w:cs="Arial" w:ascii="Arial" w:hAnsi="Arial"/>
          <w:sz w:val="22"/>
          <w:szCs w:val="22"/>
        </w:rPr>
      </w:r>
    </w:p>
    <w:p>
      <w:pPr>
        <w:pStyle w:val="Normal"/>
        <w:tabs>
          <w:tab w:val="clear" w:pos="708"/>
          <w:tab w:val="left" w:pos="1134" w:leader="none"/>
          <w:tab w:val="left" w:pos="1985" w:leader="none"/>
          <w:tab w:val="left" w:pos="4820" w:leader="none"/>
          <w:tab w:val="left" w:pos="5529" w:leader="none"/>
        </w:tabs>
        <w:spacing w:before="120" w:after="0"/>
        <w:ind w:firstLine="567"/>
        <w:rPr>
          <w:rFonts w:ascii="Arial" w:hAnsi="Arial" w:cs="Arial"/>
          <w:sz w:val="22"/>
          <w:szCs w:val="22"/>
        </w:rPr>
      </w:pPr>
      <w:r>
        <w:rPr>
          <w:rFonts w:cs="Arial" w:ascii="Arial" w:hAnsi="Arial"/>
          <w:sz w:val="22"/>
          <w:szCs w:val="22"/>
        </w:rPr>
      </w:r>
    </w:p>
    <w:p>
      <w:pPr>
        <w:pStyle w:val="Normal"/>
        <w:tabs>
          <w:tab w:val="clear" w:pos="708"/>
          <w:tab w:val="left" w:pos="1985" w:leader="none"/>
          <w:tab w:val="left" w:pos="4820" w:leader="none"/>
        </w:tabs>
        <w:spacing w:before="120" w:after="0"/>
        <w:ind w:firstLine="426"/>
        <w:rPr>
          <w:rFonts w:ascii="Arial" w:hAnsi="Arial" w:cs="Arial"/>
          <w:sz w:val="22"/>
          <w:szCs w:val="22"/>
        </w:rPr>
      </w:pPr>
      <w:r>
        <w:rPr>
          <w:rFonts w:cs="Arial" w:ascii="Arial" w:hAnsi="Arial"/>
          <w:sz w:val="22"/>
          <w:szCs w:val="22"/>
        </w:rPr>
        <w:tab/>
        <w:tab/>
        <w:t>……………………..</w:t>
      </w:r>
    </w:p>
    <w:p>
      <w:pPr>
        <w:pStyle w:val="Normal"/>
        <w:tabs>
          <w:tab w:val="clear" w:pos="708"/>
          <w:tab w:val="left" w:pos="1134" w:leader="none"/>
          <w:tab w:val="left" w:pos="1985" w:leader="none"/>
          <w:tab w:val="left" w:pos="4820" w:leader="none"/>
          <w:tab w:val="left" w:pos="5529" w:leader="none"/>
        </w:tabs>
        <w:spacing w:before="120" w:after="0"/>
        <w:ind w:firstLine="567"/>
        <w:rPr>
          <w:rFonts w:ascii="Arial" w:hAnsi="Arial" w:cs="Arial"/>
          <w:sz w:val="22"/>
          <w:szCs w:val="22"/>
        </w:rPr>
      </w:pPr>
      <w:r>
        <mc:AlternateContent>
          <mc:Choice Requires="wps">
            <w:drawing>
              <wp:anchor behindDoc="0" distT="0" distB="0" distL="0" distR="0" simplePos="0" locked="0" layoutInCell="1" allowOverlap="1" relativeHeight="4">
                <wp:simplePos x="0" y="0"/>
                <wp:positionH relativeFrom="column">
                  <wp:posOffset>3069590</wp:posOffset>
                </wp:positionH>
                <wp:positionV relativeFrom="paragraph">
                  <wp:posOffset>81280</wp:posOffset>
                </wp:positionV>
                <wp:extent cx="1943735" cy="438785"/>
                <wp:effectExtent l="0" t="0" r="0" b="0"/>
                <wp:wrapNone/>
                <wp:docPr id="6" name="Obdélník 3"/>
                <a:graphic xmlns:a="http://schemas.openxmlformats.org/drawingml/2006/main">
                  <a:graphicData uri="http://schemas.microsoft.com/office/word/2010/wordprocessingShape">
                    <wps:wsp>
                      <wps:cNvSpPr/>
                      <wps:spPr>
                        <a:xfrm>
                          <a:off x="0" y="0"/>
                          <a:ext cx="1943280" cy="43812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Obdélník 3" fillcolor="black" stroked="f" style="position:absolute;margin-left:241.7pt;margin-top:6.4pt;width:152.95pt;height:34.45pt">
                <w10:wrap type="none"/>
                <v:fill o:detectmouseclick="t" type="solid" color2="white"/>
                <v:stroke color="#3465a4" weight="12600" joinstyle="miter" endcap="flat"/>
              </v:rect>
            </w:pict>
          </mc:Fallback>
        </mc:AlternateContent>
      </w:r>
      <w:r>
        <w:rPr>
          <w:rFonts w:cs="Arial" w:ascii="Arial" w:hAnsi="Arial"/>
          <w:sz w:val="22"/>
          <w:szCs w:val="22"/>
        </w:rPr>
        <w:tab/>
        <w:tab/>
        <w:tab/>
        <w:t>Ing. Pavel Auinger</w:t>
      </w:r>
    </w:p>
    <w:p>
      <w:pPr>
        <w:pStyle w:val="Normal"/>
        <w:tabs>
          <w:tab w:val="clear" w:pos="708"/>
          <w:tab w:val="left" w:pos="1134" w:leader="none"/>
          <w:tab w:val="left" w:pos="1985" w:leader="none"/>
          <w:tab w:val="left" w:pos="4820" w:leader="none"/>
          <w:tab w:val="left" w:pos="5529" w:leader="none"/>
        </w:tabs>
        <w:spacing w:before="120" w:after="0"/>
        <w:ind w:firstLine="567"/>
        <w:rPr>
          <w:rFonts w:ascii="Arial" w:hAnsi="Arial" w:cs="Arial"/>
          <w:sz w:val="22"/>
          <w:szCs w:val="22"/>
        </w:rPr>
      </w:pPr>
      <w:r>
        <w:rPr>
          <w:rFonts w:cs="Arial" w:ascii="Arial" w:hAnsi="Arial"/>
          <w:sz w:val="22"/>
          <w:szCs w:val="22"/>
        </w:rPr>
        <w:tab/>
        <w:tab/>
        <w:tab/>
        <w:t>vedoucí rozvoje a obnovy DS</w:t>
      </w:r>
    </w:p>
    <w:p>
      <w:pPr>
        <w:pStyle w:val="Normal"/>
        <w:tabs>
          <w:tab w:val="clear" w:pos="708"/>
          <w:tab w:val="left" w:pos="1134" w:leader="none"/>
          <w:tab w:val="left" w:pos="1985" w:leader="none"/>
          <w:tab w:val="left" w:pos="4820" w:leader="none"/>
          <w:tab w:val="left" w:pos="5529" w:leader="none"/>
        </w:tabs>
        <w:spacing w:lineRule="atLeast" w:line="240" w:before="120" w:after="0"/>
        <w:ind w:firstLine="567"/>
        <w:rPr>
          <w:rFonts w:ascii="Arial" w:hAnsi="Arial" w:cs="Arial"/>
          <w:sz w:val="22"/>
          <w:szCs w:val="22"/>
        </w:rPr>
      </w:pPr>
      <w:r>
        <w:rPr>
          <w:rFonts w:cs="Arial" w:ascii="Arial" w:hAnsi="Arial"/>
          <w:sz w:val="22"/>
          <w:szCs w:val="22"/>
        </w:rPr>
      </w:r>
    </w:p>
    <w:p>
      <w:pPr>
        <w:pStyle w:val="Normal"/>
        <w:tabs>
          <w:tab w:val="clear" w:pos="708"/>
          <w:tab w:val="left" w:pos="1985" w:leader="none"/>
          <w:tab w:val="left" w:pos="4820" w:leader="none"/>
        </w:tabs>
        <w:spacing w:lineRule="atLeast" w:line="240" w:before="120" w:after="0"/>
        <w:ind w:firstLine="426"/>
        <w:rPr>
          <w:rFonts w:ascii="Arial" w:hAnsi="Arial" w:cs="Arial"/>
          <w:sz w:val="22"/>
          <w:szCs w:val="22"/>
        </w:rPr>
      </w:pPr>
      <w:r>
        <w:rPr>
          <w:rFonts w:cs="Arial" w:ascii="Arial" w:hAnsi="Arial"/>
          <w:sz w:val="22"/>
          <w:szCs w:val="22"/>
        </w:rPr>
      </w:r>
    </w:p>
    <w:p>
      <w:pPr>
        <w:pStyle w:val="Normal"/>
        <w:rPr/>
      </w:pPr>
      <w:r>
        <w:rPr/>
      </w:r>
    </w:p>
    <w:sectPr>
      <w:footerReference w:type="default" r:id="rId5"/>
      <w:footerReference w:type="first" r:id="rId6"/>
      <w:type w:val="nextPage"/>
      <w:pgSz w:w="11906" w:h="16838"/>
      <w:pgMar w:left="1361" w:right="1361" w:header="0" w:top="1440" w:footer="709" w:bottom="144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roman"/>
    <w:pitch w:val="variable"/>
  </w:font>
  <w:font w:name="Times New Roman">
    <w:charset w:val="ee"/>
    <w:family w:val="roman"/>
    <w:pitch w:val="variable"/>
  </w:font>
  <w:font w:name="Consolas">
    <w:charset w:val="ee"/>
    <w:family w:val="roman"/>
    <w:pitch w:val="variable"/>
  </w:font>
  <w:font w:name="Liberation Sans">
    <w:altName w:val="Arial"/>
    <w:charset w:val="ee"/>
    <w:family w:val="swiss"/>
    <w:pitch w:val="variable"/>
  </w:font>
  <w:font w:name="Arial">
    <w:charset w:val="02"/>
    <w:family w:val="roman"/>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jc w:val="center"/>
      <w:rPr>
        <w:rFonts w:ascii="Arial" w:hAnsi="Arial" w:cs="Arial"/>
        <w:sz w:val="22"/>
        <w:szCs w:val="22"/>
      </w:rPr>
    </w:pPr>
    <w:r>
      <w:rPr>
        <w:rFonts w:cs="Arial" w:ascii="Arial" w:hAnsi="Arial"/>
        <w:sz w:val="22"/>
        <w:szCs w:val="22"/>
      </w:rPr>
    </w:r>
    <w:r>
      <mc:AlternateContent>
        <mc:Choice Requires="wps">
          <w:drawing>
            <wp:anchor behindDoc="0" distT="0" distB="0" distL="0" distR="0" simplePos="0" locked="0" layoutInCell="1" allowOverlap="1" relativeHeight="14">
              <wp:simplePos x="0" y="0"/>
              <wp:positionH relativeFrom="margin">
                <wp:align>center</wp:align>
              </wp:positionH>
              <wp:positionV relativeFrom="paragraph">
                <wp:posOffset>635</wp:posOffset>
              </wp:positionV>
              <wp:extent cx="14605" cy="175260"/>
              <wp:effectExtent l="0" t="0" r="0" b="0"/>
              <wp:wrapSquare wrapText="largest"/>
              <wp:docPr id="7" name="Rámec1"/>
              <a:graphic xmlns:a="http://schemas.openxmlformats.org/drawingml/2006/main">
                <a:graphicData uri="http://schemas.microsoft.com/office/word/2010/wordprocessingShape">
                  <wps:wsp>
                    <wps:cNvSpPr txBox="1"/>
                    <wps:spPr>
                      <a:xfrm>
                        <a:off x="0" y="0"/>
                        <a:ext cx="14605" cy="175260"/>
                      </a:xfrm>
                      <a:prstGeom prst="rect"/>
                      <a:solidFill>
                        <a:srgbClr val="FFFFFF">
                          <a:alpha val="0"/>
                        </a:srgbClr>
                      </a:solidFill>
                    </wps:spPr>
                    <wps:txbx>
                      <w:txbxContent>
                        <w:p>
                          <w:pPr>
                            <w:pStyle w:val="Zpat"/>
                            <w:pBdr/>
                            <w:rPr>
                              <w:rFonts w:ascii="Arial" w:hAnsi="Arial" w:cs="Arial"/>
                              <w:sz w:val="22"/>
                              <w:szCs w:val="22"/>
                            </w:rPr>
                          </w:pPr>
                          <w:r>
                            <w:rPr/>
                          </w:r>
                        </w:p>
                      </w:txbxContent>
                    </wps:txbx>
                    <wps:bodyPr anchor="t" lIns="0" tIns="0" rIns="0" bIns="0">
                      <a:spAutoFit/>
                    </wps:bodyPr>
                  </wps:wsp>
                </a:graphicData>
              </a:graphic>
            </wp:anchor>
          </w:drawing>
        </mc:Choice>
        <mc:Fallback>
          <w:pict>
            <v:rect fillcolor="#FFFFFF" style="position:absolute;rotation:0;width:1.15pt;height:13.8pt;mso-wrap-distance-left:0pt;mso-wrap-distance-right:0pt;mso-wrap-distance-top:0pt;mso-wrap-distance-bottom:0pt;margin-top:0.05pt;mso-position-vertical-relative:text;margin-left:229.05pt;mso-position-horizontal:center;mso-position-horizontal-relative:margin">
              <v:fill opacity="0f"/>
              <v:textbox inset="0in,0in,0in,0in">
                <w:txbxContent>
                  <w:p>
                    <w:pPr>
                      <w:pStyle w:val="Zpat"/>
                      <w:pBdr/>
                      <w:rPr>
                        <w:rFonts w:ascii="Arial" w:hAnsi="Arial" w:cs="Arial"/>
                        <w:sz w:val="22"/>
                        <w:szCs w:val="22"/>
                      </w:rPr>
                    </w:pPr>
                    <w:r>
                      <w:rPr/>
                    </w:r>
                  </w:p>
                </w:txbxContent>
              </v:textbox>
              <w10:wrap type="square" side="largest"/>
            </v:rect>
          </w:pict>
        </mc:Fallback>
      </mc:AlternateContent>
    </w:r>
  </w:p>
  <w:p>
    <w:pPr>
      <w:pStyle w:val="Zpat"/>
      <w:rPr>
        <w:rFonts w:ascii="Arial" w:hAnsi="Arial" w:cs="Arial"/>
        <w:sz w:val="22"/>
        <w:szCs w:val="22"/>
      </w:rPr>
    </w:pPr>
    <w:r>
      <w:rPr>
        <w:rFonts w:cs="Arial" w:ascii="Arial" w:hAnsi="Arial"/>
        <w:sz w:val="22"/>
        <w:szCs w:val="22"/>
      </w:rPr>
      <w:t xml:space="preserve">                                   </w:t>
    </w:r>
  </w:p>
  <w:p>
    <w:pPr>
      <w:pStyle w:val="Zpat"/>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Strana </w:t>
    </w:r>
    <w:r>
      <w:rPr>
        <w:rFonts w:cs="Arial" w:ascii="Arial" w:hAnsi="Arial"/>
        <w:sz w:val="22"/>
        <w:szCs w:val="22"/>
      </w:rPr>
      <w:fldChar w:fldCharType="begin"/>
    </w:r>
    <w:r>
      <w:rPr>
        <w:sz w:val="22"/>
        <w:szCs w:val="22"/>
        <w:rFonts w:cs="Arial" w:ascii="Arial" w:hAnsi="Arial"/>
      </w:rPr>
      <w:instrText> PAGE </w:instrText>
    </w:r>
    <w:r>
      <w:rPr>
        <w:sz w:val="22"/>
        <w:szCs w:val="22"/>
        <w:rFonts w:cs="Arial" w:ascii="Arial" w:hAnsi="Arial"/>
      </w:rPr>
      <w:fldChar w:fldCharType="separate"/>
    </w:r>
    <w:r>
      <w:rPr>
        <w:sz w:val="22"/>
        <w:szCs w:val="22"/>
        <w:rFonts w:cs="Arial" w:ascii="Arial" w:hAnsi="Arial"/>
      </w:rPr>
      <w:t>8</w:t>
    </w:r>
    <w:r>
      <w:rPr>
        <w:sz w:val="22"/>
        <w:szCs w:val="22"/>
        <w:rFonts w:cs="Arial" w:ascii="Arial" w:hAnsi="Arial"/>
      </w:rPr>
      <w:fldChar w:fldCharType="end"/>
    </w:r>
    <w:r>
      <w:rPr>
        <w:rFonts w:cs="Arial" w:ascii="Arial" w:hAnsi="Arial"/>
        <w:sz w:val="22"/>
        <w:szCs w:val="22"/>
      </w:rPr>
      <w:t xml:space="preserve"> (celkem </w:t>
    </w:r>
    <w:r>
      <w:rPr>
        <w:rFonts w:cs="Arial" w:ascii="Arial" w:hAnsi="Arial"/>
        <w:sz w:val="22"/>
        <w:szCs w:val="22"/>
      </w:rPr>
      <w:fldChar w:fldCharType="begin"/>
    </w:r>
    <w:r>
      <w:rPr>
        <w:sz w:val="22"/>
        <w:szCs w:val="22"/>
        <w:rFonts w:cs="Arial" w:ascii="Arial" w:hAnsi="Arial"/>
      </w:rPr>
      <w:instrText> NUMPAGES </w:instrText>
    </w:r>
    <w:r>
      <w:rPr>
        <w:sz w:val="22"/>
        <w:szCs w:val="22"/>
        <w:rFonts w:cs="Arial" w:ascii="Arial" w:hAnsi="Arial"/>
      </w:rPr>
      <w:fldChar w:fldCharType="separate"/>
    </w:r>
    <w:r>
      <w:rPr>
        <w:sz w:val="22"/>
        <w:szCs w:val="22"/>
        <w:rFonts w:cs="Arial" w:ascii="Arial" w:hAnsi="Arial"/>
      </w:rPr>
      <w:t>8</w:t>
    </w:r>
    <w:r>
      <w:rPr>
        <w:sz w:val="22"/>
        <w:szCs w:val="22"/>
        <w:rFonts w:cs="Arial" w:ascii="Arial" w:hAnsi="Arial"/>
      </w:rPr>
      <w:fldChar w:fldCharType="end"/>
    </w:r>
    <w:r>
      <w:rPr>
        <w:rFonts w:cs="Arial" w:ascii="Arial" w:hAnsi="Arial"/>
        <w:sz w:val="22"/>
        <w:szCs w:val="22"/>
      </w:rPr>
      <w:t>)</w:t>
    </w:r>
  </w:p>
  <w:p>
    <w:pPr>
      <w:pStyle w:val="Zpat"/>
      <w:ind w:right="360" w:hanging="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jc w:val="center"/>
      <w:rPr>
        <w:rFonts w:ascii="Arial" w:hAnsi="Arial" w:cs="Arial"/>
        <w:sz w:val="22"/>
        <w:szCs w:val="22"/>
      </w:rPr>
    </w:pPr>
    <w:r>
      <w:rPr>
        <w:rFonts w:cs="Arial" w:ascii="Arial" w:hAnsi="Arial"/>
        <w:sz w:val="22"/>
        <w:szCs w:val="22"/>
      </w:rPr>
      <w:t xml:space="preserve">Strana </w:t>
    </w:r>
    <w:r>
      <w:rPr>
        <w:rFonts w:cs="Arial" w:ascii="Arial" w:hAnsi="Arial"/>
        <w:sz w:val="22"/>
        <w:szCs w:val="22"/>
      </w:rPr>
      <w:fldChar w:fldCharType="begin"/>
    </w:r>
    <w:r>
      <w:rPr>
        <w:sz w:val="22"/>
        <w:szCs w:val="22"/>
        <w:rFonts w:cs="Arial" w:ascii="Arial" w:hAnsi="Arial"/>
      </w:rPr>
      <w:instrText> PAGE </w:instrText>
    </w:r>
    <w:r>
      <w:rPr>
        <w:sz w:val="22"/>
        <w:szCs w:val="22"/>
        <w:rFonts w:cs="Arial" w:ascii="Arial" w:hAnsi="Arial"/>
      </w:rPr>
      <w:fldChar w:fldCharType="separate"/>
    </w:r>
    <w:r>
      <w:rPr>
        <w:sz w:val="22"/>
        <w:szCs w:val="22"/>
        <w:rFonts w:cs="Arial" w:ascii="Arial" w:hAnsi="Arial"/>
      </w:rPr>
      <w:t>1</w:t>
    </w:r>
    <w:r>
      <w:rPr>
        <w:sz w:val="22"/>
        <w:szCs w:val="22"/>
        <w:rFonts w:cs="Arial" w:ascii="Arial" w:hAnsi="Arial"/>
      </w:rPr>
      <w:fldChar w:fldCharType="end"/>
    </w:r>
    <w:r>
      <w:rPr>
        <w:rFonts w:cs="Arial" w:ascii="Arial" w:hAnsi="Arial"/>
        <w:sz w:val="22"/>
        <w:szCs w:val="22"/>
      </w:rPr>
      <w:t xml:space="preserve"> (celkem </w:t>
    </w:r>
    <w:r>
      <w:rPr>
        <w:rFonts w:cs="Arial" w:ascii="Arial" w:hAnsi="Arial"/>
        <w:sz w:val="22"/>
        <w:szCs w:val="22"/>
      </w:rPr>
      <w:fldChar w:fldCharType="begin"/>
    </w:r>
    <w:r>
      <w:rPr>
        <w:sz w:val="22"/>
        <w:szCs w:val="22"/>
        <w:rFonts w:cs="Arial" w:ascii="Arial" w:hAnsi="Arial"/>
      </w:rPr>
      <w:instrText> NUMPAGES </w:instrText>
    </w:r>
    <w:r>
      <w:rPr>
        <w:sz w:val="22"/>
        <w:szCs w:val="22"/>
        <w:rFonts w:cs="Arial" w:ascii="Arial" w:hAnsi="Arial"/>
      </w:rPr>
      <w:fldChar w:fldCharType="separate"/>
    </w:r>
    <w:r>
      <w:rPr>
        <w:sz w:val="22"/>
        <w:szCs w:val="22"/>
        <w:rFonts w:cs="Arial" w:ascii="Arial" w:hAnsi="Arial"/>
      </w:rPr>
      <w:t>8</w:t>
    </w:r>
    <w:r>
      <w:rPr>
        <w:sz w:val="22"/>
        <w:szCs w:val="22"/>
        <w:rFonts w:cs="Arial" w:ascii="Arial" w:hAnsi="Arial"/>
      </w:rPr>
      <w:fldChar w:fldCharType="end"/>
    </w:r>
    <w:r>
      <w:rPr>
        <w:rFonts w:cs="Arial" w:ascii="Arial" w:hAnsi="Arial"/>
        <w:sz w:val="22"/>
        <w:szCs w:val="22"/>
      </w:rPr>
      <w:t>)</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60"/>
        </w:tabs>
        <w:ind w:left="360" w:hanging="360"/>
      </w:pPr>
      <w:rPr>
        <w:i w:val="false"/>
        <w:rFonts w:cs="Times New Roman"/>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tabs>
          <w:tab w:val="num" w:pos="360"/>
        </w:tabs>
        <w:ind w:left="360" w:hanging="360"/>
      </w:pPr>
      <w:rPr>
        <w:i w:val="false"/>
        <w:rFonts w:cs="Times New Roman"/>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360"/>
        </w:tabs>
        <w:ind w:left="360" w:hanging="360"/>
      </w:pPr>
      <w:rPr>
        <w:rFonts w:cs="Times New Roman"/>
        <w:color w:val="auto"/>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
    <w:lvl w:ilvl="0">
      <w:start w:val="1"/>
      <w:numFmt w:val="decimal"/>
      <w:lvlText w:val="%1."/>
      <w:lvlJc w:val="left"/>
      <w:pPr>
        <w:tabs>
          <w:tab w:val="num" w:pos="420"/>
        </w:tabs>
        <w:ind w:left="420" w:hanging="360"/>
      </w:pPr>
      <w:rPr>
        <w:rFonts w:cs="Times New Roman"/>
        <w:color w:val="auto"/>
      </w:rPr>
    </w:lvl>
    <w:lvl w:ilvl="1">
      <w:start w:val="1"/>
      <w:numFmt w:val="lowerLetter"/>
      <w:lvlText w:val="%2."/>
      <w:lvlJc w:val="left"/>
      <w:pPr>
        <w:tabs>
          <w:tab w:val="num" w:pos="1140"/>
        </w:tabs>
        <w:ind w:left="1140" w:hanging="360"/>
      </w:pPr>
      <w:rPr>
        <w:rFonts w:cs="Times New Roman"/>
      </w:rPr>
    </w:lvl>
    <w:lvl w:ilvl="2">
      <w:start w:val="1"/>
      <w:numFmt w:val="lowerRoman"/>
      <w:lvlText w:val="%3."/>
      <w:lvlJc w:val="right"/>
      <w:pPr>
        <w:tabs>
          <w:tab w:val="num" w:pos="1860"/>
        </w:tabs>
        <w:ind w:left="1860" w:hanging="180"/>
      </w:pPr>
      <w:rPr>
        <w:rFonts w:cs="Times New Roman"/>
      </w:rPr>
    </w:lvl>
    <w:lvl w:ilvl="3">
      <w:start w:val="1"/>
      <w:numFmt w:val="decimal"/>
      <w:lvlText w:val="%4."/>
      <w:lvlJc w:val="left"/>
      <w:pPr>
        <w:tabs>
          <w:tab w:val="num" w:pos="2580"/>
        </w:tabs>
        <w:ind w:left="2580" w:hanging="360"/>
      </w:pPr>
      <w:rPr>
        <w:rFonts w:cs="Times New Roman"/>
      </w:rPr>
    </w:lvl>
    <w:lvl w:ilvl="4">
      <w:start w:val="1"/>
      <w:numFmt w:val="lowerLetter"/>
      <w:lvlText w:val="%5."/>
      <w:lvlJc w:val="left"/>
      <w:pPr>
        <w:tabs>
          <w:tab w:val="num" w:pos="3300"/>
        </w:tabs>
        <w:ind w:left="3300" w:hanging="360"/>
      </w:pPr>
      <w:rPr>
        <w:rFonts w:cs="Times New Roman"/>
      </w:rPr>
    </w:lvl>
    <w:lvl w:ilvl="5">
      <w:start w:val="1"/>
      <w:numFmt w:val="lowerRoman"/>
      <w:lvlText w:val="%6."/>
      <w:lvlJc w:val="right"/>
      <w:pPr>
        <w:tabs>
          <w:tab w:val="num" w:pos="4020"/>
        </w:tabs>
        <w:ind w:left="4020" w:hanging="180"/>
      </w:pPr>
      <w:rPr>
        <w:rFonts w:cs="Times New Roman"/>
      </w:rPr>
    </w:lvl>
    <w:lvl w:ilvl="6">
      <w:start w:val="1"/>
      <w:numFmt w:val="decimal"/>
      <w:lvlText w:val="%7."/>
      <w:lvlJc w:val="left"/>
      <w:pPr>
        <w:tabs>
          <w:tab w:val="num" w:pos="4740"/>
        </w:tabs>
        <w:ind w:left="4740" w:hanging="360"/>
      </w:pPr>
      <w:rPr>
        <w:rFonts w:cs="Times New Roman"/>
      </w:rPr>
    </w:lvl>
    <w:lvl w:ilvl="7">
      <w:start w:val="1"/>
      <w:numFmt w:val="lowerLetter"/>
      <w:lvlText w:val="%8."/>
      <w:lvlJc w:val="left"/>
      <w:pPr>
        <w:tabs>
          <w:tab w:val="num" w:pos="5460"/>
        </w:tabs>
        <w:ind w:left="5460" w:hanging="360"/>
      </w:pPr>
      <w:rPr>
        <w:rFonts w:cs="Times New Roman"/>
      </w:rPr>
    </w:lvl>
    <w:lvl w:ilvl="8">
      <w:start w:val="1"/>
      <w:numFmt w:val="lowerRoman"/>
      <w:lvlText w:val="%9."/>
      <w:lvlJc w:val="right"/>
      <w:pPr>
        <w:tabs>
          <w:tab w:val="num" w:pos="6180"/>
        </w:tabs>
        <w:ind w:left="6180" w:hanging="180"/>
      </w:pPr>
      <w:rPr>
        <w:rFonts w:cs="Times New Roman"/>
      </w:rPr>
    </w:lvl>
  </w:abstractNum>
  <w:abstractNum w:abstractNumId="5">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7"/>
      <w:numFmt w:val="bullet"/>
      <w:lvlText w:val="-"/>
      <w:lvlJc w:val="left"/>
      <w:pPr>
        <w:ind w:left="2880" w:hanging="360"/>
      </w:pPr>
      <w:rPr>
        <w:rFonts w:ascii="Arial" w:hAnsi="Arial" w:cs="Arial" w:hint="default"/>
        <w:color w:val="auto"/>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lvl w:ilvl="0">
      <w:start w:val="1"/>
      <w:numFmt w:val="decimal"/>
      <w:lvlText w:val="%1."/>
      <w:lvlJc w:val="left"/>
      <w:pPr>
        <w:tabs>
          <w:tab w:val="num" w:pos="360"/>
        </w:tabs>
        <w:ind w:left="360" w:hanging="360"/>
      </w:pPr>
      <w:rPr>
        <w:i w:val="false"/>
        <w:rFonts w:cs="Times New Roman"/>
        <w:color w:val="auto"/>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lvl w:ilvl="0">
      <w:start w:val="3"/>
      <w:numFmt w:val="decimal"/>
      <w:lvlText w:val="%1."/>
      <w:lvlJc w:val="left"/>
      <w:pPr>
        <w:tabs>
          <w:tab w:val="num" w:pos="360"/>
        </w:tabs>
        <w:ind w:left="360" w:hanging="360"/>
      </w:pPr>
      <w:rPr>
        <w:i w:val="false"/>
        <w:rFonts w:cs="Times New Roman"/>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lvl w:ilvl="0">
      <w:start w:val="4"/>
      <w:numFmt w:val="decimal"/>
      <w:lvlText w:val="%1."/>
      <w:lvlJc w:val="left"/>
      <w:pPr>
        <w:tabs>
          <w:tab w:val="num" w:pos="360"/>
        </w:tabs>
        <w:ind w:left="360" w:hanging="360"/>
      </w:pPr>
      <w:rPr>
        <w:i w:val="false"/>
        <w:rFonts w:cs="Times New Roman"/>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Calibri" w:cs="Times New Roman" w:eastAsiaTheme="minorHAnsi"/>
        <w:szCs w:val="22"/>
        <w:lang w:val="cs-CZ"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a36a2"/>
    <w:pPr>
      <w:widowControl/>
      <w:bidi w:val="0"/>
      <w:spacing w:lineRule="auto" w:line="240" w:before="0" w:after="0"/>
      <w:jc w:val="left"/>
    </w:pPr>
    <w:rPr>
      <w:rFonts w:ascii="Times New Roman" w:hAnsi="Times New Roman" w:eastAsia="Times New Roman" w:cs="Times New Roman"/>
      <w:color w:val="auto"/>
      <w:kern w:val="0"/>
      <w:sz w:val="24"/>
      <w:szCs w:val="24"/>
      <w:lang w:eastAsia="cs-CZ" w:val="cs-CZ" w:bidi="ar-SA"/>
    </w:rPr>
  </w:style>
  <w:style w:type="paragraph" w:styleId="Nadpis2">
    <w:name w:val="Heading 2"/>
    <w:basedOn w:val="Normal"/>
    <w:next w:val="Normal"/>
    <w:link w:val="Nadpis2Char"/>
    <w:autoRedefine/>
    <w:uiPriority w:val="99"/>
    <w:qFormat/>
    <w:rsid w:val="009a36a2"/>
    <w:pPr>
      <w:keepNext w:val="true"/>
      <w:spacing w:before="0" w:after="120"/>
      <w:jc w:val="center"/>
      <w:outlineLvl w:val="1"/>
    </w:pPr>
    <w:rPr>
      <w:rFonts w:ascii="Arial" w:hAnsi="Arial" w:cs="Arial"/>
      <w:b/>
      <w:bCs/>
      <w:iCs/>
      <w:sz w:val="22"/>
      <w:szCs w:val="22"/>
      <w:u w:val="single"/>
    </w:rPr>
  </w:style>
  <w:style w:type="character" w:styleId="DefaultParagraphFont" w:default="1">
    <w:name w:val="Default Paragraph Font"/>
    <w:uiPriority w:val="1"/>
    <w:semiHidden/>
    <w:unhideWhenUsed/>
    <w:qFormat/>
    <w:rPr/>
  </w:style>
  <w:style w:type="character" w:styleId="Nadpis2Char" w:customStyle="1">
    <w:name w:val="Nadpis 2 Char"/>
    <w:basedOn w:val="DefaultParagraphFont"/>
    <w:link w:val="Nadpis2"/>
    <w:uiPriority w:val="99"/>
    <w:qFormat/>
    <w:rsid w:val="009a36a2"/>
    <w:rPr>
      <w:rFonts w:eastAsia="Times New Roman" w:cs="Arial"/>
      <w:b/>
      <w:bCs/>
      <w:iCs/>
      <w:u w:val="single"/>
      <w:lang w:eastAsia="cs-CZ"/>
    </w:rPr>
  </w:style>
  <w:style w:type="character" w:styleId="ZpatChar" w:customStyle="1">
    <w:name w:val="Zápatí Char"/>
    <w:basedOn w:val="DefaultParagraphFont"/>
    <w:link w:val="Zpat"/>
    <w:uiPriority w:val="99"/>
    <w:semiHidden/>
    <w:qFormat/>
    <w:rsid w:val="009a36a2"/>
    <w:rPr>
      <w:rFonts w:ascii="Times New Roman" w:hAnsi="Times New Roman" w:eastAsia="Times New Roman"/>
      <w:sz w:val="24"/>
      <w:szCs w:val="24"/>
      <w:lang w:eastAsia="cs-CZ"/>
    </w:rPr>
  </w:style>
  <w:style w:type="character" w:styleId="Pagenumber">
    <w:name w:val="page number"/>
    <w:basedOn w:val="DefaultParagraphFont"/>
    <w:uiPriority w:val="99"/>
    <w:semiHidden/>
    <w:qFormat/>
    <w:rsid w:val="009a36a2"/>
    <w:rPr>
      <w:rFonts w:cs="Times New Roman"/>
    </w:rPr>
  </w:style>
  <w:style w:type="character" w:styleId="NazevaDSChar" w:customStyle="1">
    <w:name w:val="nazev a DS Char"/>
    <w:basedOn w:val="DefaultParagraphFont"/>
    <w:link w:val="nazevaDS"/>
    <w:uiPriority w:val="99"/>
    <w:qFormat/>
    <w:locked/>
    <w:rsid w:val="009a36a2"/>
    <w:rPr>
      <w:rFonts w:ascii="Times New Roman" w:hAnsi="Times New Roman" w:eastAsia="Times New Roman"/>
      <w:b/>
      <w:sz w:val="24"/>
      <w:szCs w:val="24"/>
      <w:lang w:eastAsia="cs-CZ"/>
    </w:rPr>
  </w:style>
  <w:style w:type="character" w:styleId="Normln1Char" w:customStyle="1">
    <w:name w:val="Normální 1 Char"/>
    <w:basedOn w:val="DefaultParagraphFont"/>
    <w:link w:val="Normln1"/>
    <w:uiPriority w:val="99"/>
    <w:qFormat/>
    <w:locked/>
    <w:rsid w:val="009a36a2"/>
    <w:rPr>
      <w:rFonts w:ascii="Times New Roman" w:hAnsi="Times New Roman" w:eastAsia="Times New Roman"/>
      <w:sz w:val="24"/>
      <w:szCs w:val="24"/>
      <w:lang w:eastAsia="cs-CZ"/>
    </w:rPr>
  </w:style>
  <w:style w:type="character" w:styleId="Normln2Char" w:customStyle="1">
    <w:name w:val="Normální 2 Char"/>
    <w:basedOn w:val="Normln1Char"/>
    <w:link w:val="Normln2"/>
    <w:uiPriority w:val="99"/>
    <w:qFormat/>
    <w:locked/>
    <w:rsid w:val="009a36a2"/>
    <w:rPr>
      <w:rFonts w:ascii="Times New Roman" w:hAnsi="Times New Roman" w:eastAsia="Times New Roman"/>
      <w:sz w:val="24"/>
      <w:szCs w:val="24"/>
      <w:lang w:eastAsia="cs-CZ"/>
    </w:rPr>
  </w:style>
  <w:style w:type="character" w:styleId="LChar" w:customStyle="1">
    <w:name w:val="Čl. Char"/>
    <w:basedOn w:val="DefaultParagraphFont"/>
    <w:link w:val="l"/>
    <w:uiPriority w:val="99"/>
    <w:qFormat/>
    <w:locked/>
    <w:rsid w:val="009a36a2"/>
    <w:rPr>
      <w:rFonts w:ascii="Times New Roman" w:hAnsi="Times New Roman" w:eastAsia="Times New Roman"/>
      <w:b/>
      <w:sz w:val="28"/>
      <w:szCs w:val="24"/>
      <w:u w:val="single"/>
      <w:lang w:eastAsia="cs-CZ"/>
    </w:rPr>
  </w:style>
  <w:style w:type="character" w:styleId="ZkladntextChar" w:customStyle="1">
    <w:name w:val="Základní text Char"/>
    <w:basedOn w:val="DefaultParagraphFont"/>
    <w:link w:val="Zkladntext"/>
    <w:qFormat/>
    <w:rsid w:val="009a36a2"/>
    <w:rPr>
      <w:rFonts w:eastAsia="Times New Roman"/>
      <w:szCs w:val="20"/>
      <w:lang w:eastAsia="cs-CZ"/>
    </w:rPr>
  </w:style>
  <w:style w:type="character" w:styleId="OdstpolVChar" w:customStyle="1">
    <w:name w:val="odst po čl V Char"/>
    <w:basedOn w:val="DefaultParagraphFont"/>
    <w:link w:val="odstpolV"/>
    <w:uiPriority w:val="99"/>
    <w:qFormat/>
    <w:locked/>
    <w:rsid w:val="009a36a2"/>
    <w:rPr>
      <w:rFonts w:ascii="Times New Roman" w:hAnsi="Times New Roman" w:eastAsia="Times New Roman"/>
      <w:sz w:val="24"/>
      <w:szCs w:val="24"/>
      <w:lang w:eastAsia="cs-CZ"/>
    </w:rPr>
  </w:style>
  <w:style w:type="character" w:styleId="ProsttextChar" w:customStyle="1">
    <w:name w:val="Prostý text Char"/>
    <w:basedOn w:val="DefaultParagraphFont"/>
    <w:link w:val="Prosttext"/>
    <w:uiPriority w:val="99"/>
    <w:qFormat/>
    <w:rsid w:val="009a36a2"/>
    <w:rPr>
      <w:rFonts w:ascii="Consolas" w:hAnsi="Consolas" w:eastAsia="Times New Roman"/>
      <w:sz w:val="21"/>
      <w:szCs w:val="21"/>
    </w:rPr>
  </w:style>
  <w:style w:type="character" w:styleId="Internetovodkaz">
    <w:name w:val="Internetový odkaz"/>
    <w:basedOn w:val="DefaultParagraphFont"/>
    <w:uiPriority w:val="99"/>
    <w:unhideWhenUsed/>
    <w:rsid w:val="009a36a2"/>
    <w:rPr>
      <w:color w:val="0563C1" w:themeColor="hyperlink"/>
      <w:u w:val="single"/>
    </w:rPr>
  </w:style>
  <w:style w:type="character" w:styleId="ZhlavChar" w:customStyle="1">
    <w:name w:val="Záhlaví Char"/>
    <w:basedOn w:val="DefaultParagraphFont"/>
    <w:link w:val="Zhlav"/>
    <w:uiPriority w:val="99"/>
    <w:qFormat/>
    <w:rsid w:val="009a36a2"/>
    <w:rPr>
      <w:rFonts w:ascii="Times New Roman" w:hAnsi="Times New Roman" w:eastAsia="Times New Roman"/>
      <w:sz w:val="24"/>
      <w:szCs w:val="24"/>
      <w:lang w:eastAsia="cs-CZ"/>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link w:val="ZkladntextChar"/>
    <w:rsid w:val="009a36a2"/>
    <w:pPr>
      <w:spacing w:before="0" w:after="120"/>
    </w:pPr>
    <w:rPr>
      <w:rFonts w:ascii="Arial" w:hAnsi="Arial"/>
      <w:sz w:val="22"/>
      <w:szCs w:val="20"/>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Zhlavazpat">
    <w:name w:val="Záhlaví a zápatí"/>
    <w:basedOn w:val="Normal"/>
    <w:qFormat/>
    <w:pPr/>
    <w:rPr/>
  </w:style>
  <w:style w:type="paragraph" w:styleId="Zpat">
    <w:name w:val="Footer"/>
    <w:basedOn w:val="Normal"/>
    <w:link w:val="ZpatChar"/>
    <w:uiPriority w:val="99"/>
    <w:semiHidden/>
    <w:rsid w:val="009a36a2"/>
    <w:pPr>
      <w:tabs>
        <w:tab w:val="clear" w:pos="708"/>
        <w:tab w:val="center" w:pos="4536" w:leader="none"/>
        <w:tab w:val="right" w:pos="9072" w:leader="none"/>
      </w:tabs>
    </w:pPr>
    <w:rPr/>
  </w:style>
  <w:style w:type="paragraph" w:styleId="L" w:customStyle="1">
    <w:name w:val="Čl."/>
    <w:basedOn w:val="Normal"/>
    <w:link w:val="lChar"/>
    <w:uiPriority w:val="99"/>
    <w:qFormat/>
    <w:rsid w:val="009a36a2"/>
    <w:pPr>
      <w:spacing w:before="0" w:after="240"/>
    </w:pPr>
    <w:rPr>
      <w:b/>
      <w:sz w:val="28"/>
      <w:u w:val="single"/>
    </w:rPr>
  </w:style>
  <w:style w:type="paragraph" w:styleId="NazevaDS" w:customStyle="1">
    <w:name w:val="nazev a DS"/>
    <w:basedOn w:val="Normal"/>
    <w:link w:val="nazevaDSChar"/>
    <w:uiPriority w:val="99"/>
    <w:qFormat/>
    <w:rsid w:val="009a36a2"/>
    <w:pPr/>
    <w:rPr>
      <w:b/>
    </w:rPr>
  </w:style>
  <w:style w:type="paragraph" w:styleId="Normln1" w:customStyle="1">
    <w:name w:val="Normální 1"/>
    <w:basedOn w:val="Normal"/>
    <w:link w:val="Normln1Char"/>
    <w:uiPriority w:val="99"/>
    <w:qFormat/>
    <w:rsid w:val="009a36a2"/>
    <w:pPr/>
    <w:rPr/>
  </w:style>
  <w:style w:type="paragraph" w:styleId="Normln2" w:customStyle="1">
    <w:name w:val="Normální 2"/>
    <w:basedOn w:val="Normln1"/>
    <w:link w:val="Normln2Char"/>
    <w:uiPriority w:val="99"/>
    <w:qFormat/>
    <w:rsid w:val="009a36a2"/>
    <w:pPr>
      <w:jc w:val="both"/>
    </w:pPr>
    <w:rPr/>
  </w:style>
  <w:style w:type="paragraph" w:styleId="StylNormln1Vlevo15cm" w:customStyle="1">
    <w:name w:val="Styl Normální 1 + Vlevo:  15 cm"/>
    <w:basedOn w:val="Normln1"/>
    <w:uiPriority w:val="99"/>
    <w:qFormat/>
    <w:rsid w:val="009a36a2"/>
    <w:pPr>
      <w:spacing w:before="0" w:after="60"/>
      <w:ind w:left="964" w:hanging="0"/>
      <w:jc w:val="both"/>
    </w:pPr>
    <w:rPr/>
  </w:style>
  <w:style w:type="paragraph" w:styleId="OdstpolV" w:customStyle="1">
    <w:name w:val="odst po čl V"/>
    <w:basedOn w:val="Normal"/>
    <w:link w:val="odstpolVChar"/>
    <w:uiPriority w:val="99"/>
    <w:qFormat/>
    <w:rsid w:val="009a36a2"/>
    <w:pPr>
      <w:spacing w:before="0" w:after="240"/>
      <w:jc w:val="both"/>
    </w:pPr>
    <w:rPr/>
  </w:style>
  <w:style w:type="paragraph" w:styleId="OdstpolVI" w:customStyle="1">
    <w:name w:val="odst po čl VI"/>
    <w:basedOn w:val="OdstpolV"/>
    <w:uiPriority w:val="99"/>
    <w:qFormat/>
    <w:rsid w:val="009a36a2"/>
    <w:pPr>
      <w:tabs>
        <w:tab w:val="clear" w:pos="708"/>
        <w:tab w:val="left" w:pos="360" w:leader="none"/>
      </w:tabs>
    </w:pPr>
    <w:rPr/>
  </w:style>
  <w:style w:type="paragraph" w:styleId="Import1" w:customStyle="1">
    <w:name w:val="Import 1"/>
    <w:basedOn w:val="Normal"/>
    <w:uiPriority w:val="99"/>
    <w:qFormat/>
    <w:rsid w:val="009a36a2"/>
    <w:pPr>
      <w:tabs>
        <w:tab w:val="clear" w:pos="708"/>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suppressAutoHyphens w:val="true"/>
      <w:spacing w:lineRule="auto" w:line="276"/>
    </w:pPr>
    <w:rPr>
      <w:szCs w:val="20"/>
    </w:rPr>
  </w:style>
  <w:style w:type="paragraph" w:styleId="Import10" w:customStyle="1">
    <w:name w:val="Import 10"/>
    <w:basedOn w:val="Normal"/>
    <w:uiPriority w:val="99"/>
    <w:qFormat/>
    <w:rsid w:val="009a36a2"/>
    <w:pPr>
      <w:tabs>
        <w:tab w:val="clear" w:pos="708"/>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suppressAutoHyphens w:val="true"/>
      <w:spacing w:lineRule="auto" w:line="276"/>
      <w:ind w:firstLine="576"/>
    </w:pPr>
    <w:rPr>
      <w:szCs w:val="20"/>
    </w:rPr>
  </w:style>
  <w:style w:type="paragraph" w:styleId="PlainText">
    <w:name w:val="Plain Text"/>
    <w:basedOn w:val="Normal"/>
    <w:link w:val="ProsttextChar"/>
    <w:uiPriority w:val="99"/>
    <w:qFormat/>
    <w:rsid w:val="009a36a2"/>
    <w:pPr/>
    <w:rPr>
      <w:rFonts w:ascii="Consolas" w:hAnsi="Consolas"/>
      <w:sz w:val="21"/>
      <w:szCs w:val="21"/>
      <w:lang w:eastAsia="en-US"/>
    </w:rPr>
  </w:style>
  <w:style w:type="paragraph" w:styleId="ListParagraph">
    <w:name w:val="List Paragraph"/>
    <w:basedOn w:val="Normal"/>
    <w:uiPriority w:val="99"/>
    <w:qFormat/>
    <w:rsid w:val="009a36a2"/>
    <w:pPr>
      <w:spacing w:before="0" w:after="0"/>
      <w:ind w:left="720" w:hanging="0"/>
      <w:contextualSpacing/>
    </w:pPr>
    <w:rPr/>
  </w:style>
  <w:style w:type="paragraph" w:styleId="Zhlav">
    <w:name w:val="Header"/>
    <w:basedOn w:val="Normal"/>
    <w:link w:val="ZhlavChar"/>
    <w:uiPriority w:val="99"/>
    <w:unhideWhenUsed/>
    <w:rsid w:val="009a36a2"/>
    <w:pPr>
      <w:tabs>
        <w:tab w:val="clear" w:pos="708"/>
        <w:tab w:val="center" w:pos="4536" w:leader="none"/>
        <w:tab w:val="right" w:pos="9072" w:leader="none"/>
      </w:tabs>
    </w:pPr>
    <w:rPr/>
  </w:style>
  <w:style w:type="paragraph" w:styleId="Obsahrmce">
    <w:name w:val="Obsah rámce"/>
    <w:basedOn w:val="Normal"/>
    <w:qFormat/>
    <w:pPr/>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ekyrka@klatep.cz" TargetMode="External"/><Relationship Id="rId3" Type="http://schemas.openxmlformats.org/officeDocument/2006/relationships/hyperlink" Target="http://www.rwe-distribuce.cz/cs/kontaktni-system/" TargetMode="External"/><Relationship Id="rId4" Type="http://schemas.openxmlformats.org/officeDocument/2006/relationships/hyperlink" Target="http://www.rwe-distribuce.cz/cs/kontaktni-system/" TargetMode="Externa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Application>LibreOffice/6.4.3.2$Windows_X86_64 LibreOffice_project/747b5d0ebf89f41c860ec2a39efd7cb15b54f2d8</Application>
  <Pages>9</Pages>
  <Words>3015</Words>
  <Characters>17682</Characters>
  <CharactersWithSpaces>20692</CharactersWithSpaces>
  <Paragraphs>152</Paragraphs>
  <Company>GasNet s.r.o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2021-01-25T12:33:00Z</dcterms:created>
  <dc:creator>Nováková Jitka</dc:creator>
  <dc:description/>
  <dc:language>cs-CZ</dc:language>
  <cp:lastModifiedBy>Nováková Jitka</cp:lastModifiedBy>
  <dcterms:modified xsi:type="dcterms:W3CDTF">2021-01-25T12:39:00Z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GasNet s.r.o</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