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E99" w:rsidRDefault="00906E58">
      <w:pPr>
        <w:pStyle w:val="Nadpis1"/>
        <w:spacing w:before="73"/>
        <w:ind w:left="3283" w:right="3148"/>
      </w:pPr>
      <w:r>
        <w:rPr>
          <w:color w:val="808080"/>
        </w:rPr>
        <w:t>Smlouva č. 1190700543 o poskytnutí podpory</w:t>
      </w:r>
    </w:p>
    <w:p w:rsidR="00B94E99" w:rsidRDefault="00906E58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B94E99" w:rsidRDefault="00B94E99">
      <w:pPr>
        <w:pStyle w:val="Zkladntext"/>
        <w:ind w:left="0"/>
        <w:rPr>
          <w:sz w:val="60"/>
        </w:rPr>
      </w:pPr>
    </w:p>
    <w:p w:rsidR="00B94E99" w:rsidRDefault="00906E58">
      <w:pPr>
        <w:pStyle w:val="Zkladntext"/>
        <w:ind w:left="242"/>
      </w:pPr>
      <w:r>
        <w:t>Smluvní strany</w:t>
      </w:r>
    </w:p>
    <w:p w:rsidR="00B94E99" w:rsidRDefault="00B94E99">
      <w:pPr>
        <w:pStyle w:val="Zkladntext"/>
        <w:spacing w:before="1"/>
        <w:ind w:left="0"/>
      </w:pPr>
    </w:p>
    <w:p w:rsidR="00B94E99" w:rsidRDefault="00906E58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B94E99" w:rsidRDefault="00906E58">
      <w:pPr>
        <w:pStyle w:val="Zkladntext"/>
        <w:tabs>
          <w:tab w:val="left" w:pos="3122"/>
        </w:tabs>
        <w:spacing w:line="265" w:lineRule="exact"/>
        <w:ind w:left="24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B94E99" w:rsidRDefault="00906E58">
      <w:pPr>
        <w:pStyle w:val="Zkladntext"/>
        <w:tabs>
          <w:tab w:val="left" w:pos="3122"/>
        </w:tabs>
        <w:ind w:left="24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B94E99" w:rsidRDefault="00906E58">
      <w:pPr>
        <w:pStyle w:val="Zkladntext"/>
        <w:tabs>
          <w:tab w:val="right" w:pos="3986"/>
        </w:tabs>
        <w:spacing w:before="1"/>
        <w:ind w:left="242"/>
      </w:pPr>
      <w:r>
        <w:t>IČO:</w:t>
      </w:r>
      <w:r>
        <w:tab/>
        <w:t>00020729</w:t>
      </w:r>
    </w:p>
    <w:p w:rsidR="00B94E99" w:rsidRDefault="00906E58">
      <w:pPr>
        <w:pStyle w:val="Zkladntext"/>
        <w:tabs>
          <w:tab w:val="left" w:pos="3122"/>
        </w:tabs>
        <w:ind w:left="242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B94E99" w:rsidRDefault="00906E58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B94E99" w:rsidRDefault="00906E58">
      <w:pPr>
        <w:pStyle w:val="Zkladntext"/>
        <w:tabs>
          <w:tab w:val="left" w:pos="3122"/>
        </w:tabs>
        <w:spacing w:before="4" w:line="237" w:lineRule="auto"/>
        <w:ind w:left="242" w:right="475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B94E99" w:rsidRDefault="00B94E99">
      <w:pPr>
        <w:pStyle w:val="Zkladntext"/>
        <w:spacing w:before="1"/>
        <w:ind w:left="0"/>
      </w:pPr>
    </w:p>
    <w:p w:rsidR="00B94E99" w:rsidRDefault="00906E58">
      <w:pPr>
        <w:pStyle w:val="Zkladntext"/>
        <w:spacing w:before="1"/>
        <w:ind w:left="242"/>
      </w:pPr>
      <w:r>
        <w:rPr>
          <w:w w:val="99"/>
        </w:rPr>
        <w:t>a</w:t>
      </w:r>
    </w:p>
    <w:p w:rsidR="00B94E99" w:rsidRDefault="00B94E99">
      <w:pPr>
        <w:pStyle w:val="Zkladntext"/>
        <w:ind w:left="0"/>
      </w:pPr>
    </w:p>
    <w:p w:rsidR="00B94E99" w:rsidRDefault="00906E58">
      <w:pPr>
        <w:pStyle w:val="Nadpis2"/>
        <w:ind w:right="0"/>
        <w:jc w:val="left"/>
      </w:pPr>
      <w:r>
        <w:t>Základní škola a Mateřská škola Spálov, příspěvková organizace</w:t>
      </w:r>
    </w:p>
    <w:p w:rsidR="00B94E99" w:rsidRDefault="00906E58">
      <w:pPr>
        <w:pStyle w:val="Zkladntext"/>
        <w:tabs>
          <w:tab w:val="left" w:pos="3122"/>
        </w:tabs>
        <w:spacing w:before="1" w:line="265" w:lineRule="exact"/>
        <w:ind w:left="24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Spálov, Spálov 1, 742</w:t>
      </w:r>
      <w:r>
        <w:rPr>
          <w:spacing w:val="-1"/>
        </w:rPr>
        <w:t xml:space="preserve"> </w:t>
      </w:r>
      <w:r>
        <w:t>37</w:t>
      </w:r>
    </w:p>
    <w:p w:rsidR="00B94E99" w:rsidRDefault="00906E58">
      <w:pPr>
        <w:pStyle w:val="Zkladntext"/>
        <w:tabs>
          <w:tab w:val="left" w:pos="3122"/>
        </w:tabs>
        <w:spacing w:line="265" w:lineRule="exact"/>
        <w:ind w:left="242"/>
      </w:pPr>
      <w:r>
        <w:t>IČO:</w:t>
      </w:r>
      <w:r>
        <w:tab/>
        <w:t>70985405</w:t>
      </w:r>
    </w:p>
    <w:p w:rsidR="00B94E99" w:rsidRDefault="00906E58">
      <w:pPr>
        <w:pStyle w:val="Zkladntext"/>
        <w:tabs>
          <w:tab w:val="left" w:pos="3122"/>
        </w:tabs>
        <w:ind w:left="242"/>
      </w:pPr>
      <w:r>
        <w:t>zastoupená:</w:t>
      </w:r>
      <w:r>
        <w:tab/>
        <w:t>PaedDr. Zdeňkem K o t a s e m,</w:t>
      </w:r>
      <w:r>
        <w:rPr>
          <w:spacing w:val="-2"/>
        </w:rPr>
        <w:t xml:space="preserve"> </w:t>
      </w:r>
      <w:r>
        <w:t>ředitelem</w:t>
      </w:r>
    </w:p>
    <w:p w:rsidR="00B94E99" w:rsidRDefault="00906E58">
      <w:pPr>
        <w:pStyle w:val="Zkladntext"/>
        <w:tabs>
          <w:tab w:val="left" w:pos="3122"/>
        </w:tabs>
        <w:ind w:left="24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174587" w:rsidRPr="00174587">
        <w:rPr>
          <w:highlight w:val="yellow"/>
        </w:rPr>
        <w:t>xxxx</w:t>
      </w:r>
    </w:p>
    <w:p w:rsidR="00174587" w:rsidRDefault="00906E58">
      <w:pPr>
        <w:pStyle w:val="Zkladntext"/>
        <w:tabs>
          <w:tab w:val="left" w:pos="3122"/>
        </w:tabs>
        <w:spacing w:before="1"/>
        <w:ind w:left="242" w:right="5046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174587" w:rsidRPr="00174587">
        <w:rPr>
          <w:highlight w:val="yellow"/>
        </w:rPr>
        <w:t>xxxx</w:t>
      </w:r>
      <w:bookmarkStart w:id="0" w:name="_GoBack"/>
      <w:bookmarkEnd w:id="0"/>
    </w:p>
    <w:p w:rsidR="00B94E99" w:rsidRDefault="00906E58">
      <w:pPr>
        <w:pStyle w:val="Zkladntext"/>
        <w:tabs>
          <w:tab w:val="left" w:pos="3122"/>
        </w:tabs>
        <w:spacing w:before="1"/>
        <w:ind w:left="242" w:right="5046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B94E99" w:rsidRDefault="00B94E99">
      <w:pPr>
        <w:pStyle w:val="Zkladntext"/>
        <w:spacing w:before="1"/>
        <w:ind w:left="0"/>
      </w:pPr>
    </w:p>
    <w:p w:rsidR="00B94E99" w:rsidRDefault="00906E58">
      <w:pPr>
        <w:pStyle w:val="Zkladntext"/>
        <w:ind w:left="242"/>
      </w:pPr>
      <w:r>
        <w:t>se dohodly takto:</w:t>
      </w:r>
    </w:p>
    <w:p w:rsidR="00B94E99" w:rsidRDefault="00B94E99">
      <w:pPr>
        <w:pStyle w:val="Zkladntext"/>
        <w:spacing w:before="13"/>
        <w:ind w:left="0"/>
        <w:rPr>
          <w:sz w:val="35"/>
        </w:rPr>
      </w:pPr>
    </w:p>
    <w:p w:rsidR="00B94E99" w:rsidRDefault="00906E58">
      <w:pPr>
        <w:pStyle w:val="Nadpis2"/>
        <w:ind w:left="3276"/>
      </w:pPr>
      <w:r>
        <w:t>I.</w:t>
      </w:r>
    </w:p>
    <w:p w:rsidR="00B94E99" w:rsidRDefault="00906E58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B94E99" w:rsidRDefault="00B94E99">
      <w:pPr>
        <w:pStyle w:val="Zkladntext"/>
        <w:spacing w:before="1"/>
        <w:ind w:left="0"/>
        <w:rPr>
          <w:b/>
          <w:sz w:val="18"/>
        </w:rPr>
      </w:pPr>
    </w:p>
    <w:p w:rsidR="00B94E99" w:rsidRDefault="00906E58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B94E99" w:rsidRDefault="00906E58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1190700543 o poskytnutí finančních prostředků ze Státního fondu životního prostřed</w:t>
      </w:r>
      <w:r>
        <w:t>í ČR ze dne 21. 7.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B94E99" w:rsidRDefault="00906E58">
      <w:pPr>
        <w:pStyle w:val="Zkladntext"/>
        <w:spacing w:line="265" w:lineRule="exact"/>
        <w:jc w:val="both"/>
      </w:pPr>
      <w:r>
        <w:t>„Směrnice MŽP“), platné ke dni podání žádosti.</w:t>
      </w:r>
    </w:p>
    <w:p w:rsidR="00B94E99" w:rsidRDefault="00906E58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7/2019 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</w:t>
      </w:r>
      <w:r>
        <w:rPr>
          <w:sz w:val="20"/>
        </w:rPr>
        <w:t>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B94E99" w:rsidRDefault="00B94E99">
      <w:pPr>
        <w:jc w:val="both"/>
        <w:rPr>
          <w:sz w:val="20"/>
        </w:rPr>
        <w:sectPr w:rsidR="00B94E99">
          <w:footerReference w:type="default" r:id="rId7"/>
          <w:type w:val="continuous"/>
          <w:pgSz w:w="12240" w:h="15840"/>
          <w:pgMar w:top="1060" w:right="1020" w:bottom="1640" w:left="1460" w:header="708" w:footer="1458" w:gutter="0"/>
          <w:pgNumType w:start="1"/>
          <w:cols w:space="708"/>
        </w:sectPr>
      </w:pPr>
    </w:p>
    <w:p w:rsidR="00B94E99" w:rsidRDefault="00906E58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B94E99" w:rsidRDefault="00906E58">
      <w:pPr>
        <w:pStyle w:val="Nadpis2"/>
        <w:spacing w:before="120"/>
        <w:ind w:left="3204" w:right="0"/>
        <w:jc w:val="left"/>
      </w:pPr>
      <w:r>
        <w:t>„Přírodní zahrada v MŠ Spálov 2020“</w:t>
      </w:r>
    </w:p>
    <w:p w:rsidR="00B94E99" w:rsidRDefault="00906E58">
      <w:pPr>
        <w:pStyle w:val="Zkladntext"/>
        <w:spacing w:before="121"/>
      </w:pPr>
      <w:r>
        <w:t>(dále jen „projekt“ nebo „akce“) realizovanou v roce 2020. Akce je neinvestiční.</w:t>
      </w:r>
    </w:p>
    <w:p w:rsidR="00B94E99" w:rsidRDefault="00B94E99">
      <w:pPr>
        <w:pStyle w:val="Zkladntext"/>
        <w:spacing w:before="1"/>
        <w:ind w:left="0"/>
        <w:rPr>
          <w:sz w:val="36"/>
        </w:rPr>
      </w:pPr>
    </w:p>
    <w:p w:rsidR="00B94E99" w:rsidRDefault="00906E58">
      <w:pPr>
        <w:pStyle w:val="Nadpis2"/>
        <w:ind w:left="3276"/>
      </w:pPr>
      <w:r>
        <w:t>II.</w:t>
      </w:r>
    </w:p>
    <w:p w:rsidR="00B94E99" w:rsidRDefault="00906E58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B94E99" w:rsidRDefault="00B94E99">
      <w:pPr>
        <w:pStyle w:val="Zkladntext"/>
        <w:spacing w:before="3"/>
        <w:ind w:left="0"/>
        <w:rPr>
          <w:b/>
          <w:sz w:val="18"/>
        </w:rPr>
      </w:pP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0"/>
        <w:rPr>
          <w:sz w:val="20"/>
        </w:rPr>
      </w:pP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podporu</w:t>
      </w:r>
      <w:r>
        <w:rPr>
          <w:spacing w:val="-8"/>
          <w:sz w:val="20"/>
        </w:rPr>
        <w:t xml:space="preserve"> </w:t>
      </w:r>
      <w:r>
        <w:rPr>
          <w:sz w:val="20"/>
        </w:rPr>
        <w:t>formou</w:t>
      </w:r>
      <w:r>
        <w:rPr>
          <w:spacing w:val="-9"/>
          <w:sz w:val="20"/>
        </w:rPr>
        <w:t xml:space="preserve"> </w:t>
      </w:r>
      <w:r>
        <w:rPr>
          <w:sz w:val="20"/>
        </w:rPr>
        <w:t>dotace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289 101,14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(slovy</w:t>
      </w:r>
      <w:r>
        <w:rPr>
          <w:spacing w:val="-9"/>
          <w:sz w:val="20"/>
        </w:rPr>
        <w:t xml:space="preserve"> </w:t>
      </w:r>
      <w:r>
        <w:rPr>
          <w:sz w:val="20"/>
        </w:rPr>
        <w:t>dvě stě osmdesát devět tisíc jedno sto jedna koruna a čtrnáct</w:t>
      </w:r>
      <w:r>
        <w:rPr>
          <w:spacing w:val="-4"/>
          <w:sz w:val="20"/>
        </w:rPr>
        <w:t xml:space="preserve"> </w:t>
      </w:r>
      <w:r>
        <w:rPr>
          <w:sz w:val="20"/>
        </w:rPr>
        <w:t>haléřů).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340 119,00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rPr>
          <w:sz w:val="20"/>
        </w:rPr>
      </w:pPr>
      <w:r>
        <w:rPr>
          <w:sz w:val="20"/>
        </w:rPr>
        <w:t>Podpora představuje 85,00 % základu pro 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 výše podpory  je  limitována  částkou  uvedenou  v  bodu  1.  Pokud  skutečné  výdaje  akce  (a to i průběžně, v průběhu realizace akce) překročily nebo překročí základ pro stanovení podpory (popřípadě jeho část odpovídající postupu real</w:t>
      </w:r>
      <w:r>
        <w:rPr>
          <w:sz w:val="20"/>
        </w:rPr>
        <w:t>izace akce), uhradí příjemce podpory částku tohoto překročení z 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 přímé souvislosti s realizací projektu a které vznikly a</w:t>
      </w:r>
      <w:r>
        <w:rPr>
          <w:sz w:val="20"/>
        </w:rPr>
        <w:t xml:space="preserve"> byly uhrazeny v období 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 Výzvy, s výjimkou výdajů na projektovou</w:t>
      </w:r>
      <w:r>
        <w:rPr>
          <w:spacing w:val="-1"/>
          <w:sz w:val="20"/>
        </w:rPr>
        <w:t xml:space="preserve"> </w:t>
      </w:r>
      <w:r>
        <w:rPr>
          <w:sz w:val="20"/>
        </w:rPr>
        <w:t>přípravu.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Platby  dodavatelům  lze  z podpory  poskytované  Fondem  hradit  pouze  za </w:t>
      </w:r>
      <w:r>
        <w:rPr>
          <w:sz w:val="20"/>
        </w:rPr>
        <w:t xml:space="preserve"> stavební  práce,  služby  a dodávky na 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B94E99" w:rsidRDefault="00906E58">
      <w:pPr>
        <w:pStyle w:val="Odstavecseseznamem"/>
        <w:numPr>
          <w:ilvl w:val="0"/>
          <w:numId w:val="5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článku 9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B94E99" w:rsidRDefault="00B94E99">
      <w:pPr>
        <w:pStyle w:val="Zkladntext"/>
        <w:spacing w:before="2"/>
        <w:ind w:left="0"/>
        <w:rPr>
          <w:sz w:val="36"/>
        </w:rPr>
      </w:pPr>
    </w:p>
    <w:p w:rsidR="00B94E99" w:rsidRDefault="00906E58">
      <w:pPr>
        <w:pStyle w:val="Nadpis2"/>
        <w:spacing w:before="1"/>
        <w:ind w:left="3275"/>
      </w:pPr>
      <w:r>
        <w:t>III.</w:t>
      </w:r>
    </w:p>
    <w:p w:rsidR="00B94E99" w:rsidRDefault="00906E58">
      <w:pPr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B94E99" w:rsidRDefault="00B94E99">
      <w:pPr>
        <w:pStyle w:val="Zkladntext"/>
        <w:spacing w:before="12"/>
        <w:ind w:left="0"/>
        <w:rPr>
          <w:b/>
          <w:sz w:val="17"/>
        </w:rPr>
      </w:pP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 bude poskytována bankovním převodem peněžních prostředků z  bankovního  účtu Fondu   na bankovní účet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</w:t>
      </w:r>
      <w:r>
        <w:rPr>
          <w:sz w:val="20"/>
        </w:rPr>
        <w:t>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9"/>
          <w:sz w:val="20"/>
        </w:rPr>
        <w:t xml:space="preserve"> </w:t>
      </w:r>
      <w:r>
        <w:rPr>
          <w:sz w:val="20"/>
        </w:rPr>
        <w:t>takto:</w:t>
      </w:r>
    </w:p>
    <w:p w:rsidR="00B94E99" w:rsidRDefault="00B94E99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B94E99">
        <w:trPr>
          <w:trHeight w:val="505"/>
        </w:trPr>
        <w:tc>
          <w:tcPr>
            <w:tcW w:w="4532" w:type="dxa"/>
          </w:tcPr>
          <w:p w:rsidR="00B94E99" w:rsidRDefault="00906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B94E99" w:rsidRDefault="00906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B94E99">
        <w:trPr>
          <w:trHeight w:val="506"/>
        </w:trPr>
        <w:tc>
          <w:tcPr>
            <w:tcW w:w="4532" w:type="dxa"/>
          </w:tcPr>
          <w:p w:rsidR="00B94E99" w:rsidRDefault="00906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B94E99" w:rsidRDefault="00906E5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289 101,14</w:t>
            </w:r>
          </w:p>
        </w:tc>
      </w:tr>
    </w:tbl>
    <w:p w:rsidR="00B94E99" w:rsidRDefault="00B94E99">
      <w:pPr>
        <w:pStyle w:val="Zkladntext"/>
        <w:ind w:left="0"/>
        <w:rPr>
          <w:sz w:val="29"/>
        </w:rPr>
      </w:pP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prostředků, (bod 11), příslušné doklady prokazující oprávněnost vynaložených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</w:t>
      </w:r>
      <w:r>
        <w:rPr>
          <w:sz w:val="20"/>
        </w:rPr>
        <w:t>ředků.</w:t>
      </w:r>
    </w:p>
    <w:p w:rsidR="00B94E99" w:rsidRDefault="00B94E99">
      <w:pPr>
        <w:jc w:val="both"/>
        <w:rPr>
          <w:sz w:val="20"/>
        </w:rPr>
        <w:sectPr w:rsidR="00B94E99">
          <w:pgSz w:w="12240" w:h="15840"/>
          <w:pgMar w:top="1060" w:right="1020" w:bottom="1640" w:left="1460" w:header="0" w:footer="1458" w:gutter="0"/>
          <w:cols w:space="708"/>
        </w:sectPr>
      </w:pP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73"/>
        <w:ind w:right="120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 povinností stanovených touto Smlouvou, či je plnění některé povinnosti vážně ohroženo.  To platí i pro případ, že příjemce podpory v průběhu realizace akce nehradil nebo nehradí z vlastních zdrojů plně výdaje akce přesahující základ pro </w:t>
      </w:r>
      <w:r>
        <w:rPr>
          <w:sz w:val="20"/>
        </w:rPr>
        <w:t>stanovení podpory. Ustanovení článku V bodu 1 tím není dotčeno.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</w:t>
      </w:r>
      <w:r>
        <w:rPr>
          <w:sz w:val="20"/>
        </w:rPr>
        <w:t>ce</w:t>
      </w:r>
      <w:r>
        <w:rPr>
          <w:spacing w:val="-37"/>
          <w:sz w:val="20"/>
        </w:rPr>
        <w:t xml:space="preserve"> </w:t>
      </w:r>
      <w:r>
        <w:rPr>
          <w:sz w:val="20"/>
        </w:rPr>
        <w:t>akce.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16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   dle    Fondem     akceptovaného     finančně     platebního     kalendáře     v AIS     SFŽP     ČR a na základě žádosti o uvolnění finančníc</w:t>
      </w:r>
      <w:r>
        <w:rPr>
          <w:sz w:val="20"/>
        </w:rPr>
        <w:t>h prostředků doručených Fondu příjemcem podpory prostřednictvím AIS SFŽP</w:t>
      </w:r>
      <w:r>
        <w:rPr>
          <w:spacing w:val="-2"/>
          <w:sz w:val="20"/>
        </w:rPr>
        <w:t xml:space="preserve"> </w:t>
      </w:r>
      <w:r>
        <w:rPr>
          <w:sz w:val="20"/>
        </w:rPr>
        <w:t>ČR.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B94E99" w:rsidRDefault="00906E58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B94E99" w:rsidRDefault="00906E58">
      <w:pPr>
        <w:pStyle w:val="Odstavecseseznamem"/>
        <w:numPr>
          <w:ilvl w:val="1"/>
          <w:numId w:val="4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  bankovních  výpisů  dokladující  uhrazení  faktur  zhoto</w:t>
      </w:r>
      <w:r>
        <w:rPr>
          <w:sz w:val="20"/>
        </w:rPr>
        <w:t>viteli,  případně  doklady,  že  došlo  ke skutečnému uhrazení výdajů, včetně souvisejících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 že předložené faktury odpovídají skutečným, účelně vyna</w:t>
      </w:r>
      <w:r>
        <w:rPr>
          <w:sz w:val="20"/>
        </w:rPr>
        <w:t>loženým a způsobilým výdajům</w:t>
      </w:r>
      <w:r>
        <w:rPr>
          <w:spacing w:val="-23"/>
          <w:sz w:val="20"/>
        </w:rPr>
        <w:t xml:space="preserve"> </w:t>
      </w:r>
      <w:r>
        <w:rPr>
          <w:sz w:val="20"/>
        </w:rPr>
        <w:t>akce.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 mohou být předloženy faktury již uhrazené. Fond akceptuje předložení faktur i z roku předcházejícího uvolnění podpory, pokud fakturace odpovídá termínům 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Fond je oprávněn vydat pokyny, které mohou uve</w:t>
      </w:r>
      <w:r>
        <w:rPr>
          <w:sz w:val="20"/>
        </w:rPr>
        <w:t>dený výčet náležitostí změnit, popřípadě rozšířit. Příjemce podpory je povinen takové pokyny vydané Fondem splnit. Tyto pokyny mohou být uvedeny na formuláři finančně platebního</w:t>
      </w:r>
      <w:r>
        <w:rPr>
          <w:spacing w:val="-3"/>
          <w:sz w:val="20"/>
        </w:rPr>
        <w:t xml:space="preserve"> </w:t>
      </w:r>
      <w:r>
        <w:rPr>
          <w:sz w:val="20"/>
        </w:rPr>
        <w:t>kalendáře.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ind w:right="116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neprodleně po obdržení a provedení kontroly zaslat Fondu a splnit povinnost stanovenou v článku IV bodu 2</w:t>
      </w:r>
      <w:r>
        <w:rPr>
          <w:sz w:val="20"/>
        </w:rPr>
        <w:t xml:space="preserve">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B94E99" w:rsidRDefault="00906E58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7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</w:t>
      </w:r>
      <w:r>
        <w:rPr>
          <w:sz w:val="20"/>
        </w:rPr>
        <w:t>y Fondu na prokázání uvedených nákladů odpovídajícími účetními</w:t>
      </w:r>
      <w:r>
        <w:rPr>
          <w:spacing w:val="-3"/>
          <w:sz w:val="20"/>
        </w:rPr>
        <w:t xml:space="preserve"> </w:t>
      </w:r>
      <w:r>
        <w:rPr>
          <w:sz w:val="20"/>
        </w:rPr>
        <w:t>doklady.</w:t>
      </w:r>
    </w:p>
    <w:p w:rsidR="00B94E99" w:rsidRDefault="00B94E99">
      <w:pPr>
        <w:jc w:val="both"/>
        <w:rPr>
          <w:sz w:val="20"/>
        </w:rPr>
        <w:sectPr w:rsidR="00B94E99">
          <w:pgSz w:w="12240" w:h="15840"/>
          <w:pgMar w:top="1060" w:right="1020" w:bottom="1660" w:left="1460" w:header="0" w:footer="1458" w:gutter="0"/>
          <w:cols w:space="708"/>
        </w:sectPr>
      </w:pP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spacing w:before="1"/>
        <w:ind w:left="0"/>
        <w:rPr>
          <w:sz w:val="38"/>
        </w:rPr>
      </w:pPr>
    </w:p>
    <w:p w:rsidR="00B94E99" w:rsidRDefault="00906E58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17"/>
          <w:sz w:val="20"/>
        </w:rPr>
        <w:t xml:space="preserve"> </w:t>
      </w:r>
      <w:r>
        <w:rPr>
          <w:sz w:val="20"/>
        </w:rPr>
        <w:t>podpory:</w:t>
      </w:r>
    </w:p>
    <w:p w:rsidR="00B94E99" w:rsidRDefault="00906E58">
      <w:pPr>
        <w:spacing w:before="79"/>
        <w:ind w:left="220" w:right="2275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B94E99" w:rsidRDefault="00906E58">
      <w:pPr>
        <w:pStyle w:val="Nadpis2"/>
        <w:spacing w:before="1"/>
        <w:ind w:left="220" w:right="2282"/>
      </w:pPr>
      <w:r>
        <w:t>Základní závazky a další povinnosti příjemce podpory</w:t>
      </w:r>
    </w:p>
    <w:p w:rsidR="00B94E99" w:rsidRDefault="00B94E99">
      <w:pPr>
        <w:sectPr w:rsidR="00B94E99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 že splnil účel akce tím,</w:t>
      </w:r>
      <w:r>
        <w:rPr>
          <w:spacing w:val="-5"/>
          <w:sz w:val="20"/>
        </w:rPr>
        <w:t xml:space="preserve"> </w:t>
      </w:r>
      <w:r>
        <w:rPr>
          <w:sz w:val="20"/>
        </w:rPr>
        <w:t>že: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ind w:right="116"/>
        <w:rPr>
          <w:sz w:val="20"/>
        </w:rPr>
      </w:pPr>
      <w:r>
        <w:rPr>
          <w:sz w:val="20"/>
        </w:rPr>
        <w:t>akce byla provedena podle Fondem odsouhlasené projektové dokumentace projektu „Přírodní zahrada v MŠ Spálov 2020“ ze dne 16. 4. 2020, včetně případných změn a doplňků těchto dokumentů, pokud je 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v období od 8/2020 do 11/2020 pořídil předmě</w:t>
      </w:r>
      <w:r>
        <w:rPr>
          <w:sz w:val="20"/>
        </w:rPr>
        <w:t>ty uvedené v aktualizovaném rozpočtu projektu    ze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7"/>
          <w:sz w:val="20"/>
        </w:rPr>
        <w:t xml:space="preserve"> </w:t>
      </w:r>
      <w:r>
        <w:rPr>
          <w:sz w:val="20"/>
        </w:rPr>
        <w:t>11.</w:t>
      </w:r>
      <w:r>
        <w:rPr>
          <w:spacing w:val="-7"/>
          <w:sz w:val="20"/>
        </w:rPr>
        <w:t xml:space="preserve"> </w:t>
      </w:r>
      <w:r>
        <w:rPr>
          <w:sz w:val="20"/>
        </w:rPr>
        <w:t>12.</w:t>
      </w:r>
      <w:r>
        <w:rPr>
          <w:spacing w:val="-8"/>
          <w:sz w:val="20"/>
        </w:rPr>
        <w:t xml:space="preserve"> </w:t>
      </w:r>
      <w:r>
        <w:rPr>
          <w:sz w:val="20"/>
        </w:rPr>
        <w:t>2020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vysadil</w:t>
      </w:r>
      <w:r>
        <w:rPr>
          <w:spacing w:val="-7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9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stanovištně</w:t>
      </w:r>
      <w:r>
        <w:rPr>
          <w:spacing w:val="-8"/>
          <w:sz w:val="20"/>
        </w:rPr>
        <w:t xml:space="preserve"> </w:t>
      </w:r>
      <w:r>
        <w:rPr>
          <w:sz w:val="20"/>
        </w:rPr>
        <w:t>vhodný</w:t>
      </w:r>
      <w:r>
        <w:rPr>
          <w:spacing w:val="-7"/>
          <w:sz w:val="20"/>
        </w:rPr>
        <w:t xml:space="preserve"> </w:t>
      </w:r>
      <w:r>
        <w:rPr>
          <w:sz w:val="20"/>
        </w:rPr>
        <w:t>strom,</w:t>
      </w:r>
      <w:r>
        <w:rPr>
          <w:spacing w:val="-8"/>
          <w:sz w:val="20"/>
        </w:rPr>
        <w:t xml:space="preserve"> </w:t>
      </w:r>
      <w:r>
        <w:rPr>
          <w:sz w:val="20"/>
        </w:rPr>
        <w:t>přičemž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zajistit následnou péči o tento</w:t>
      </w:r>
      <w:r>
        <w:rPr>
          <w:spacing w:val="-1"/>
          <w:sz w:val="20"/>
        </w:rPr>
        <w:t xml:space="preserve"> </w:t>
      </w:r>
      <w:r>
        <w:rPr>
          <w:sz w:val="20"/>
        </w:rPr>
        <w:t>strom,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akce byla provedena na pozemcích ve vlastnictví příjemce podpory, případně ve vlastnictví jeho zřizovatele, popřípadě na pozemcích, jejichž vlastník vyslovil souhlas s realizací akce a zajištěním udržitelnosti akce (včetně následné péče a údržby realizovan</w:t>
      </w:r>
      <w:r>
        <w:rPr>
          <w:sz w:val="20"/>
        </w:rPr>
        <w:t>ého opatření a provádění kontroly podle písm. b) odrážky páté) po dobu 3 let od ukončení realizace akce (příslušné doklady byly příjemcem podpory Fondu</w:t>
      </w:r>
      <w:r>
        <w:rPr>
          <w:spacing w:val="-4"/>
          <w:sz w:val="20"/>
        </w:rPr>
        <w:t xml:space="preserve"> </w:t>
      </w:r>
      <w:r>
        <w:rPr>
          <w:sz w:val="20"/>
        </w:rPr>
        <w:t>předány),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byla dodržena ustanovení Směrnice MŽP a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</w:p>
    <w:p w:rsidR="00B94E99" w:rsidRDefault="00906E58">
      <w:pPr>
        <w:pStyle w:val="Zkladntext"/>
        <w:spacing w:before="120"/>
        <w:ind w:left="923" w:right="110"/>
        <w:jc w:val="both"/>
      </w:pPr>
      <w:r>
        <w:t>Příjemce podpory bere přitom na vědomí, že poku</w:t>
      </w:r>
      <w:r>
        <w:t>d toto prohlášení není pravdivé, bude přijetí podpory podle této Smlouvy považováno za neoprávněné použití finančních prostředků poskytnutých ze státního  fondu  ve smyslu zákona č.  218/2000  Sb.,  o rozpočtových  pravidlech  a o změně některých souvisejí</w:t>
      </w:r>
      <w:r>
        <w:t>cích zákonů (rozpočtová pravidla), v platném znění, a že mohou být uplatněny sankce podle tohoto</w:t>
      </w:r>
      <w:r>
        <w:rPr>
          <w:spacing w:val="-4"/>
        </w:rPr>
        <w:t xml:space="preserve"> </w:t>
      </w:r>
      <w:r>
        <w:t>zákona.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6"/>
        <w:rPr>
          <w:sz w:val="20"/>
        </w:rPr>
      </w:pPr>
      <w:r>
        <w:rPr>
          <w:sz w:val="20"/>
        </w:rPr>
        <w:t xml:space="preserve">zapojí místní  veřejnost  ve  všech  fázích  (v  rámci  plánování,  realizace  </w:t>
      </w:r>
      <w:r>
        <w:rPr>
          <w:sz w:val="20"/>
        </w:rPr>
        <w:t>a  udržitelnosti  projektu) a je-li to relevantní, splní povinnost podle čl. 10 písm. k)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 a jejich výstupů řádně plněn po dobu 3 let od ukončení realizace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 586/1992 Sb., o daních z příjmů, v platném znění</w:t>
      </w:r>
      <w:r>
        <w:rPr>
          <w:sz w:val="20"/>
        </w:rPr>
        <w:t>). Příjemce podpory    se zavazuje všechny transakce související s akcí odděleně identifikovat od ostatních účetních transakcí, které s akcí nesouvisejí, a zavazuje se vést analytickou evidenci s vazbou k</w:t>
      </w:r>
      <w:r>
        <w:rPr>
          <w:spacing w:val="-20"/>
          <w:sz w:val="20"/>
        </w:rPr>
        <w:t xml:space="preserve"> </w:t>
      </w:r>
      <w:r>
        <w:rPr>
          <w:sz w:val="20"/>
        </w:rPr>
        <w:t>akci,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2"/>
        <w:rPr>
          <w:sz w:val="20"/>
        </w:rPr>
      </w:pPr>
      <w:r>
        <w:rPr>
          <w:sz w:val="20"/>
        </w:rPr>
        <w:t>umožní provádět kontrolu provedení opatření n</w:t>
      </w:r>
      <w:r>
        <w:rPr>
          <w:sz w:val="20"/>
        </w:rPr>
        <w:t>a místě realizace včetně kontroly souvisejících dokumentů  osobám  pověřeným  Fondem  případně   jiným  oprávněným   kontrolním  orgánům, a to po dobu od podání žádosti o poskytnutí dotace do konce udržitelnosti</w:t>
      </w:r>
      <w:r>
        <w:rPr>
          <w:spacing w:val="-15"/>
          <w:sz w:val="20"/>
        </w:rPr>
        <w:t xml:space="preserve"> </w:t>
      </w:r>
      <w:r>
        <w:rPr>
          <w:sz w:val="20"/>
        </w:rPr>
        <w:t>projektu,</w:t>
      </w:r>
    </w:p>
    <w:p w:rsidR="00B94E99" w:rsidRDefault="00906E58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 xml:space="preserve">bude dodržovat pravidla publicity </w:t>
      </w:r>
      <w:r>
        <w:rPr>
          <w:sz w:val="20"/>
        </w:rPr>
        <w:t>dle pokynů v článku 17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B94E99" w:rsidRDefault="00906E58">
      <w:pPr>
        <w:pStyle w:val="Odstavecseseznamem"/>
        <w:numPr>
          <w:ilvl w:val="0"/>
          <w:numId w:val="3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3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4"/>
          <w:sz w:val="20"/>
        </w:rPr>
        <w:t xml:space="preserve"> </w:t>
      </w:r>
      <w:r>
        <w:rPr>
          <w:sz w:val="20"/>
        </w:rPr>
        <w:t>dnů</w:t>
      </w:r>
      <w:r>
        <w:rPr>
          <w:spacing w:val="-15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B94E99" w:rsidRDefault="00B94E99">
      <w:pPr>
        <w:jc w:val="both"/>
        <w:rPr>
          <w:sz w:val="20"/>
        </w:rPr>
        <w:sectPr w:rsidR="00B94E99">
          <w:type w:val="continuous"/>
          <w:pgSz w:w="12240" w:h="15840"/>
          <w:pgMar w:top="1060" w:right="1020" w:bottom="1640" w:left="1460" w:header="708" w:footer="708" w:gutter="0"/>
          <w:cols w:space="708"/>
        </w:sectPr>
      </w:pP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 o použití poskytnutých prostředků samostatnou průkaznou evidenci v souladu s právními předpisy,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 xml:space="preserve">vrátit poskytnuté finanční prostředky, popřípadě jejich část do 30 dnů poté, co odpadl účel akce,  pro který je podpora poskytována; stejně je povinen postupovat i v případě, </w:t>
      </w:r>
      <w:r>
        <w:rPr>
          <w:spacing w:val="6"/>
          <w:sz w:val="20"/>
        </w:rPr>
        <w:t xml:space="preserve">že </w:t>
      </w:r>
      <w:r>
        <w:rPr>
          <w:sz w:val="20"/>
        </w:rPr>
        <w:t>oprávněná potřeba použít poskytnuté peněžní prostředky odpadne pouze na přecho</w:t>
      </w:r>
      <w:r>
        <w:rPr>
          <w:sz w:val="20"/>
        </w:rPr>
        <w:t>dnou</w:t>
      </w:r>
      <w:r>
        <w:rPr>
          <w:spacing w:val="-7"/>
          <w:sz w:val="20"/>
        </w:rPr>
        <w:t xml:space="preserve"> </w:t>
      </w:r>
      <w:r>
        <w:rPr>
          <w:sz w:val="20"/>
        </w:rPr>
        <w:t>dobu,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 xml:space="preserve">vrátit odpovídající  část podpory v  případě, že  DPH  bude zahrnuta do  způsobilých výdajů  akce    a příjemce podpory má nebo mu vznikne nárok na odpočet DPH, a to bez ohledu na to, zda tento nárok uplatní; vrátit odpovídající část podpory je </w:t>
      </w:r>
      <w:r>
        <w:rPr>
          <w:sz w:val="20"/>
        </w:rPr>
        <w:t>příjemce podpory povinen nejpozději do 30 dní 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 xml:space="preserve">při případném překročení podílu  dle článku  II bodů  3  a 4  (jak procentního  podílu  </w:t>
      </w:r>
      <w:r>
        <w:rPr>
          <w:spacing w:val="4"/>
          <w:sz w:val="20"/>
        </w:rPr>
        <w:t xml:space="preserve">ze </w:t>
      </w:r>
      <w:r>
        <w:rPr>
          <w:sz w:val="20"/>
        </w:rPr>
        <w:t>základu  pro stanovení podpory, tak podílu z celkových výdajů a</w:t>
      </w:r>
      <w:r>
        <w:rPr>
          <w:sz w:val="20"/>
        </w:rPr>
        <w:t>kce) do 30 dnů vrátit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8"/>
          <w:sz w:val="20"/>
        </w:rPr>
        <w:t xml:space="preserve"> </w:t>
      </w:r>
      <w:r>
        <w:rPr>
          <w:sz w:val="20"/>
        </w:rPr>
        <w:t>pokyny,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 i po jejím dokončení, a to v takovém rozsahu (i pokud jde o poskytnutí příslušných dokladů), aby mohly být objasněny všechny okolnosti, týkající se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 xml:space="preserve">bez zbytečného odkladu a  před uplynutím smluvního termínu požádat Fond </w:t>
      </w:r>
      <w:r>
        <w:rPr>
          <w:sz w:val="20"/>
        </w:rPr>
        <w:t>o změnu Smlouvy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</w:t>
      </w:r>
      <w:r>
        <w:rPr>
          <w:sz w:val="20"/>
        </w:rPr>
        <w:t>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B94E99" w:rsidRDefault="00906E58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V této souvislosti příjemce podpory prohlašuje, že rovněž veškeré podklady a informace, které Fondu poskytl před uzavřením této Smlouvy, byly pravdivé, nezkreslené a úplné. Příjemce podpory přitom bere na vědomí, že pokud kterékoliv jeho pr</w:t>
      </w:r>
      <w:r>
        <w:rPr>
          <w:sz w:val="20"/>
        </w:rPr>
        <w:t>ohlášení nebo tvrzení (popřípadě 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4"/>
        </w:rPr>
      </w:pPr>
    </w:p>
    <w:p w:rsidR="00B94E99" w:rsidRDefault="00906E58">
      <w:pPr>
        <w:pStyle w:val="Nadpis2"/>
        <w:ind w:left="3274"/>
      </w:pPr>
      <w:r>
        <w:t>V.</w:t>
      </w:r>
    </w:p>
    <w:p w:rsidR="00B94E99" w:rsidRDefault="00906E58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B94E99" w:rsidRDefault="00B94E99">
      <w:pPr>
        <w:pStyle w:val="Zkladntext"/>
        <w:ind w:left="0"/>
        <w:rPr>
          <w:b/>
          <w:sz w:val="18"/>
        </w:rPr>
      </w:pPr>
    </w:p>
    <w:p w:rsidR="00B94E99" w:rsidRDefault="00906E58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B94E99" w:rsidRDefault="00906E58">
      <w:pPr>
        <w:pStyle w:val="Odstavecseseznamem"/>
        <w:numPr>
          <w:ilvl w:val="0"/>
          <w:numId w:val="2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 xml:space="preserve">Porušení povinností podle článku II bodů 5 nebo 6 nebo podle článku IV bodu 2 písm. a), c), d) nebo e) bude postiženo odvodem ve výši 100 % z poskytnuté podpory.  Porušení povinností podle článku       IV bodu 1  písm. b)  za  první,  druhou  nebo  třetí  </w:t>
      </w:r>
      <w:r>
        <w:rPr>
          <w:sz w:val="20"/>
        </w:rPr>
        <w:t xml:space="preserve"> odrážkou  bude  postiženo  odvodem  ve  výši    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B94E99" w:rsidRDefault="00B94E99">
      <w:pPr>
        <w:jc w:val="both"/>
        <w:rPr>
          <w:sz w:val="20"/>
        </w:rPr>
        <w:sectPr w:rsidR="00B94E99">
          <w:pgSz w:w="12240" w:h="15840"/>
          <w:pgMar w:top="1060" w:right="1020" w:bottom="1660" w:left="1460" w:header="0" w:footer="1458" w:gutter="0"/>
          <w:cols w:space="708"/>
        </w:sectPr>
      </w:pPr>
    </w:p>
    <w:p w:rsidR="00B94E99" w:rsidRDefault="00906E58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Dojde-li k porušení povinností uvedených v článku IV bodu 1 písm. a) za první, třetí nebo čtvrtou odrážkou, bude toto porušení postiženo odvodem ve výši 100 % z pos</w:t>
      </w:r>
      <w:r>
        <w:rPr>
          <w:sz w:val="20"/>
        </w:rPr>
        <w:t>kytnuté podpory. Byl-li naplněn účel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1"/>
          <w:sz w:val="20"/>
        </w:rPr>
        <w:t xml:space="preserve"> </w:t>
      </w:r>
      <w:r>
        <w:rPr>
          <w:sz w:val="20"/>
        </w:rPr>
        <w:t>50</w:t>
      </w:r>
      <w:r>
        <w:rPr>
          <w:spacing w:val="-10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 bude</w:t>
      </w:r>
      <w:r>
        <w:rPr>
          <w:spacing w:val="-14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4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 v rozmezí 50-90 % sta</w:t>
      </w:r>
      <w:r>
        <w:rPr>
          <w:sz w:val="20"/>
        </w:rPr>
        <w:t>novených indikátorů, bude  toto  porušení  postiženo  odvodem  v rozmezí  10-50 % z poskytnuté podpory v závislosti na míře porušení stanovených indikátorů účelu akce. Plnění účelu akce v rozmezí 90-100 % stanovených indikátorů nebude 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odvodem.</w:t>
      </w:r>
    </w:p>
    <w:p w:rsidR="00B94E99" w:rsidRDefault="00906E58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8"/>
          <w:sz w:val="20"/>
        </w:rPr>
        <w:t xml:space="preserve"> </w:t>
      </w:r>
      <w:r>
        <w:rPr>
          <w:sz w:val="20"/>
        </w:rPr>
        <w:t>druhé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B94E99" w:rsidRDefault="00906E58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08"/>
        <w:jc w:val="both"/>
        <w:rPr>
          <w:sz w:val="20"/>
        </w:rPr>
      </w:pPr>
      <w:r>
        <w:rPr>
          <w:sz w:val="20"/>
        </w:rPr>
        <w:t xml:space="preserve">Porušení ostatních povinností </w:t>
      </w:r>
      <w:r>
        <w:rPr>
          <w:sz w:val="20"/>
        </w:rPr>
        <w:t>podle této Smlouvy bude postiženo odvodem ve výši 1 % z poskytnuté podpory.</w:t>
      </w: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906E58">
      <w:pPr>
        <w:pStyle w:val="Nadpis2"/>
        <w:spacing w:before="214"/>
        <w:ind w:left="3277"/>
      </w:pPr>
      <w:r>
        <w:t>VI.</w:t>
      </w:r>
    </w:p>
    <w:p w:rsidR="00B94E99" w:rsidRDefault="00906E58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B94E99" w:rsidRDefault="00B94E99">
      <w:pPr>
        <w:pStyle w:val="Zkladntext"/>
        <w:ind w:left="0"/>
        <w:rPr>
          <w:b/>
          <w:sz w:val="18"/>
        </w:rPr>
      </w:pP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1"/>
        <w:ind w:right="11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   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ind w:right="117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</w:t>
      </w:r>
      <w:r>
        <w:rPr>
          <w:sz w:val="20"/>
        </w:rPr>
        <w:t>ehdy, kdy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16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</w:t>
      </w:r>
      <w:r>
        <w:rPr>
          <w:sz w:val="20"/>
        </w:rPr>
        <w:t>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4"/>
          <w:sz w:val="20"/>
        </w:rPr>
        <w:t xml:space="preserve"> </w:t>
      </w:r>
      <w:r>
        <w:rPr>
          <w:sz w:val="20"/>
        </w:rPr>
        <w:t>podpory.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08"/>
        <w:jc w:val="both"/>
        <w:rPr>
          <w:sz w:val="20"/>
        </w:rPr>
      </w:pPr>
      <w:r>
        <w:rPr>
          <w:sz w:val="20"/>
        </w:rPr>
        <w:t>Pro účely  této  Smlouvy se informací (povinno</w:t>
      </w:r>
      <w:r>
        <w:rPr>
          <w:sz w:val="20"/>
        </w:rPr>
        <w:t>stí informovat) rozumí podání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2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6"/>
          <w:sz w:val="20"/>
        </w:rPr>
        <w:t xml:space="preserve"> </w:t>
      </w:r>
      <w:r>
        <w:rPr>
          <w:sz w:val="20"/>
        </w:rPr>
        <w:t>schránkou.</w:t>
      </w: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podle zákona    č. 340/2015  Sb.,  o  zvláštních  podmínkách  účinnosti  některých  smluv,  uveřejňování  těchto  smluv  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</w:t>
      </w:r>
      <w:r>
        <w:rPr>
          <w:sz w:val="20"/>
        </w:rPr>
        <w:t>ění</w:t>
      </w:r>
      <w:r>
        <w:rPr>
          <w:spacing w:val="-7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B94E99" w:rsidRDefault="00B94E99">
      <w:pPr>
        <w:jc w:val="both"/>
        <w:rPr>
          <w:sz w:val="20"/>
        </w:rPr>
        <w:sectPr w:rsidR="00B94E99">
          <w:pgSz w:w="12240" w:h="15840"/>
          <w:pgMar w:top="1060" w:right="1020" w:bottom="1660" w:left="1460" w:header="0" w:footer="1458" w:gutter="0"/>
          <w:cols w:space="708"/>
        </w:sectPr>
      </w:pPr>
    </w:p>
    <w:p w:rsidR="00B94E99" w:rsidRDefault="00906E58">
      <w:pPr>
        <w:pStyle w:val="Odstavecseseznamem"/>
        <w:numPr>
          <w:ilvl w:val="0"/>
          <w:numId w:val="1"/>
        </w:numPr>
        <w:tabs>
          <w:tab w:val="left" w:pos="52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B94E99" w:rsidRDefault="00B94E99">
      <w:pPr>
        <w:pStyle w:val="Zkladntext"/>
        <w:spacing w:before="3"/>
        <w:ind w:left="0"/>
        <w:rPr>
          <w:sz w:val="36"/>
        </w:rPr>
      </w:pPr>
    </w:p>
    <w:p w:rsidR="00B94E99" w:rsidRDefault="00906E58">
      <w:pPr>
        <w:pStyle w:val="Zkladntext"/>
        <w:tabs>
          <w:tab w:val="left" w:pos="6691"/>
        </w:tabs>
        <w:ind w:left="242"/>
      </w:pPr>
      <w:r>
        <w:t>V:</w:t>
      </w:r>
      <w:r>
        <w:tab/>
        <w:t>V Praze</w:t>
      </w:r>
      <w:r>
        <w:rPr>
          <w:spacing w:val="21"/>
        </w:rPr>
        <w:t xml:space="preserve"> </w:t>
      </w:r>
      <w:r>
        <w:t>dne:</w:t>
      </w:r>
    </w:p>
    <w:p w:rsidR="00B94E99" w:rsidRDefault="00B94E99">
      <w:pPr>
        <w:pStyle w:val="Zkladntext"/>
        <w:spacing w:before="1"/>
        <w:ind w:left="0"/>
        <w:rPr>
          <w:sz w:val="18"/>
        </w:rPr>
      </w:pPr>
    </w:p>
    <w:p w:rsidR="00B94E99" w:rsidRDefault="00906E58">
      <w:pPr>
        <w:pStyle w:val="Zkladntext"/>
        <w:ind w:left="242"/>
      </w:pPr>
      <w:r>
        <w:t>dne:</w:t>
      </w: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6"/>
        </w:rPr>
      </w:pPr>
    </w:p>
    <w:p w:rsidR="00B94E99" w:rsidRDefault="00B94E99">
      <w:pPr>
        <w:pStyle w:val="Zkladntext"/>
        <w:ind w:left="0"/>
        <w:rPr>
          <w:sz w:val="29"/>
        </w:rPr>
      </w:pPr>
    </w:p>
    <w:p w:rsidR="00B94E99" w:rsidRDefault="00906E58">
      <w:pPr>
        <w:pStyle w:val="Zkladntext"/>
        <w:tabs>
          <w:tab w:val="left" w:pos="6722"/>
        </w:tabs>
        <w:ind w:left="242"/>
      </w:pPr>
      <w:r>
        <w:t>…………………………………………….</w:t>
      </w:r>
      <w:r>
        <w:tab/>
        <w:t>……………………………………</w:t>
      </w:r>
    </w:p>
    <w:p w:rsidR="00B94E99" w:rsidRDefault="00906E58">
      <w:pPr>
        <w:pStyle w:val="Zkladntext"/>
        <w:tabs>
          <w:tab w:val="left" w:pos="6722"/>
        </w:tabs>
        <w:spacing w:before="1"/>
        <w:ind w:left="24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B94E99">
      <w:pgSz w:w="12240" w:h="15840"/>
      <w:pgMar w:top="106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E58" w:rsidRDefault="00906E58">
      <w:r>
        <w:separator/>
      </w:r>
    </w:p>
  </w:endnote>
  <w:endnote w:type="continuationSeparator" w:id="0">
    <w:p w:rsidR="00906E58" w:rsidRDefault="00906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E99" w:rsidRDefault="00906E58">
    <w:pPr>
      <w:pStyle w:val="Zkladntext"/>
      <w:spacing w:line="14" w:lineRule="auto"/>
      <w:ind w:left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B94E99" w:rsidRDefault="00906E58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74587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E58" w:rsidRDefault="00906E58">
      <w:r>
        <w:separator/>
      </w:r>
    </w:p>
  </w:footnote>
  <w:footnote w:type="continuationSeparator" w:id="0">
    <w:p w:rsidR="00906E58" w:rsidRDefault="00906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602F0"/>
    <w:multiLevelType w:val="hybridMultilevel"/>
    <w:tmpl w:val="AB008AF4"/>
    <w:lvl w:ilvl="0" w:tplc="1DCA4F2E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E5CD68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D461DA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A26CCDE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D9E0103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018835EA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0F6662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94ADD8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E75A0A4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2B7E3EE4"/>
    <w:multiLevelType w:val="hybridMultilevel"/>
    <w:tmpl w:val="07B04452"/>
    <w:lvl w:ilvl="0" w:tplc="9292820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D72E30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4B74F6E4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4E9E7C82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F4F4DDC8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EFAE8682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CE425C80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1E921998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3BB4FCFE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DF52BF3"/>
    <w:multiLevelType w:val="hybridMultilevel"/>
    <w:tmpl w:val="66A8A358"/>
    <w:lvl w:ilvl="0" w:tplc="FFBEABF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D74E704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EA03990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D5CA4DD8">
      <w:numFmt w:val="bullet"/>
      <w:lvlText w:val="•"/>
      <w:lvlJc w:val="left"/>
      <w:pPr>
        <w:ind w:left="1070" w:hanging="286"/>
      </w:pPr>
      <w:rPr>
        <w:rFonts w:hint="default"/>
        <w:lang w:val="cs-CZ" w:eastAsia="cs-CZ" w:bidi="cs-CZ"/>
      </w:rPr>
    </w:lvl>
    <w:lvl w:ilvl="4" w:tplc="E0B059DE">
      <w:numFmt w:val="bullet"/>
      <w:lvlText w:val="•"/>
      <w:lvlJc w:val="left"/>
      <w:pPr>
        <w:ind w:left="1221" w:hanging="286"/>
      </w:pPr>
      <w:rPr>
        <w:rFonts w:hint="default"/>
        <w:lang w:val="cs-CZ" w:eastAsia="cs-CZ" w:bidi="cs-CZ"/>
      </w:rPr>
    </w:lvl>
    <w:lvl w:ilvl="5" w:tplc="0984634A">
      <w:numFmt w:val="bullet"/>
      <w:lvlText w:val="•"/>
      <w:lvlJc w:val="left"/>
      <w:pPr>
        <w:ind w:left="1372" w:hanging="286"/>
      </w:pPr>
      <w:rPr>
        <w:rFonts w:hint="default"/>
        <w:lang w:val="cs-CZ" w:eastAsia="cs-CZ" w:bidi="cs-CZ"/>
      </w:rPr>
    </w:lvl>
    <w:lvl w:ilvl="6" w:tplc="875C6B9A">
      <w:numFmt w:val="bullet"/>
      <w:lvlText w:val="•"/>
      <w:lvlJc w:val="left"/>
      <w:pPr>
        <w:ind w:left="1522" w:hanging="286"/>
      </w:pPr>
      <w:rPr>
        <w:rFonts w:hint="default"/>
        <w:lang w:val="cs-CZ" w:eastAsia="cs-CZ" w:bidi="cs-CZ"/>
      </w:rPr>
    </w:lvl>
    <w:lvl w:ilvl="7" w:tplc="84C0261A">
      <w:numFmt w:val="bullet"/>
      <w:lvlText w:val="•"/>
      <w:lvlJc w:val="left"/>
      <w:pPr>
        <w:ind w:left="1673" w:hanging="286"/>
      </w:pPr>
      <w:rPr>
        <w:rFonts w:hint="default"/>
        <w:lang w:val="cs-CZ" w:eastAsia="cs-CZ" w:bidi="cs-CZ"/>
      </w:rPr>
    </w:lvl>
    <w:lvl w:ilvl="8" w:tplc="F5C63B5A">
      <w:numFmt w:val="bullet"/>
      <w:lvlText w:val="•"/>
      <w:lvlJc w:val="left"/>
      <w:pPr>
        <w:ind w:left="1824" w:hanging="286"/>
      </w:pPr>
      <w:rPr>
        <w:rFonts w:hint="default"/>
        <w:lang w:val="cs-CZ" w:eastAsia="cs-CZ" w:bidi="cs-CZ"/>
      </w:rPr>
    </w:lvl>
  </w:abstractNum>
  <w:abstractNum w:abstractNumId="3" w15:restartNumberingAfterBreak="0">
    <w:nsid w:val="510E4F54"/>
    <w:multiLevelType w:val="hybridMultilevel"/>
    <w:tmpl w:val="287ED56C"/>
    <w:lvl w:ilvl="0" w:tplc="1F486AC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888649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9036D19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23E954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070857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A824E6B2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F5C6782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E79024A4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2A47E0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8E1429D"/>
    <w:multiLevelType w:val="hybridMultilevel"/>
    <w:tmpl w:val="66E03870"/>
    <w:lvl w:ilvl="0" w:tplc="6ADCFB1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E5E7B2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B3C796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BA96A67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DAAACD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FDAC4C4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B6603A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1B68AD1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2D4C26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6F3215AC"/>
    <w:multiLevelType w:val="hybridMultilevel"/>
    <w:tmpl w:val="48C65E8E"/>
    <w:lvl w:ilvl="0" w:tplc="DC261AD2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6B4D84A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12663B74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1A4DE8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1550EAC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75A80F8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0786FECE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AC3AC968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53D0C57A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B94E99"/>
    <w:rsid w:val="00174587"/>
    <w:rsid w:val="00906E58"/>
    <w:rsid w:val="00B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CAA10D"/>
  <w15:docId w15:val="{A0F67225-AC74-4296-B028-758DDBF9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2351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2021-01-26T09:53:00Z</dcterms:created>
  <dcterms:modified xsi:type="dcterms:W3CDTF">2021-01-26T09:53:00Z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2021-01-26T00:00:00Z</vt:filetime>
  </property>
</Properties>
</file>