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1" w:before="0" w:after="0"/>
        <w:jc w:val="center"/>
        <w:rPr>
          <w:rFonts w:ascii="Arial" w:hAnsi="Arial" w:cs="Arial"/>
          <w:b/>
          <w:b/>
          <w:bCs/>
          <w:color w:val="000000"/>
        </w:rPr>
      </w:pPr>
      <w:bookmarkStart w:id="0" w:name="_GoBack"/>
      <w:bookmarkEnd w:id="0"/>
      <w:r>
        <w:rPr>
          <w:rFonts w:cs="Arial" w:ascii="Arial" w:hAnsi="Arial"/>
          <w:b/>
          <w:bCs/>
          <w:color w:val="000000"/>
        </w:rPr>
        <w:t xml:space="preserve">Smlouva o nájmu prostoru sloužícího k podnikání </w:t>
      </w:r>
    </w:p>
    <w:p>
      <w:pPr>
        <w:pStyle w:val="Normal"/>
        <w:spacing w:lineRule="atLeast" w:line="241" w:before="0" w:after="0"/>
        <w:jc w:val="center"/>
        <w:rPr>
          <w:szCs w:val="20"/>
        </w:rPr>
      </w:pPr>
      <w:r>
        <w:rPr>
          <w:rFonts w:cs="Arial" w:ascii="Arial" w:hAnsi="Arial"/>
          <w:b/>
          <w:bCs/>
          <w:color w:val="000000"/>
        </w:rPr>
        <w:t>a plnění spojených s užíváním pronajatého prostoru</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t>Níže uvedeného dne, měsíce a roku spolu dále uvedené smluvní strany:</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1) </w:t>
      </w:r>
      <w:r>
        <w:rPr>
          <w:rFonts w:cs="Arial" w:ascii="Arial" w:hAnsi="Arial"/>
          <w:b/>
          <w:bCs/>
          <w:color w:val="000000"/>
          <w:sz w:val="20"/>
          <w:szCs w:val="20"/>
        </w:rPr>
        <w:t>Národní dům Frýdek-Místek</w:t>
      </w:r>
      <w:r>
        <w:rPr>
          <w:rFonts w:cs="Arial" w:ascii="Arial" w:hAnsi="Arial"/>
          <w:bCs/>
          <w:color w:val="000000"/>
          <w:sz w:val="20"/>
          <w:szCs w:val="20"/>
        </w:rPr>
        <w:t xml:space="preserve"> “příspěvková organizace“</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 xml:space="preserve">se sídlem: Frýdek-Místek, Palackého 134, PSČ 738 01  </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IČ: 70632405</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DIČ: CZ70632405</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organizace zapsaná v obchodním rejstříku vedeném u KS v Ostravě, oddíl Pr., vložka 80</w:t>
        <w:tab/>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zastoupen: Mgr. Rostislavem Hekerou, ředitelem organizace</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(dále jen „</w:t>
      </w:r>
      <w:r>
        <w:rPr>
          <w:rFonts w:cs="Arial" w:ascii="Arial" w:hAnsi="Arial"/>
          <w:b/>
          <w:bCs/>
          <w:color w:val="000000"/>
          <w:sz w:val="20"/>
          <w:szCs w:val="20"/>
        </w:rPr>
        <w:t>Pronajímatel</w:t>
      </w:r>
      <w:r>
        <w:rPr>
          <w:rFonts w:cs="Arial" w:ascii="Arial" w:hAnsi="Arial"/>
          <w:bCs/>
          <w:color w:val="000000"/>
          <w:sz w:val="20"/>
          <w:szCs w:val="20"/>
        </w:rPr>
        <w:t>“)</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a </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2) </w:t>
      </w:r>
      <w:r>
        <w:rPr>
          <w:rFonts w:cs="Arial" w:ascii="Arial" w:hAnsi="Arial"/>
          <w:b/>
          <w:bCs/>
          <w:color w:val="000000"/>
          <w:sz w:val="20"/>
          <w:szCs w:val="20"/>
        </w:rPr>
        <w:t>Zuzana Gajdošová</w:t>
      </w:r>
      <w:r>
        <w:rPr>
          <w:rFonts w:cs="Arial" w:ascii="Arial" w:hAnsi="Arial"/>
          <w:bCs/>
          <w:color w:val="000000"/>
          <w:sz w:val="20"/>
          <w:szCs w:val="20"/>
        </w:rPr>
        <w:t xml:space="preserve">, </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se sídlem: 9. května 1150, 742 58 Příbor</w:t>
      </w:r>
    </w:p>
    <w:p>
      <w:pPr>
        <w:pStyle w:val="Normal"/>
        <w:tabs>
          <w:tab w:val="left" w:pos="360" w:leader="none"/>
          <w:tab w:val="left" w:pos="540" w:leader="none"/>
        </w:tabs>
        <w:spacing w:lineRule="auto" w:line="240" w:before="0" w:after="0"/>
        <w:rPr>
          <w:rFonts w:ascii="Arial" w:hAnsi="Arial" w:cs="Arial"/>
          <w:bCs/>
          <w:color w:val="000000"/>
          <w:sz w:val="20"/>
          <w:szCs w:val="20"/>
        </w:rPr>
      </w:pPr>
      <w:r>
        <w:rPr>
          <w:rFonts w:cs="Arial" w:ascii="Arial" w:hAnsi="Arial"/>
          <w:b/>
          <w:bCs/>
          <w:color w:val="000000"/>
          <w:sz w:val="20"/>
          <w:szCs w:val="20"/>
        </w:rPr>
        <w:t xml:space="preserve">    </w:t>
      </w:r>
      <w:r>
        <w:rPr>
          <w:rFonts w:cs="Arial" w:ascii="Arial" w:hAnsi="Arial"/>
          <w:bCs/>
          <w:color w:val="000000"/>
          <w:sz w:val="20"/>
          <w:szCs w:val="20"/>
        </w:rPr>
        <w:t>IČ: 61624161, DIČ: CZ6856101252</w:t>
      </w:r>
    </w:p>
    <w:p>
      <w:pPr>
        <w:pStyle w:val="Normal"/>
        <w:tabs>
          <w:tab w:val="left" w:pos="360" w:leader="none"/>
          <w:tab w:val="left" w:pos="540" w:leader="none"/>
        </w:tabs>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plátce DPH</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 xml:space="preserve">tel.:605 421 551, e-mail: </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 xml:space="preserve">fyzická osoba podnikající podle živnostenského zákona nezapsaná v obchodním rejstříku </w:t>
      </w:r>
    </w:p>
    <w:p>
      <w:pPr>
        <w:pStyle w:val="Normal"/>
        <w:spacing w:lineRule="auto" w:line="240" w:before="0" w:after="0"/>
        <w:rPr>
          <w:rFonts w:ascii="Arial" w:hAnsi="Arial" w:cs="Arial"/>
          <w:bCs/>
          <w:color w:val="000000"/>
          <w:sz w:val="20"/>
          <w:szCs w:val="20"/>
        </w:rPr>
      </w:pPr>
      <w:r>
        <w:rPr>
          <w:rFonts w:cs="Arial" w:ascii="Arial" w:hAnsi="Arial"/>
          <w:bCs/>
          <w:color w:val="000000"/>
          <w:sz w:val="20"/>
          <w:szCs w:val="20"/>
        </w:rPr>
        <w:t xml:space="preserve">    </w:t>
      </w:r>
      <w:r>
        <w:rPr>
          <w:rFonts w:cs="Arial" w:ascii="Arial" w:hAnsi="Arial"/>
          <w:bCs/>
          <w:color w:val="000000"/>
          <w:sz w:val="20"/>
          <w:szCs w:val="20"/>
        </w:rPr>
        <w:t>(dále jen „</w:t>
      </w:r>
      <w:r>
        <w:rPr>
          <w:rFonts w:cs="Arial" w:ascii="Arial" w:hAnsi="Arial"/>
          <w:b/>
          <w:bCs/>
          <w:color w:val="000000"/>
          <w:sz w:val="20"/>
          <w:szCs w:val="20"/>
        </w:rPr>
        <w:t>Nájemce</w:t>
      </w:r>
      <w:r>
        <w:rPr>
          <w:rFonts w:cs="Arial" w:ascii="Arial" w:hAnsi="Arial"/>
          <w:bCs/>
          <w:color w:val="000000"/>
          <w:sz w:val="20"/>
          <w:szCs w:val="20"/>
        </w:rPr>
        <w:t>“)</w:t>
      </w:r>
    </w:p>
    <w:p>
      <w:pPr>
        <w:pStyle w:val="Normal"/>
        <w:spacing w:before="0" w:after="0"/>
        <w:jc w:val="both"/>
        <w:rPr>
          <w:rFonts w:ascii="Arial" w:hAnsi="Arial" w:cs="Arial"/>
          <w:bCs/>
          <w:color w:val="000000"/>
          <w:sz w:val="20"/>
          <w:szCs w:val="20"/>
        </w:rPr>
      </w:pPr>
      <w:r>
        <w:rPr>
          <w:rFonts w:cs="Arial" w:ascii="Arial" w:hAnsi="Arial"/>
          <w:bCs/>
          <w:color w:val="000000"/>
          <w:sz w:val="20"/>
          <w:szCs w:val="20"/>
        </w:rPr>
      </w:r>
    </w:p>
    <w:p>
      <w:pPr>
        <w:pStyle w:val="Normal"/>
        <w:spacing w:before="0" w:after="0"/>
        <w:jc w:val="both"/>
        <w:rPr>
          <w:rFonts w:ascii="Arial" w:hAnsi="Arial" w:cs="Arial"/>
          <w:bCs/>
          <w:color w:val="000000"/>
          <w:sz w:val="20"/>
          <w:szCs w:val="20"/>
        </w:rPr>
      </w:pPr>
      <w:r>
        <w:rPr>
          <w:rFonts w:cs="Arial" w:ascii="Arial" w:hAnsi="Arial"/>
          <w:bCs/>
          <w:color w:val="000000"/>
          <w:sz w:val="20"/>
          <w:szCs w:val="20"/>
        </w:rPr>
        <w:t>(společně dále jen „</w:t>
      </w:r>
      <w:r>
        <w:rPr>
          <w:rFonts w:cs="Arial" w:ascii="Arial" w:hAnsi="Arial"/>
          <w:b/>
          <w:bCs/>
          <w:color w:val="000000"/>
          <w:sz w:val="20"/>
          <w:szCs w:val="20"/>
        </w:rPr>
        <w:t>Smluvní strany</w:t>
      </w:r>
      <w:r>
        <w:rPr>
          <w:rFonts w:cs="Arial" w:ascii="Arial" w:hAnsi="Arial"/>
          <w:bCs/>
          <w:color w:val="000000"/>
          <w:sz w:val="20"/>
          <w:szCs w:val="20"/>
        </w:rPr>
        <w:t>“)</w:t>
      </w:r>
    </w:p>
    <w:p>
      <w:pPr>
        <w:pStyle w:val="Normal"/>
        <w:spacing w:before="0" w:after="0"/>
        <w:jc w:val="both"/>
        <w:rPr>
          <w:rFonts w:ascii="Arial" w:hAnsi="Arial" w:cs="Arial"/>
          <w:bCs/>
          <w:color w:val="000000"/>
          <w:sz w:val="20"/>
          <w:szCs w:val="20"/>
        </w:rPr>
      </w:pPr>
      <w:r>
        <w:rPr>
          <w:rFonts w:cs="Arial" w:ascii="Arial" w:hAnsi="Arial"/>
          <w:bCs/>
          <w:color w:val="000000"/>
          <w:sz w:val="20"/>
          <w:szCs w:val="20"/>
        </w:rPr>
      </w:r>
    </w:p>
    <w:p>
      <w:pPr>
        <w:pStyle w:val="Normal"/>
        <w:spacing w:before="0" w:after="0"/>
        <w:jc w:val="center"/>
        <w:rPr>
          <w:rFonts w:ascii="Arial" w:hAnsi="Arial" w:cs="Arial"/>
          <w:bCs/>
          <w:color w:val="000000"/>
          <w:sz w:val="20"/>
          <w:szCs w:val="20"/>
        </w:rPr>
      </w:pPr>
      <w:r>
        <w:rPr>
          <w:rFonts w:cs="Arial" w:ascii="Arial" w:hAnsi="Arial"/>
          <w:bCs/>
          <w:color w:val="000000"/>
          <w:sz w:val="20"/>
          <w:szCs w:val="20"/>
        </w:rPr>
        <w:t>uzavřely tuto</w:t>
      </w:r>
    </w:p>
    <w:p>
      <w:pPr>
        <w:pStyle w:val="Normal"/>
        <w:spacing w:before="0" w:after="0"/>
        <w:jc w:val="center"/>
        <w:rPr>
          <w:rFonts w:ascii="Arial" w:hAnsi="Arial" w:cs="Arial"/>
          <w:b/>
          <w:b/>
          <w:bCs/>
          <w:color w:val="000000"/>
          <w:sz w:val="20"/>
          <w:szCs w:val="20"/>
        </w:rPr>
      </w:pPr>
      <w:r>
        <w:rPr>
          <w:rFonts w:cs="Arial" w:ascii="Arial" w:hAnsi="Arial"/>
          <w:b/>
          <w:bCs/>
          <w:color w:val="000000"/>
          <w:sz w:val="20"/>
          <w:szCs w:val="20"/>
        </w:rPr>
        <w:t xml:space="preserve">smlouvu o nájmu prostoru sloužícího k podnikání </w:t>
      </w:r>
    </w:p>
    <w:p>
      <w:pPr>
        <w:pStyle w:val="Normal"/>
        <w:spacing w:before="0" w:after="0"/>
        <w:jc w:val="center"/>
        <w:rPr>
          <w:rFonts w:ascii="Arial" w:hAnsi="Arial" w:cs="Arial"/>
          <w:b/>
          <w:b/>
          <w:bCs/>
          <w:color w:val="000000"/>
          <w:sz w:val="20"/>
          <w:szCs w:val="20"/>
        </w:rPr>
      </w:pPr>
      <w:r>
        <w:rPr>
          <w:rFonts w:cs="Arial" w:ascii="Arial" w:hAnsi="Arial"/>
          <w:b/>
          <w:bCs/>
          <w:color w:val="000000"/>
          <w:sz w:val="20"/>
          <w:szCs w:val="20"/>
        </w:rPr>
        <w:t xml:space="preserve">a plnění spojených s užíváním pronajatého prostoru </w:t>
      </w:r>
    </w:p>
    <w:p>
      <w:pPr>
        <w:pStyle w:val="Normal"/>
        <w:spacing w:before="0" w:after="0"/>
        <w:jc w:val="center"/>
        <w:rPr>
          <w:rFonts w:ascii="Arial" w:hAnsi="Arial" w:cs="Arial"/>
          <w:bCs/>
          <w:color w:val="000000"/>
          <w:sz w:val="20"/>
          <w:szCs w:val="20"/>
        </w:rPr>
      </w:pPr>
      <w:r>
        <w:rPr>
          <w:rFonts w:cs="Arial" w:ascii="Arial" w:hAnsi="Arial"/>
          <w:bCs/>
          <w:color w:val="000000"/>
          <w:sz w:val="20"/>
          <w:szCs w:val="20"/>
        </w:rPr>
        <w:t xml:space="preserve">(dále jen </w:t>
      </w:r>
      <w:r>
        <w:rPr>
          <w:rFonts w:ascii="Arial" w:hAnsi="Arial"/>
          <w:color w:val="000000"/>
          <w:sz w:val="20"/>
        </w:rPr>
        <w:t>„</w:t>
      </w:r>
      <w:r>
        <w:rPr>
          <w:rFonts w:cs="Arial" w:ascii="Arial" w:hAnsi="Arial"/>
          <w:b/>
          <w:bCs/>
          <w:color w:val="000000"/>
          <w:sz w:val="20"/>
          <w:szCs w:val="20"/>
        </w:rPr>
        <w:t>Smlouva</w:t>
      </w:r>
      <w:r>
        <w:rPr>
          <w:rFonts w:cs="Arial" w:ascii="Arial" w:hAnsi="Arial"/>
          <w:bCs/>
          <w:color w:val="000000"/>
          <w:sz w:val="20"/>
          <w:szCs w:val="20"/>
        </w:rPr>
        <w:t>“)</w:t>
      </w:r>
    </w:p>
    <w:p>
      <w:pPr>
        <w:pStyle w:val="Normal"/>
        <w:spacing w:before="0" w:after="0"/>
        <w:jc w:val="center"/>
        <w:rPr>
          <w:rFonts w:ascii="Arial" w:hAnsi="Arial" w:cs="Arial"/>
          <w:b/>
          <w:b/>
          <w:bCs/>
          <w:color w:val="000000"/>
          <w:sz w:val="20"/>
          <w:szCs w:val="20"/>
        </w:rPr>
      </w:pPr>
      <w:r>
        <w:rPr>
          <w:rFonts w:cs="Arial" w:ascii="Arial" w:hAnsi="Arial"/>
          <w:b/>
          <w:bCs/>
          <w:color w:val="000000"/>
          <w:sz w:val="20"/>
          <w:szCs w:val="20"/>
        </w:rPr>
        <w:t>Preambule</w:t>
      </w:r>
    </w:p>
    <w:p>
      <w:pPr>
        <w:pStyle w:val="Normal"/>
        <w:spacing w:before="0" w:after="0"/>
        <w:jc w:val="both"/>
        <w:rPr>
          <w:rFonts w:ascii="Arial" w:hAnsi="Arial"/>
          <w:color w:val="000000"/>
          <w:sz w:val="20"/>
        </w:rPr>
      </w:pPr>
      <w:r>
        <w:rPr>
          <w:rFonts w:ascii="Arial" w:hAnsi="Arial"/>
          <w:color w:val="000000"/>
          <w:sz w:val="20"/>
        </w:rPr>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t>Pronajímatel je podle článku VI, bodu 2., písmeno b) své zřizovací listiny ze dne 14.09.2009 ve znění následných dodatků oprávněn pronajmout svěřený nemovitý majetek a podle článku VI, bodu 3., písmena d) oprávněn pronajmout movitý majetek.</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I.</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Předmět nájmu</w:t>
      </w:r>
    </w:p>
    <w:p>
      <w:pPr>
        <w:pStyle w:val="Normal"/>
        <w:spacing w:lineRule="auto" w:line="240" w:before="0" w:after="0"/>
        <w:jc w:val="center"/>
        <w:rPr>
          <w:rFonts w:ascii="Arial" w:hAnsi="Arial"/>
          <w:color w:val="000000"/>
          <w:sz w:val="20"/>
        </w:rPr>
      </w:pPr>
      <w:r>
        <w:rPr>
          <w:rFonts w:ascii="Arial" w:hAnsi="Arial"/>
          <w:color w:val="000000"/>
          <w:sz w:val="20"/>
        </w:rPr>
      </w:r>
    </w:p>
    <w:p>
      <w:pPr>
        <w:pStyle w:val="Normal"/>
        <w:numPr>
          <w:ilvl w:val="0"/>
          <w:numId w:val="1"/>
        </w:numPr>
        <w:tabs>
          <w:tab w:val="left" w:pos="-360" w:leader="none"/>
        </w:tabs>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Pronajímatel se touto Smlouvou zavazuje přenechat Nájemci věc uvedenou v článku II. této Smlouvy k dočasnému užívání a Nájemce se zavazuje platit za to Pronajímateli nájemné. </w:t>
      </w:r>
    </w:p>
    <w:p>
      <w:pPr>
        <w:pStyle w:val="NoSpacing"/>
        <w:rPr/>
      </w:pPr>
      <w:r>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II.</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Věc (předmět nájmu)</w:t>
      </w:r>
    </w:p>
    <w:p>
      <w:pPr>
        <w:pStyle w:val="NoSpacing"/>
        <w:rPr/>
      </w:pPr>
      <w:r>
        <w:rPr/>
      </w:r>
    </w:p>
    <w:p>
      <w:pPr>
        <w:pStyle w:val="Normal"/>
        <w:numPr>
          <w:ilvl w:val="0"/>
          <w:numId w:val="6"/>
        </w:numPr>
        <w:spacing w:lineRule="auto" w:line="240" w:before="0" w:after="0"/>
        <w:rPr>
          <w:rFonts w:ascii="Arial" w:hAnsi="Arial" w:cs="Arial"/>
          <w:bCs/>
          <w:color w:val="000000"/>
          <w:sz w:val="20"/>
          <w:szCs w:val="20"/>
        </w:rPr>
      </w:pPr>
      <w:r>
        <w:rPr>
          <w:rFonts w:cs="Arial" w:ascii="Arial" w:hAnsi="Arial"/>
          <w:bCs/>
          <w:color w:val="000000"/>
          <w:sz w:val="20"/>
          <w:szCs w:val="20"/>
        </w:rPr>
        <w:t>Pronajímanou nemovitou věcí se dle této smlouvy rozumí prostor nacházející se v 1. PP objektu č.p. 612, ul. Frýdlantská, k.ú. Místek, o celkové výměře 1.077 m² (dále jen „</w:t>
      </w:r>
      <w:r>
        <w:rPr>
          <w:rFonts w:cs="Arial" w:ascii="Arial" w:hAnsi="Arial"/>
          <w:b/>
          <w:bCs/>
          <w:color w:val="000000"/>
          <w:sz w:val="20"/>
          <w:szCs w:val="20"/>
        </w:rPr>
        <w:t>Pronajatý prostor</w:t>
      </w:r>
      <w:r>
        <w:rPr>
          <w:rFonts w:cs="Arial" w:ascii="Arial" w:hAnsi="Arial"/>
          <w:bCs/>
          <w:color w:val="000000"/>
          <w:sz w:val="20"/>
          <w:szCs w:val="20"/>
        </w:rPr>
        <w:t>“</w:t>
      </w:r>
      <w:r>
        <w:rPr>
          <w:rFonts w:cs="Arial" w:ascii="Arial" w:hAnsi="Arial"/>
          <w:b/>
          <w:bCs/>
          <w:color w:val="000000"/>
          <w:sz w:val="20"/>
          <w:szCs w:val="20"/>
        </w:rPr>
        <w:t xml:space="preserve"> </w:t>
      </w:r>
      <w:r>
        <w:rPr>
          <w:rFonts w:cs="Arial" w:ascii="Arial" w:hAnsi="Arial"/>
          <w:bCs/>
          <w:color w:val="000000"/>
          <w:sz w:val="20"/>
          <w:szCs w:val="20"/>
        </w:rPr>
        <w:t>případně</w:t>
      </w:r>
      <w:r>
        <w:rPr>
          <w:rFonts w:cs="Arial" w:ascii="Arial" w:hAnsi="Arial"/>
          <w:b/>
          <w:bCs/>
          <w:color w:val="000000"/>
          <w:sz w:val="20"/>
          <w:szCs w:val="20"/>
        </w:rPr>
        <w:t xml:space="preserve"> </w:t>
      </w:r>
      <w:r>
        <w:rPr>
          <w:rFonts w:cs="Arial" w:ascii="Arial" w:hAnsi="Arial"/>
          <w:bCs/>
          <w:color w:val="000000"/>
          <w:sz w:val="20"/>
          <w:szCs w:val="20"/>
        </w:rPr>
        <w:t>„</w:t>
      </w:r>
      <w:r>
        <w:rPr>
          <w:rFonts w:cs="Arial" w:ascii="Arial" w:hAnsi="Arial"/>
          <w:b/>
          <w:bCs/>
          <w:color w:val="000000"/>
          <w:sz w:val="20"/>
          <w:szCs w:val="20"/>
        </w:rPr>
        <w:t>Předmět nájmu</w:t>
      </w:r>
      <w:r>
        <w:rPr>
          <w:rFonts w:cs="Arial" w:ascii="Arial" w:hAnsi="Arial"/>
          <w:bCs/>
          <w:color w:val="000000"/>
          <w:sz w:val="20"/>
          <w:szCs w:val="20"/>
        </w:rPr>
        <w:t>“).</w:t>
        <w:br/>
      </w:r>
    </w:p>
    <w:p>
      <w:pPr>
        <w:pStyle w:val="Normal"/>
        <w:numPr>
          <w:ilvl w:val="0"/>
          <w:numId w:val="6"/>
        </w:numPr>
        <w:spacing w:lineRule="auto" w:line="240" w:before="0" w:after="0"/>
        <w:jc w:val="both"/>
        <w:rPr>
          <w:rFonts w:ascii="Arial" w:hAnsi="Arial" w:cs="Arial"/>
          <w:bCs/>
          <w:color w:val="000000"/>
          <w:sz w:val="20"/>
          <w:szCs w:val="20"/>
        </w:rPr>
      </w:pPr>
      <w:r>
        <w:rPr>
          <w:rFonts w:cs="Arial" w:ascii="Arial" w:hAnsi="Arial"/>
          <w:bCs/>
          <w:color w:val="000000"/>
          <w:sz w:val="20"/>
          <w:szCs w:val="20"/>
        </w:rPr>
        <w:t>Nebytové prostory tvoří prostory uvedené na evidenčním listě č.1, který je nedílnou součástí této smlouvy (</w:t>
      </w:r>
      <w:r>
        <w:rPr>
          <w:rFonts w:cs="Arial" w:ascii="Arial" w:hAnsi="Arial"/>
          <w:bCs/>
          <w:color w:val="000000" w:themeColor="text1"/>
          <w:sz w:val="20"/>
          <w:szCs w:val="20"/>
        </w:rPr>
        <w:t>příloha č.1).</w:t>
      </w:r>
    </w:p>
    <w:p>
      <w:pPr>
        <w:pStyle w:val="Normal"/>
        <w:spacing w:lineRule="auto" w:line="240" w:before="0" w:after="0"/>
        <w:ind w:left="360" w:hanging="0"/>
        <w:jc w:val="center"/>
        <w:rPr>
          <w:rFonts w:ascii="Arial" w:hAnsi="Arial" w:cs="Arial"/>
          <w:b/>
          <w:b/>
          <w:bCs/>
          <w:color w:val="000000"/>
          <w:sz w:val="20"/>
          <w:szCs w:val="20"/>
        </w:rPr>
      </w:pPr>
      <w:r>
        <w:rPr>
          <w:rFonts w:cs="Arial" w:ascii="Arial" w:hAnsi="Arial"/>
          <w:b/>
          <w:bCs/>
          <w:color w:val="000000"/>
          <w:sz w:val="20"/>
          <w:szCs w:val="20"/>
        </w:rPr>
      </w:r>
    </w:p>
    <w:p>
      <w:pPr>
        <w:pStyle w:val="Normal"/>
        <w:spacing w:lineRule="auto" w:line="240" w:before="0" w:after="0"/>
        <w:ind w:left="360" w:hanging="0"/>
        <w:jc w:val="center"/>
        <w:rPr>
          <w:rFonts w:ascii="Arial" w:hAnsi="Arial" w:cs="Arial"/>
          <w:b/>
          <w:b/>
          <w:bCs/>
          <w:color w:val="000000"/>
          <w:sz w:val="20"/>
          <w:szCs w:val="20"/>
        </w:rPr>
      </w:pPr>
      <w:r>
        <w:rPr>
          <w:rFonts w:cs="Arial" w:ascii="Arial" w:hAnsi="Arial"/>
          <w:b/>
          <w:bCs/>
          <w:color w:val="000000"/>
          <w:sz w:val="20"/>
          <w:szCs w:val="20"/>
        </w:rPr>
        <w:t>Článek III.</w:t>
      </w:r>
    </w:p>
    <w:p>
      <w:pPr>
        <w:pStyle w:val="Normal"/>
        <w:spacing w:lineRule="auto" w:line="240" w:before="0" w:after="0"/>
        <w:ind w:left="360" w:hanging="0"/>
        <w:jc w:val="center"/>
        <w:rPr>
          <w:rFonts w:ascii="Arial" w:hAnsi="Arial" w:cs="Arial"/>
          <w:b/>
          <w:b/>
          <w:bCs/>
          <w:color w:val="000000"/>
          <w:sz w:val="20"/>
          <w:szCs w:val="20"/>
        </w:rPr>
      </w:pPr>
      <w:r>
        <w:rPr>
          <w:rFonts w:cs="Arial" w:ascii="Arial" w:hAnsi="Arial"/>
          <w:b/>
          <w:bCs/>
          <w:color w:val="000000"/>
          <w:sz w:val="20"/>
          <w:szCs w:val="20"/>
        </w:rPr>
        <w:t xml:space="preserve">Účel nájmu </w:t>
      </w:r>
    </w:p>
    <w:p>
      <w:pPr>
        <w:pStyle w:val="NoSpacing"/>
        <w:rPr/>
      </w:pPr>
      <w:r>
        <w:rPr/>
      </w:r>
    </w:p>
    <w:p>
      <w:pPr>
        <w:pStyle w:val="Normal"/>
        <w:numPr>
          <w:ilvl w:val="0"/>
          <w:numId w:val="7"/>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Nájemce bude Předmět nájmu užívat ke své podnikatelské činnosti - </w:t>
      </w:r>
      <w:r>
        <w:rPr>
          <w:rFonts w:cs="Arial" w:ascii="Arial" w:hAnsi="Arial"/>
          <w:bCs/>
          <w:color w:val="000000" w:themeColor="text1"/>
          <w:sz w:val="20"/>
          <w:szCs w:val="20"/>
        </w:rPr>
        <w:t>prodeji nábytku.</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7"/>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Nájemce je oprávněn provozovat svou podnikatelskou činnost dle svého předmětu podnikání uvedeného na výpise ze Živnostenského rejstříku (Velkoobchod a maloobchod) tvořícího přílohu </w:t>
        <w:br/>
      </w:r>
      <w:r>
        <w:rPr>
          <w:rFonts w:cs="Arial" w:ascii="Arial" w:hAnsi="Arial"/>
          <w:bCs/>
          <w:color w:val="000000" w:themeColor="text1"/>
          <w:sz w:val="20"/>
          <w:szCs w:val="20"/>
        </w:rPr>
        <w:t>č. 2 této Smlouvy.</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7"/>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Změnit dohodnutý účel užívání Předmětu nájmu může Nájemce vždy pouze s předchozím souhlasem Pronajímatele, případně s Odborem územního rozvoje a stavebního řádu Magistrátu města Frýdku-Místku s doložením stanovisek příslušných organizací, a to vše vždy na vlastní náklady.</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IV.</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Doba nájmu</w:t>
      </w:r>
    </w:p>
    <w:p>
      <w:pPr>
        <w:pStyle w:val="Normal"/>
        <w:spacing w:lineRule="auto" w:line="240" w:before="0" w:after="0"/>
        <w:jc w:val="center"/>
        <w:rPr>
          <w:rFonts w:ascii="Arial" w:hAnsi="Arial" w:cs="Arial"/>
          <w:bCs/>
          <w:color w:val="000000"/>
          <w:sz w:val="20"/>
          <w:szCs w:val="20"/>
        </w:rPr>
      </w:pPr>
      <w:r>
        <w:rPr>
          <w:rFonts w:cs="Arial" w:ascii="Arial" w:hAnsi="Arial"/>
          <w:bCs/>
          <w:color w:val="000000"/>
          <w:sz w:val="20"/>
          <w:szCs w:val="20"/>
        </w:rPr>
      </w:r>
    </w:p>
    <w:p>
      <w:pPr>
        <w:pStyle w:val="Normal"/>
        <w:numPr>
          <w:ilvl w:val="0"/>
          <w:numId w:val="3"/>
        </w:numPr>
        <w:spacing w:lineRule="auto" w:line="240" w:before="0" w:after="0"/>
        <w:ind w:left="360" w:hanging="360"/>
        <w:jc w:val="both"/>
        <w:rPr/>
      </w:pPr>
      <w:r>
        <w:rPr>
          <w:rFonts w:cs="Arial" w:ascii="Arial" w:hAnsi="Arial"/>
          <w:bCs/>
          <w:color w:val="000000"/>
          <w:sz w:val="20"/>
          <w:szCs w:val="20"/>
        </w:rPr>
        <w:t>Tato Smlouva se uzavírá na dobu určitou, a to ode dne 01.08.2020 do 31.07.2021 (dále jen „</w:t>
      </w:r>
      <w:r>
        <w:rPr>
          <w:rFonts w:cs="Arial" w:ascii="Arial" w:hAnsi="Arial"/>
          <w:b/>
          <w:bCs/>
          <w:color w:val="000000"/>
          <w:sz w:val="20"/>
          <w:szCs w:val="20"/>
        </w:rPr>
        <w:t>Doba</w:t>
      </w:r>
      <w:r>
        <w:rPr>
          <w:rFonts w:cs="Arial" w:ascii="Arial" w:hAnsi="Arial"/>
          <w:bCs/>
          <w:color w:val="000000"/>
          <w:sz w:val="20"/>
          <w:szCs w:val="20"/>
        </w:rPr>
        <w:t xml:space="preserve"> </w:t>
      </w:r>
      <w:r>
        <w:rPr>
          <w:rFonts w:cs="Arial" w:ascii="Arial" w:hAnsi="Arial"/>
          <w:b/>
          <w:bCs/>
          <w:color w:val="000000"/>
          <w:sz w:val="20"/>
          <w:szCs w:val="20"/>
        </w:rPr>
        <w:t>nájmu</w:t>
      </w:r>
      <w:r>
        <w:rPr>
          <w:rFonts w:cs="Arial" w:ascii="Arial" w:hAnsi="Arial"/>
          <w:bCs/>
          <w:color w:val="000000"/>
          <w:sz w:val="20"/>
          <w:szCs w:val="20"/>
        </w:rPr>
        <w:t>“).</w:t>
      </w:r>
    </w:p>
    <w:p>
      <w:pPr>
        <w:pStyle w:val="NoSpacing"/>
        <w:rPr/>
      </w:pPr>
      <w:r>
        <w:rPr/>
      </w:r>
    </w:p>
    <w:p>
      <w:pPr>
        <w:pStyle w:val="Normal"/>
        <w:numPr>
          <w:ilvl w:val="0"/>
          <w:numId w:val="3"/>
        </w:numPr>
        <w:spacing w:lineRule="auto" w:line="240" w:before="0" w:after="0"/>
        <w:ind w:left="360" w:hanging="360"/>
        <w:jc w:val="both"/>
        <w:rPr/>
      </w:pPr>
      <w:r>
        <w:rPr>
          <w:rFonts w:cs="Arial" w:ascii="Arial" w:hAnsi="Arial"/>
          <w:bCs/>
          <w:color w:val="000000"/>
          <w:sz w:val="20"/>
          <w:szCs w:val="20"/>
        </w:rPr>
        <w:t>Ke dni skončení nájmu, tj. k 31.07.2021, je Nájemce povinen Pronajatý prostor vyklidit a vrátit Pronajímateli, pokud se Smluvní strany nedohodnou jinak.</w:t>
      </w:r>
    </w:p>
    <w:p>
      <w:pPr>
        <w:pStyle w:val="NoSpacing"/>
        <w:rPr/>
      </w:pPr>
      <w:r>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V.</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 xml:space="preserve">Výše nájemného a způsob placení </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r>
    </w:p>
    <w:p>
      <w:pPr>
        <w:pStyle w:val="Normal"/>
        <w:numPr>
          <w:ilvl w:val="0"/>
          <w:numId w:val="2"/>
        </w:numPr>
        <w:tabs>
          <w:tab w:val="left" w:pos="0" w:leader="none"/>
        </w:tabs>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Smluvní strany sjednávají za užívání Pronajatého prostoru dle článku II. této Smlouvy nájemné </w:t>
      </w:r>
      <w:r>
        <w:rPr>
          <w:rFonts w:cs="Arial" w:ascii="Arial" w:hAnsi="Arial"/>
          <w:bCs/>
          <w:color w:val="000000" w:themeColor="text1"/>
          <w:sz w:val="20"/>
          <w:szCs w:val="20"/>
        </w:rPr>
        <w:t>ve  výši 348.000 Kč (slovy: třista_čtyřicet_osm_tisíc__korun českých) za rok. Měsíční nájemné za Pronajatý prostor tedy činí 29.000 Kč (slovy: dvacet_devět_tisíc_korun českých</w:t>
      </w:r>
      <w:r>
        <w:rPr>
          <w:rFonts w:cs="Arial" w:ascii="Arial" w:hAnsi="Arial"/>
          <w:bCs/>
          <w:color w:val="000000"/>
          <w:sz w:val="20"/>
          <w:szCs w:val="20"/>
        </w:rPr>
        <w:t>) plus příslušná výše DPH.</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2"/>
        </w:numPr>
        <w:tabs>
          <w:tab w:val="left" w:pos="360" w:leader="none"/>
        </w:tabs>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Nájemce je povinen platit sjednané nájemné počínaje od 01.08.2020.</w:t>
      </w:r>
    </w:p>
    <w:p>
      <w:pPr>
        <w:pStyle w:val="NoSpacing"/>
        <w:jc w:val="both"/>
        <w:rPr/>
      </w:pPr>
      <w:r>
        <w:rPr/>
      </w:r>
    </w:p>
    <w:p>
      <w:pPr>
        <w:pStyle w:val="Normal"/>
        <w:numPr>
          <w:ilvl w:val="0"/>
          <w:numId w:val="2"/>
        </w:numPr>
        <w:tabs>
          <w:tab w:val="left" w:pos="0" w:leader="none"/>
        </w:tabs>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V případě, že nájemní vztah netrvá celou Dobu nájmu, činí nájemné za dobu, po kterou nájemní vztah trvá, poměrnou část sjednaného nájemného, a to vždy za celý byť jen započatý měsíc.</w:t>
      </w:r>
    </w:p>
    <w:p>
      <w:pPr>
        <w:pStyle w:val="NoSpacing"/>
        <w:jc w:val="both"/>
        <w:rPr/>
      </w:pPr>
      <w:r>
        <w:rPr/>
      </w:r>
    </w:p>
    <w:p>
      <w:pPr>
        <w:pStyle w:val="Normal"/>
        <w:numPr>
          <w:ilvl w:val="0"/>
          <w:numId w:val="2"/>
        </w:numPr>
        <w:tabs>
          <w:tab w:val="left" w:pos="360" w:leader="none"/>
        </w:tabs>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Nájemce se zavazuje Pronajímateli zaplatit sjednané nájemné ve výši stanovené touto Smlouvou v článku V. odst. 1 měsíčně do dvacátého_páteho (25.) dne měsíce za který je nájemné hrazeno </w:t>
        <w:br/>
        <w:t xml:space="preserve">a to bezhotovostním převodem (vkladem) na účet Pronajímatele, číslo účtu: 244982290, kód 0300, vedený u ČSOB, kde variabilní symbol (VS) je číslo daňového dokladu, nebo úhradou v hotovosti do pokladny v sídle Pronajímatele. Nájemci bude vystaven daňový doklad, který musí obsahovat veškeré náležitosti stanovené zákonem. </w:t>
      </w:r>
    </w:p>
    <w:p>
      <w:pPr>
        <w:pStyle w:val="NoSpacing"/>
        <w:jc w:val="both"/>
        <w:rPr/>
      </w:pPr>
      <w:r>
        <w:rPr/>
      </w:r>
    </w:p>
    <w:p>
      <w:pPr>
        <w:pStyle w:val="Normal"/>
        <w:numPr>
          <w:ilvl w:val="0"/>
          <w:numId w:val="2"/>
        </w:numPr>
        <w:tabs>
          <w:tab w:val="left" w:pos="360" w:leader="none"/>
        </w:tabs>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Nájemné se považuje za zaplacené bezhotovostním převodem (vkladem) dnem připsání platby </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t xml:space="preserve">na účet Pronajímatele. </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2"/>
        </w:numPr>
        <w:tabs>
          <w:tab w:val="left" w:pos="360" w:leader="none"/>
        </w:tabs>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V případě, že Nájemce nebude dodržovat stanovené termíny úhrad nájemného, je povinen Nájemce uhradit Pronajímateli zákonný úrok z prodlení, jehož výše je dle § 1970 zákona č. 89/2012 Sb., občanský zákoník, stanovena nařízením vlády. Smluvní strany mezi sebou dále dle § 1806 zákona č. 89/2012 Sb., občanský zákoník, ujednaly, že úrok z prodlení je možno požadovat i za prodlení s úhradou příslušenství pohledávky. </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VI.</w:t>
      </w:r>
    </w:p>
    <w:p>
      <w:pPr>
        <w:pStyle w:val="Normal"/>
        <w:spacing w:lineRule="auto" w:line="240" w:before="0" w:after="0"/>
        <w:ind w:left="360" w:hanging="0"/>
        <w:jc w:val="center"/>
        <w:rPr>
          <w:rFonts w:ascii="Arial" w:hAnsi="Arial" w:cs="Arial"/>
          <w:b/>
          <w:b/>
          <w:bCs/>
          <w:color w:val="000000"/>
          <w:sz w:val="20"/>
          <w:szCs w:val="20"/>
        </w:rPr>
      </w:pPr>
      <w:r>
        <w:rPr>
          <w:rFonts w:cs="Arial" w:ascii="Arial" w:hAnsi="Arial"/>
          <w:b/>
          <w:bCs/>
          <w:color w:val="000000"/>
          <w:sz w:val="20"/>
          <w:szCs w:val="20"/>
        </w:rPr>
        <w:t>Plnění spojená s užíváním pronajatého prostoru (služby)</w:t>
      </w:r>
    </w:p>
    <w:p>
      <w:pPr>
        <w:pStyle w:val="Normal"/>
        <w:spacing w:lineRule="auto" w:line="240" w:before="0" w:after="0"/>
        <w:ind w:left="360" w:hanging="0"/>
        <w:jc w:val="center"/>
        <w:rPr>
          <w:rFonts w:ascii="Arial" w:hAnsi="Arial" w:cs="Arial"/>
          <w:b/>
          <w:b/>
          <w:bCs/>
          <w:color w:val="000000"/>
          <w:sz w:val="20"/>
          <w:szCs w:val="20"/>
        </w:rPr>
      </w:pPr>
      <w:r>
        <w:rPr>
          <w:rFonts w:cs="Arial" w:ascii="Arial" w:hAnsi="Arial"/>
          <w:b/>
          <w:bCs/>
          <w:color w:val="000000"/>
          <w:sz w:val="20"/>
          <w:szCs w:val="20"/>
        </w:rPr>
      </w:r>
    </w:p>
    <w:p>
      <w:pPr>
        <w:pStyle w:val="Normal"/>
        <w:numPr>
          <w:ilvl w:val="0"/>
          <w:numId w:val="8"/>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Pronajímatel se zavazuje, že po dobu nájmu zajistí následující plnění a související služby spojené s užíváním Pronajatého prostoru řádně, v množství a kvalitě odpovídající obvyklé potřebě Nájemce (dále jen služby).</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8"/>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Souvisejícími službami spojenými s užíváním Pronajatého prostoru se rozumí dodávka tepla, pitné vody, stočné a zneškodnění komunálního odpadu vzniklého z běžné činnosti Nájemce v souvislosti s užíváním Pronajatého prostoru.</w:t>
      </w:r>
    </w:p>
    <w:p>
      <w:pPr>
        <w:pStyle w:val="Normal"/>
        <w:spacing w:lineRule="auto" w:line="240" w:before="0" w:after="0"/>
        <w:jc w:val="both"/>
        <w:rPr>
          <w:rFonts w:ascii="Arial" w:hAnsi="Arial" w:eastAsia="Calibri"/>
          <w:color w:val="000000"/>
          <w:sz w:val="20"/>
          <w:lang w:val="en-US" w:bidi="en-US"/>
        </w:rPr>
      </w:pPr>
      <w:r>
        <w:rPr>
          <w:rFonts w:eastAsia="Calibri" w:ascii="Arial" w:hAnsi="Arial"/>
          <w:color w:val="000000"/>
          <w:sz w:val="20"/>
          <w:lang w:val="en-US" w:bidi="en-US"/>
        </w:rPr>
      </w:r>
    </w:p>
    <w:p>
      <w:pPr>
        <w:pStyle w:val="Normal"/>
        <w:numPr>
          <w:ilvl w:val="0"/>
          <w:numId w:val="8"/>
        </w:numPr>
        <w:spacing w:lineRule="auto" w:line="240" w:before="0" w:after="0"/>
        <w:ind w:left="360" w:hanging="360"/>
        <w:jc w:val="both"/>
        <w:rPr>
          <w:rFonts w:ascii="Arial" w:hAnsi="Arial"/>
          <w:color w:val="000000"/>
          <w:sz w:val="20"/>
        </w:rPr>
      </w:pPr>
      <w:r>
        <w:rPr>
          <w:rFonts w:ascii="Arial" w:hAnsi="Arial"/>
          <w:color w:val="000000"/>
          <w:sz w:val="20"/>
        </w:rPr>
        <w:t>Nájemce se zavazuje hradit vodné a stočné čtvrtletně dle skutečnosti na základě vydané faktury pronajímatele. Částka vodného a stočného bude vypočtena podle množství skutečně odebrané vody, které bude zjištěno na vodoměru v pronajímaných prostorách. Stav bude odečítán k 30.9, 31.12.2020, 31.3.2021 a 31.07.2021.</w:t>
      </w:r>
    </w:p>
    <w:p>
      <w:pPr>
        <w:pStyle w:val="Normal"/>
        <w:spacing w:lineRule="auto" w:line="240" w:before="0" w:after="0"/>
        <w:ind w:left="360" w:hanging="0"/>
        <w:jc w:val="both"/>
        <w:rPr>
          <w:rFonts w:ascii="Arial" w:hAnsi="Arial"/>
          <w:color w:val="000000"/>
          <w:sz w:val="20"/>
        </w:rPr>
      </w:pPr>
      <w:r>
        <w:rPr>
          <w:rFonts w:ascii="Arial" w:hAnsi="Arial"/>
          <w:color w:val="000000"/>
          <w:sz w:val="20"/>
        </w:rPr>
        <w:t xml:space="preserve"> </w:t>
      </w:r>
    </w:p>
    <w:p>
      <w:pPr>
        <w:pStyle w:val="Normal"/>
        <w:numPr>
          <w:ilvl w:val="0"/>
          <w:numId w:val="8"/>
        </w:numPr>
        <w:spacing w:lineRule="auto" w:line="240" w:before="0" w:after="0"/>
        <w:ind w:left="360" w:hanging="360"/>
        <w:jc w:val="both"/>
        <w:rPr>
          <w:rFonts w:ascii="Arial" w:hAnsi="Arial"/>
          <w:color w:val="000000"/>
          <w:sz w:val="20"/>
        </w:rPr>
      </w:pPr>
      <w:r>
        <w:rPr>
          <w:rFonts w:ascii="Arial" w:hAnsi="Arial"/>
          <w:color w:val="000000"/>
          <w:sz w:val="20"/>
        </w:rPr>
        <w:t>Nájemce se zavazuje hradit teplo na základě měsíční zálohy ve výši 8.000 Kč (slovy osm_tisíc korun) plus příslušná výše DPH. Po zjištění denostupňů a spotřebovaných GJ bude provedeno vyúčtování roku 2020 do konce ledna 2021.</w:t>
      </w:r>
    </w:p>
    <w:p>
      <w:pPr>
        <w:pStyle w:val="Normal"/>
        <w:spacing w:lineRule="auto" w:line="240" w:before="0" w:after="0"/>
        <w:ind w:left="360" w:hanging="0"/>
        <w:jc w:val="both"/>
        <w:rPr>
          <w:rFonts w:ascii="Arial" w:hAnsi="Arial"/>
          <w:color w:val="000000"/>
          <w:sz w:val="20"/>
        </w:rPr>
      </w:pPr>
      <w:r>
        <w:rPr>
          <w:rFonts w:ascii="Arial" w:hAnsi="Arial"/>
          <w:color w:val="000000"/>
          <w:sz w:val="20"/>
        </w:rPr>
      </w:r>
    </w:p>
    <w:p>
      <w:pPr>
        <w:pStyle w:val="Normal"/>
        <w:numPr>
          <w:ilvl w:val="0"/>
          <w:numId w:val="8"/>
        </w:numPr>
        <w:spacing w:lineRule="auto" w:line="240" w:before="0" w:after="0"/>
        <w:ind w:left="360" w:hanging="360"/>
        <w:jc w:val="both"/>
        <w:rPr>
          <w:rFonts w:ascii="Arial" w:hAnsi="Arial"/>
          <w:color w:val="000000"/>
          <w:sz w:val="20"/>
        </w:rPr>
      </w:pPr>
      <w:r>
        <w:rPr>
          <w:rFonts w:cs="Arial" w:ascii="Arial" w:hAnsi="Arial"/>
          <w:bCs/>
          <w:color w:val="000000"/>
          <w:sz w:val="20"/>
          <w:szCs w:val="20"/>
        </w:rPr>
        <w:t xml:space="preserve">Nájemce se zavazuje hradit měsíčně paušální částku </w:t>
      </w:r>
      <w:r>
        <w:rPr>
          <w:rFonts w:ascii="Arial" w:hAnsi="Arial"/>
          <w:color w:val="000000"/>
          <w:sz w:val="20"/>
        </w:rPr>
        <w:t>za odvoz a zneškodnění komunálního odpadu ve výši 105 Kč (slovy: jednosto_pět_korun českých) plus příslušná výše DPH.</w:t>
      </w:r>
    </w:p>
    <w:p>
      <w:pPr>
        <w:pStyle w:val="NoSpacing"/>
        <w:rPr/>
      </w:pPr>
      <w:r>
        <w:rPr/>
      </w:r>
    </w:p>
    <w:p>
      <w:pPr>
        <w:pStyle w:val="Normal"/>
        <w:numPr>
          <w:ilvl w:val="0"/>
          <w:numId w:val="8"/>
        </w:numPr>
        <w:spacing w:lineRule="auto" w:line="240" w:before="0" w:after="0"/>
        <w:ind w:left="360" w:hanging="360"/>
        <w:jc w:val="both"/>
        <w:rPr>
          <w:rFonts w:ascii="Arial" w:hAnsi="Arial"/>
          <w:color w:val="000000"/>
          <w:sz w:val="20"/>
        </w:rPr>
      </w:pPr>
      <w:r>
        <w:rPr>
          <w:rFonts w:ascii="Arial" w:hAnsi="Arial"/>
          <w:color w:val="000000"/>
          <w:sz w:val="20"/>
        </w:rPr>
        <w:t>Nájemce se zavazuje uhradit paušální částku za odebrané služby ve výši dle článku VI.,</w:t>
      </w:r>
      <w:r>
        <w:rPr>
          <w:rFonts w:cs="Arial" w:ascii="Arial" w:hAnsi="Arial"/>
          <w:bCs/>
          <w:color w:val="000000"/>
          <w:sz w:val="20"/>
          <w:szCs w:val="20"/>
        </w:rPr>
        <w:t xml:space="preserve"> odst. 3., 4. a odst. 5 </w:t>
      </w:r>
      <w:r>
        <w:rPr>
          <w:rFonts w:ascii="Arial" w:hAnsi="Arial"/>
          <w:color w:val="000000"/>
          <w:sz w:val="20"/>
        </w:rPr>
        <w:t>této Smlouvy ve lhůtách splatnosti uvedených na fakturách na účet Pronajímatele.</w:t>
      </w:r>
    </w:p>
    <w:p>
      <w:pPr>
        <w:pStyle w:val="Normal"/>
        <w:spacing w:lineRule="auto" w:line="240" w:before="0" w:after="0"/>
        <w:jc w:val="both"/>
        <w:rPr>
          <w:rFonts w:ascii="Arial" w:hAnsi="Arial"/>
          <w:color w:val="000000"/>
          <w:sz w:val="20"/>
        </w:rPr>
      </w:pPr>
      <w:r>
        <w:rPr>
          <w:rFonts w:ascii="Arial" w:hAnsi="Arial"/>
          <w:color w:val="000000"/>
          <w:sz w:val="20"/>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VII.</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Základní práva a povinnosti nájemce</w:t>
      </w:r>
    </w:p>
    <w:p>
      <w:pPr>
        <w:pStyle w:val="NoSpacing"/>
        <w:rPr/>
      </w:pPr>
      <w:r>
        <w:rPr/>
      </w:r>
    </w:p>
    <w:p>
      <w:pPr>
        <w:pStyle w:val="Normal"/>
        <w:numPr>
          <w:ilvl w:val="0"/>
          <w:numId w:val="10"/>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Nájemce je povinen řádně a včas zaplatit Pronajímateli touto Smlouvou sjednané nájemné a úhradu za plnění spojená s užíváním Pronajatého prostoru (služby).</w:t>
      </w:r>
    </w:p>
    <w:p>
      <w:pPr>
        <w:pStyle w:val="NoSpacing"/>
        <w:rPr/>
      </w:pPr>
      <w:r>
        <w:rPr/>
      </w:r>
    </w:p>
    <w:p>
      <w:pPr>
        <w:pStyle w:val="Normal"/>
        <w:numPr>
          <w:ilvl w:val="0"/>
          <w:numId w:val="10"/>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Nájemce je povinen užívat Pronajatý prostor jako řádný (pečlivý) hospodář k ujednanému účelu dle této Smlouvy a za účelem stanoveným touto Smlouvou.</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10"/>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Nájemce je povinen pečovat o Pronajatý prostor tak, 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 a hradí veškeré náklady potřebné na její odstranění. Porušení této povinnosti se považuje za hrubé porušení své povinnosti vůči Pronajímateli.</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10"/>
        </w:numPr>
        <w:spacing w:lineRule="auto" w:line="240" w:before="0" w:after="0"/>
        <w:ind w:left="360" w:hanging="360"/>
        <w:rPr>
          <w:rFonts w:ascii="Cambria" w:hAnsi="Cambria"/>
        </w:rPr>
      </w:pPr>
      <w:r>
        <w:rPr>
          <w:rFonts w:cs="Arial" w:ascii="Arial" w:hAnsi="Arial"/>
          <w:bCs/>
          <w:color w:val="000000"/>
          <w:sz w:val="20"/>
          <w:szCs w:val="20"/>
        </w:rPr>
        <w:t xml:space="preserve">Nájemce je povinen zajišťovat v Pronajatém prostoru běžnou údržbu a drobné opravy související s užíváním Pronajatého prostoru, tzn. provádět na svůj náklad údržbu a opravy dle vymezení §§ 3 </w:t>
      </w:r>
    </w:p>
    <w:p>
      <w:pPr>
        <w:pStyle w:val="Normal"/>
        <w:spacing w:lineRule="auto" w:line="240" w:before="0" w:after="0"/>
        <w:ind w:left="360" w:hanging="0"/>
        <w:rPr>
          <w:rFonts w:ascii="Cambria" w:hAnsi="Cambria"/>
        </w:rPr>
      </w:pPr>
      <w:r>
        <w:rPr>
          <w:rFonts w:cs="Arial" w:ascii="Arial" w:hAnsi="Arial"/>
          <w:bCs/>
          <w:color w:val="000000"/>
          <w:sz w:val="20"/>
          <w:szCs w:val="20"/>
        </w:rPr>
        <w:t xml:space="preserve">a 4 nařízení vlády č. 308/2015 Sb., pokud se Nájemce s Pronajímatelem nedohodne jinak. </w:t>
      </w:r>
    </w:p>
    <w:p>
      <w:pPr>
        <w:pStyle w:val="Normal"/>
        <w:spacing w:lineRule="auto" w:line="240" w:before="0" w:after="0"/>
        <w:jc w:val="both"/>
        <w:rPr>
          <w:rFonts w:ascii="Cambria" w:hAnsi="Cambria"/>
        </w:rPr>
      </w:pPr>
      <w:r>
        <w:rPr>
          <w:rFonts w:ascii="Cambria" w:hAnsi="Cambria"/>
        </w:rPr>
      </w:r>
    </w:p>
    <w:p>
      <w:pPr>
        <w:pStyle w:val="Normal"/>
        <w:numPr>
          <w:ilvl w:val="0"/>
          <w:numId w:val="10"/>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Oznámí-li to Pronajímatel předem, je Nájemce povinen umožnit pracovníkům Pronajímatele přístup do Pronajatého prostoru a jeho součástí včetně příslušenství, za účelem prohlídky a kontroly účelu užívání Pronajatého prostoru, jakožto i provedení potřebné opravy nebo údržby Pronajatého prostoru. Předchozí oznámení se nevyžaduje, je-li nezbytné zabránit škodě nebo hrozí-li nebezpečí z prodlení.</w:t>
      </w:r>
    </w:p>
    <w:p>
      <w:pPr>
        <w:pStyle w:val="NoSpacing"/>
        <w:rPr/>
      </w:pPr>
      <w:r>
        <w:rPr/>
      </w:r>
    </w:p>
    <w:p>
      <w:pPr>
        <w:pStyle w:val="Normal"/>
        <w:numPr>
          <w:ilvl w:val="0"/>
          <w:numId w:val="10"/>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Vznikne-li potřeba provést nezbytnou opravu v Pronajatém prostoru, kterou nelze odložit na dobu po skončení nájmu, musí ji nájemce strpět, i když mu provedení opravy způsobí obtíže nebo omezí užívání Pronajatého prostoru. </w:t>
      </w:r>
    </w:p>
    <w:p>
      <w:pPr>
        <w:pStyle w:val="NoSpacing"/>
        <w:rPr/>
      </w:pPr>
      <w:r>
        <w:rPr/>
      </w:r>
    </w:p>
    <w:p>
      <w:pPr>
        <w:pStyle w:val="Normal"/>
        <w:numPr>
          <w:ilvl w:val="0"/>
          <w:numId w:val="10"/>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Nájemce nemá právo o své vůli Pronajatý prostor měnit, je vždy povinen v případě provádění jakýchkoliv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t xml:space="preserve">a to ani formou zápočtu na nájemném.  </w:t>
      </w:r>
    </w:p>
    <w:p>
      <w:pPr>
        <w:pStyle w:val="NoSpacing"/>
        <w:rPr/>
      </w:pPr>
      <w:r>
        <w:rPr/>
      </w:r>
    </w:p>
    <w:p>
      <w:pPr>
        <w:pStyle w:val="Normal"/>
        <w:numPr>
          <w:ilvl w:val="0"/>
          <w:numId w:val="10"/>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Provede-li Nájemce změnu Pronajatého prostoru bez souhlasu Pronajímatele, a ani na vyzvání neuvede prostor do původního stavu, může Pronajímatel nájem vypovědět bez výpovědní doby.</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10"/>
        </w:numPr>
        <w:spacing w:lineRule="auto" w:line="240" w:before="0" w:after="0"/>
        <w:ind w:left="360" w:hanging="360"/>
        <w:jc w:val="both"/>
        <w:rPr>
          <w:rFonts w:ascii="Cambria" w:hAnsi="Cambria"/>
        </w:rPr>
      </w:pPr>
      <w:r>
        <w:rPr>
          <w:rFonts w:cs="Arial" w:ascii="Arial" w:hAnsi="Arial"/>
          <w:bCs/>
          <w:color w:val="000000"/>
          <w:sz w:val="20"/>
          <w:szCs w:val="20"/>
        </w:rPr>
        <w:t>Nájemce je povinen v případě skončení nájemního vztahu Pronajatý prostor vrátit Pronajímateli v řádném stavu, v jakém byl v době, kdy ho převzal, s přihlédnutím k obvyklému opotřebení při řádném užívání: vyklizený, vyčištěný, nepoškozený. Odevzdáním se rozumí fyzické předání Pronajatého prostoru, včetně movitého majetku, určené osobě Pronajímatele ke dni skončení nájmu, pokud se Smluvní strany nedohodnou jinak.</w:t>
      </w:r>
    </w:p>
    <w:p>
      <w:pPr>
        <w:pStyle w:val="NoSpacing"/>
        <w:rPr/>
      </w:pPr>
      <w:r>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VIII.</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Základní práva a povinnosti pronajímatele</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r>
    </w:p>
    <w:p>
      <w:pPr>
        <w:pStyle w:val="Normal"/>
        <w:numPr>
          <w:ilvl w:val="0"/>
          <w:numId w:val="9"/>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Pronajímatel se zavazuje přenechat Nájemci Pronajatý prostor ve stavu způsobilém k ujednanému účelu užívání.</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9"/>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Pronajímatel je povinen udržovat Pronajatý prostor v takovém stavu, aby mohl sloužit k účelu užívání, pro který byl pronajat a zajistit nerušené užívání Pronajatého prostoru po Dobu nájmu.</w:t>
      </w:r>
    </w:p>
    <w:p>
      <w:pPr>
        <w:pStyle w:val="NoSpacing"/>
        <w:rPr/>
      </w:pPr>
      <w:r>
        <w:rPr/>
      </w:r>
    </w:p>
    <w:p>
      <w:pPr>
        <w:pStyle w:val="Normal"/>
        <w:numPr>
          <w:ilvl w:val="0"/>
          <w:numId w:val="9"/>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Pronajímatel v Pronajatém prostoru zajišťuje a provádí na svůj náklad údržbu a opravy, které nejsou vymezené v §§ 3 a 4 nařízení vlády č. 308/2015 Sb., pokud se Pronajímatel s Nájemcem nedohodne jinak.</w:t>
      </w:r>
    </w:p>
    <w:p>
      <w:pPr>
        <w:pStyle w:val="NoSpacing"/>
        <w:rPr/>
      </w:pPr>
      <w:r>
        <w:rPr/>
      </w:r>
    </w:p>
    <w:p>
      <w:pPr>
        <w:pStyle w:val="Normal"/>
        <w:numPr>
          <w:ilvl w:val="0"/>
          <w:numId w:val="9"/>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9"/>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Pronajímatel je povinen seznámit Nájemce s dokumentací požární ochrany: požární poplachová směrnice, požární řád, požární evakuační plán.</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IX.</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Další ujednání</w:t>
      </w:r>
    </w:p>
    <w:p>
      <w:pPr>
        <w:pStyle w:val="NoSpacing"/>
        <w:rPr/>
      </w:pPr>
      <w:r>
        <w:rPr/>
      </w:r>
    </w:p>
    <w:p>
      <w:pPr>
        <w:pStyle w:val="Normal"/>
        <w:numPr>
          <w:ilvl w:val="0"/>
          <w:numId w:val="4"/>
        </w:numPr>
        <w:spacing w:lineRule="auto" w:line="240" w:before="0" w:after="0"/>
        <w:ind w:left="360" w:hanging="360"/>
        <w:rPr/>
      </w:pPr>
      <w:r>
        <w:rPr>
          <w:rFonts w:cs="Arial" w:ascii="Arial" w:hAnsi="Arial"/>
          <w:bCs/>
          <w:color w:val="000000"/>
          <w:sz w:val="20"/>
          <w:szCs w:val="20"/>
        </w:rPr>
        <w:t>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w:t>
        <w:br/>
      </w:r>
    </w:p>
    <w:p>
      <w:pPr>
        <w:pStyle w:val="Normal"/>
        <w:numPr>
          <w:ilvl w:val="0"/>
          <w:numId w:val="4"/>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Nájemce není oprávněn bez souhlasu Pronajímatele přenechat Pronajatý prostor částečně ani zcela do užívání ani účastníkům smlouvy o sdružení. Uzavření takovéto smlouvy o sdružení Nájemcem </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t>a tím umožnění užívání Pronajatého</w:t>
      </w:r>
      <w:r>
        <w:rPr>
          <w:rFonts w:ascii="Arial" w:hAnsi="Arial"/>
          <w:color w:val="000000"/>
          <w:sz w:val="20"/>
        </w:rPr>
        <w:t xml:space="preserve"> prostoru</w:t>
      </w:r>
      <w:r>
        <w:rPr>
          <w:rFonts w:cs="Arial" w:ascii="Arial" w:hAnsi="Arial"/>
          <w:bCs/>
          <w:color w:val="000000"/>
          <w:sz w:val="20"/>
          <w:szCs w:val="20"/>
        </w:rPr>
        <w:t xml:space="preserve"> třetím osobám se považuje za hrubé porušení své povinnosti vůči Pronajímateli.</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4"/>
        </w:numPr>
        <w:spacing w:lineRule="auto" w:line="240" w:before="0" w:after="0"/>
        <w:ind w:left="360" w:hanging="360"/>
        <w:jc w:val="both"/>
        <w:rPr/>
      </w:pPr>
      <w:r>
        <w:rPr>
          <w:rFonts w:cs="Arial" w:ascii="Arial" w:hAnsi="Arial"/>
          <w:bCs/>
          <w:color w:val="000000"/>
          <w:sz w:val="20"/>
          <w:szCs w:val="20"/>
        </w:rPr>
        <w:t>Nájemce se zavazuje, že zabezpečí Pronajatý prostor proti vloupání.</w:t>
      </w:r>
    </w:p>
    <w:p>
      <w:pPr>
        <w:pStyle w:val="Normal"/>
        <w:spacing w:lineRule="auto" w:line="240" w:before="0" w:after="0"/>
        <w:ind w:left="360" w:hanging="0"/>
        <w:jc w:val="both"/>
        <w:rPr/>
      </w:pPr>
      <w:r>
        <w:rPr/>
      </w:r>
    </w:p>
    <w:p>
      <w:pPr>
        <w:pStyle w:val="Normal"/>
        <w:numPr>
          <w:ilvl w:val="0"/>
          <w:numId w:val="4"/>
        </w:numPr>
        <w:spacing w:lineRule="auto" w:line="240" w:before="0" w:after="0"/>
        <w:ind w:left="360" w:hanging="360"/>
        <w:jc w:val="both"/>
        <w:rPr>
          <w:rFonts w:ascii="Arial" w:hAnsi="Arial" w:cs="Arial"/>
          <w:sz w:val="20"/>
          <w:szCs w:val="20"/>
        </w:rPr>
      </w:pPr>
      <w:r>
        <w:rPr>
          <w:rFonts w:cs="Arial" w:ascii="Arial" w:hAnsi="Arial"/>
          <w:sz w:val="20"/>
          <w:szCs w:val="20"/>
        </w:rPr>
        <w:t xml:space="preserve">Nájemce je povinen v případě, že odchází z budovy č.p. 612, ul. Frýdlantská, k.ú. Místek jako poslední nájemník, zakódovat zabezpečovací systém budovy. </w:t>
      </w:r>
    </w:p>
    <w:p>
      <w:pPr>
        <w:pStyle w:val="NoSpacing"/>
        <w:rPr/>
      </w:pPr>
      <w:r>
        <w:rPr/>
      </w:r>
    </w:p>
    <w:p>
      <w:pPr>
        <w:pStyle w:val="Normal"/>
        <w:numPr>
          <w:ilvl w:val="0"/>
          <w:numId w:val="4"/>
        </w:numPr>
        <w:spacing w:lineRule="auto" w:line="240" w:before="0" w:after="0"/>
        <w:ind w:left="360" w:hanging="360"/>
        <w:jc w:val="both"/>
        <w:rPr/>
      </w:pPr>
      <w:r>
        <w:rPr>
          <w:rFonts w:cs="Arial" w:ascii="Arial" w:hAnsi="Arial"/>
          <w:bCs/>
          <w:color w:val="000000"/>
          <w:sz w:val="20"/>
          <w:szCs w:val="20"/>
        </w:rPr>
        <w:t>Nájemce se zavazuje, že bude dodržovat v Pronajatém</w:t>
      </w:r>
      <w:r>
        <w:rPr>
          <w:rFonts w:ascii="Arial" w:hAnsi="Arial"/>
          <w:color w:val="000000"/>
          <w:sz w:val="20"/>
        </w:rPr>
        <w:t xml:space="preserve"> prostoru</w:t>
      </w:r>
      <w:r>
        <w:rPr>
          <w:rFonts w:cs="Arial" w:ascii="Arial" w:hAnsi="Arial"/>
          <w:bCs/>
          <w:color w:val="000000"/>
          <w:sz w:val="20"/>
          <w:szCs w:val="20"/>
        </w:rPr>
        <w:t xml:space="preserve"> a v přilehlých částech protipožární opatření podle zákona č. 133/1985 Sb., o požární ochraně, v platném znění a prováděcích právních předpisů.</w:t>
      </w:r>
    </w:p>
    <w:p>
      <w:pPr>
        <w:pStyle w:val="Normal"/>
        <w:spacing w:lineRule="auto" w:line="240" w:before="0" w:after="0"/>
        <w:jc w:val="both"/>
        <w:rPr/>
      </w:pPr>
      <w:r>
        <w:rPr/>
      </w:r>
    </w:p>
    <w:p>
      <w:pPr>
        <w:pStyle w:val="Normal"/>
        <w:numPr>
          <w:ilvl w:val="0"/>
          <w:numId w:val="4"/>
        </w:numPr>
        <w:spacing w:lineRule="auto" w:line="240" w:before="0" w:after="0"/>
        <w:ind w:left="360" w:hanging="360"/>
        <w:jc w:val="both"/>
        <w:rPr/>
      </w:pPr>
      <w:r>
        <w:rPr>
          <w:rFonts w:cs="Arial" w:ascii="Arial" w:hAnsi="Arial"/>
          <w:bCs/>
          <w:color w:val="000000"/>
          <w:sz w:val="20"/>
          <w:szCs w:val="20"/>
        </w:rPr>
        <w:t xml:space="preserve">Nájemce je povinen seznámit se a seznámit všechny své zaměstnance s dokumentací požární ochrany (požární poplachová směrnice, požární řád, požární evakuační plán), která je umístěna na veřejně přístupných místech (na stěnách) v budově č. p. 612, </w:t>
      </w:r>
      <w:r>
        <w:rPr>
          <w:rFonts w:cs="Arial" w:ascii="Arial" w:hAnsi="Arial"/>
          <w:sz w:val="20"/>
          <w:szCs w:val="20"/>
        </w:rPr>
        <w:t>ul. Frýdlantská,</w:t>
      </w:r>
      <w:r>
        <w:rPr>
          <w:rFonts w:cs="Arial" w:ascii="Arial" w:hAnsi="Arial"/>
          <w:bCs/>
          <w:color w:val="000000"/>
          <w:sz w:val="20"/>
          <w:szCs w:val="20"/>
        </w:rPr>
        <w:t xml:space="preserve"> k. ú. Místek.</w:t>
      </w:r>
    </w:p>
    <w:p>
      <w:pPr>
        <w:pStyle w:val="Normal"/>
        <w:numPr>
          <w:ilvl w:val="0"/>
          <w:numId w:val="5"/>
        </w:numPr>
        <w:spacing w:lineRule="auto" w:line="240" w:before="0" w:after="0"/>
        <w:jc w:val="both"/>
        <w:rPr>
          <w:rFonts w:ascii="Arial" w:hAnsi="Arial" w:cs="Arial"/>
          <w:bCs/>
          <w:color w:val="000000"/>
          <w:sz w:val="20"/>
          <w:szCs w:val="20"/>
        </w:rPr>
      </w:pPr>
      <w:r>
        <w:rPr>
          <w:rFonts w:cs="Arial" w:ascii="Arial" w:hAnsi="Arial"/>
          <w:bCs/>
          <w:color w:val="000000"/>
          <w:sz w:val="20"/>
          <w:szCs w:val="20"/>
        </w:rPr>
        <w:t>V případě požáru postupovat dle požární poplachové směrnice.</w:t>
      </w:r>
    </w:p>
    <w:p>
      <w:pPr>
        <w:pStyle w:val="Normal"/>
        <w:numPr>
          <w:ilvl w:val="0"/>
          <w:numId w:val="5"/>
        </w:numPr>
        <w:spacing w:lineRule="auto" w:line="240" w:before="0" w:after="0"/>
        <w:jc w:val="both"/>
        <w:rPr>
          <w:rFonts w:ascii="Arial" w:hAnsi="Arial" w:cs="Arial"/>
          <w:bCs/>
          <w:color w:val="000000"/>
          <w:sz w:val="20"/>
          <w:szCs w:val="20"/>
        </w:rPr>
      </w:pPr>
      <w:r>
        <w:rPr>
          <w:rFonts w:cs="Arial" w:ascii="Arial" w:hAnsi="Arial"/>
          <w:bCs/>
          <w:color w:val="000000"/>
          <w:sz w:val="20"/>
          <w:szCs w:val="20"/>
        </w:rPr>
        <w:t>Dodržovat ustanovení požárního řádu a v případě ohrožení se řídit dokumentací požární ochrany.</w:t>
      </w:r>
    </w:p>
    <w:p>
      <w:pPr>
        <w:pStyle w:val="Normal"/>
        <w:numPr>
          <w:ilvl w:val="0"/>
          <w:numId w:val="5"/>
        </w:numPr>
        <w:spacing w:lineRule="auto" w:line="240" w:before="0" w:after="0"/>
        <w:jc w:val="both"/>
        <w:rPr>
          <w:rFonts w:ascii="Arial" w:hAnsi="Arial" w:cs="Arial"/>
          <w:bCs/>
          <w:color w:val="000000"/>
          <w:sz w:val="20"/>
          <w:szCs w:val="20"/>
        </w:rPr>
      </w:pPr>
      <w:r>
        <w:rPr>
          <w:rFonts w:cs="Arial" w:ascii="Arial" w:hAnsi="Arial"/>
          <w:bCs/>
          <w:color w:val="000000"/>
          <w:sz w:val="20"/>
          <w:szCs w:val="20"/>
        </w:rPr>
        <w:t xml:space="preserve">Dodržovat obecně platná ustanovení týkající se požární ochrany a seznámit se s umístěním hlavních uzávěrů plynu, vody, hlavních jističů elektroinstalace, hydrantů a hasicích přístrojů. </w:t>
      </w:r>
    </w:p>
    <w:p>
      <w:pPr>
        <w:pStyle w:val="Normal"/>
        <w:numPr>
          <w:ilvl w:val="0"/>
          <w:numId w:val="5"/>
        </w:numPr>
        <w:spacing w:lineRule="auto" w:line="240" w:before="0" w:after="0"/>
        <w:jc w:val="both"/>
        <w:rPr>
          <w:rFonts w:ascii="Arial" w:hAnsi="Arial" w:cs="Arial"/>
          <w:bCs/>
          <w:color w:val="000000"/>
          <w:sz w:val="20"/>
          <w:szCs w:val="20"/>
        </w:rPr>
      </w:pPr>
      <w:r>
        <w:rPr>
          <w:rFonts w:cs="Arial" w:ascii="Arial" w:hAnsi="Arial"/>
          <w:bCs/>
          <w:color w:val="000000"/>
          <w:sz w:val="20"/>
          <w:szCs w:val="20"/>
        </w:rPr>
        <w:t>Dodržovat zákaz manipulace s otevřeným ohněm.</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4"/>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Nájemce se zavazuje dodržovat zákaz kouření ve všech prostorách objektu č.p. 612, </w:t>
      </w:r>
      <w:r>
        <w:rPr>
          <w:rFonts w:cs="Arial" w:ascii="Arial" w:hAnsi="Arial"/>
          <w:sz w:val="20"/>
          <w:szCs w:val="20"/>
        </w:rPr>
        <w:t>ul. Frýdlantská,</w:t>
      </w:r>
      <w:r>
        <w:rPr>
          <w:rFonts w:cs="Arial" w:ascii="Arial" w:hAnsi="Arial"/>
          <w:bCs/>
          <w:color w:val="000000"/>
          <w:sz w:val="20"/>
          <w:szCs w:val="20"/>
        </w:rPr>
        <w:t xml:space="preserve"> k.ú. Místek, mimo vyhrazené prostory, kde je kouření dovoleno. Porušení tohoto ujednání se považuje za hrubé porušení své povinnosti vůči Pronajímateli.</w:t>
      </w:r>
    </w:p>
    <w:p>
      <w:pPr>
        <w:pStyle w:val="Normal"/>
        <w:spacing w:lineRule="auto" w:line="240" w:before="0" w:after="0"/>
        <w:ind w:firstLine="60"/>
        <w:jc w:val="both"/>
        <w:rPr/>
      </w:pPr>
      <w:r>
        <w:rPr/>
      </w:r>
    </w:p>
    <w:p>
      <w:pPr>
        <w:pStyle w:val="Normal"/>
        <w:numPr>
          <w:ilvl w:val="0"/>
          <w:numId w:val="4"/>
        </w:numPr>
        <w:spacing w:lineRule="auto" w:line="240" w:before="0" w:after="0"/>
        <w:ind w:left="360" w:hanging="360"/>
        <w:jc w:val="both"/>
        <w:rPr/>
      </w:pPr>
      <w:r>
        <w:rPr>
          <w:rFonts w:cs="Arial" w:ascii="Arial" w:hAnsi="Arial"/>
          <w:bCs/>
          <w:color w:val="000000"/>
          <w:sz w:val="20"/>
          <w:szCs w:val="20"/>
        </w:rPr>
        <w:t>Nájemce se zavazuje dodržovat veškeré zdravotní, bezpečnostní, hygienické předpisy a nařízení v souvislosti s účelem nájmu, jakož i ustanovení veškerých platných právních předpisů k zajištění bezpečnosti a ochrany zdraví při práci.</w:t>
      </w:r>
    </w:p>
    <w:p>
      <w:pPr>
        <w:pStyle w:val="Normal"/>
        <w:spacing w:lineRule="auto" w:line="240" w:before="0" w:after="0"/>
        <w:jc w:val="both"/>
        <w:rPr/>
      </w:pPr>
      <w:r>
        <w:rPr/>
      </w:r>
    </w:p>
    <w:p>
      <w:pPr>
        <w:pStyle w:val="Normal"/>
        <w:numPr>
          <w:ilvl w:val="0"/>
          <w:numId w:val="4"/>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 xml:space="preserve">Nájemce je povinen udržovat čistotu a pořádek v Pronajatém </w:t>
      </w:r>
      <w:r>
        <w:rPr>
          <w:rFonts w:ascii="Arial" w:hAnsi="Arial"/>
          <w:color w:val="000000"/>
          <w:sz w:val="20"/>
        </w:rPr>
        <w:t>prostoru, přilehlých chodbách a WC nacházejících se v budově č.p. 612,</w:t>
      </w:r>
      <w:r>
        <w:rPr>
          <w:rFonts w:cs="Arial" w:ascii="Arial" w:hAnsi="Arial"/>
          <w:sz w:val="20"/>
          <w:szCs w:val="20"/>
        </w:rPr>
        <w:t xml:space="preserve"> ul. Frýdlantská,</w:t>
      </w:r>
      <w:r>
        <w:rPr>
          <w:rFonts w:ascii="Arial" w:hAnsi="Arial"/>
          <w:color w:val="000000"/>
          <w:sz w:val="20"/>
        </w:rPr>
        <w:t xml:space="preserve"> k.ú. Místek.</w:t>
      </w:r>
    </w:p>
    <w:p>
      <w:pPr>
        <w:pStyle w:val="NoSpacing"/>
        <w:rPr/>
      </w:pPr>
      <w:r>
        <w:rPr/>
      </w:r>
    </w:p>
    <w:p>
      <w:pPr>
        <w:pStyle w:val="Normal"/>
        <w:numPr>
          <w:ilvl w:val="0"/>
          <w:numId w:val="4"/>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Nájemce zodpovídá za skleněné výplně oken a dveří v Pronajatých prostorách. V případě jejich poškození, popř. rozbití, hradí opravy nebo celkovou výměnu z vlastních finančních zdrojů.</w:t>
      </w:r>
    </w:p>
    <w:p>
      <w:pPr>
        <w:pStyle w:val="NoSpacing"/>
        <w:rPr/>
      </w:pPr>
      <w:r>
        <w:rPr/>
      </w:r>
    </w:p>
    <w:p>
      <w:pPr>
        <w:pStyle w:val="Normal"/>
        <w:numPr>
          <w:ilvl w:val="0"/>
          <w:numId w:val="4"/>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Nájemce se zavazuje, že v Pronajatých prostorách nebude umisťovat výherní hrací přístroje nebo jiná technická herní zařízení.</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4"/>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V případě porušení povinností Nájemci vyplývajících ze Smlouvy se pro případ prvního (1.) porušení sjednává smluvní pokuta ve výši 5.000 Kč (slovy: pět_tisíc korun českých). Smluvní pokuta je splatná do 14 (čtrnácti) dnů od vyúčtování smluvní pokuty Pronajímatelem na účet uvedený v článku V., odst. 5 této Smlouvy. Tímto ujednáním není dotčen případný nárok na náhradu škody.</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4"/>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V případě opakovaného porušení téže povinnosti se smluvní pokuta sjednává ve dvojnásobné (2) výši a je splatná do čtrnácti (14) dnů od vyúčtování smluvní pokuty Pronajímatelem na účet uvedený v článku V. odst. 5 této Smlouvy. Tímto ujednáním není dotčen případný nárok na náhradu škody.</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4"/>
        </w:numPr>
        <w:spacing w:lineRule="auto" w:line="240" w:before="0" w:after="0"/>
        <w:ind w:left="360" w:hanging="360"/>
        <w:rPr>
          <w:rFonts w:ascii="Arial" w:hAnsi="Arial" w:cs="Arial"/>
          <w:bCs/>
          <w:color w:val="000000"/>
          <w:sz w:val="20"/>
          <w:szCs w:val="20"/>
        </w:rPr>
      </w:pPr>
      <w:r>
        <w:rPr>
          <w:rFonts w:ascii="Arial" w:hAnsi="Arial"/>
          <w:color w:val="000000"/>
          <w:sz w:val="20"/>
        </w:rPr>
        <w:t>S výjimkou případů, a to v přiměřeném rozsahu uvedeném v § 2305 zákona č. 89/2012 Sb., občanský zákoník, nesmí Nájemce umísťovat bez předchozího písemného souhlasu Pronajímatele na vnější části Pronajatého prostoru nebo budovy, ve které se Pronajatý prostor nachází, žádné billboardy, tabulky ani reklamy. P</w:t>
      </w:r>
      <w:r>
        <w:rPr>
          <w:rFonts w:cs="Arial" w:ascii="Arial" w:hAnsi="Arial"/>
          <w:bCs/>
          <w:color w:val="000000"/>
          <w:sz w:val="20"/>
          <w:szCs w:val="20"/>
        </w:rPr>
        <w:t xml:space="preserve">ožadavek na jejich umístění ze strany Nájemce je nutné projednat </w:t>
      </w:r>
      <w:r>
        <w:rPr>
          <w:rFonts w:ascii="Arial" w:hAnsi="Arial"/>
          <w:color w:val="000000"/>
          <w:sz w:val="20"/>
        </w:rPr>
        <w:t xml:space="preserve">s Pronajímatelem </w:t>
      </w:r>
      <w:r>
        <w:rPr>
          <w:rFonts w:cs="Arial" w:ascii="Arial" w:hAnsi="Arial"/>
          <w:bCs/>
          <w:color w:val="000000"/>
          <w:sz w:val="20"/>
          <w:szCs w:val="20"/>
        </w:rPr>
        <w:t xml:space="preserve">samostatně, </w:t>
      </w:r>
      <w:r>
        <w:rPr>
          <w:rFonts w:ascii="Arial" w:hAnsi="Arial"/>
          <w:color w:val="000000"/>
          <w:sz w:val="20"/>
        </w:rPr>
        <w:t>Smlouva</w:t>
      </w:r>
      <w:r>
        <w:rPr>
          <w:rFonts w:cs="Arial" w:ascii="Arial" w:hAnsi="Arial"/>
          <w:bCs/>
          <w:color w:val="000000"/>
          <w:sz w:val="20"/>
          <w:szCs w:val="20"/>
        </w:rPr>
        <w:t xml:space="preserve"> o nájmu toto neřeší.</w:t>
        <w:br/>
      </w:r>
    </w:p>
    <w:p>
      <w:pPr>
        <w:pStyle w:val="Normal"/>
        <w:numPr>
          <w:ilvl w:val="0"/>
          <w:numId w:val="4"/>
        </w:numPr>
        <w:spacing w:lineRule="auto" w:line="240" w:before="0" w:after="0"/>
        <w:ind w:left="360" w:hanging="360"/>
        <w:jc w:val="both"/>
        <w:rPr>
          <w:rFonts w:ascii="Arial" w:hAnsi="Arial" w:cs="Arial"/>
          <w:bCs/>
          <w:color w:val="000000"/>
          <w:sz w:val="20"/>
          <w:szCs w:val="20"/>
        </w:rPr>
      </w:pPr>
      <w:r>
        <w:rPr>
          <w:rFonts w:cs="Arial" w:ascii="Arial" w:hAnsi="Arial"/>
          <w:sz w:val="20"/>
          <w:szCs w:val="20"/>
        </w:rPr>
        <w:t>Pronajímatel a Nájemce se dohodli, že Pronajímatel nejpozději do 30 dnů od uzavření Smlouvy zašle tuto Smlouvu správci registru smluv k uveřejnění prostřednictvím registru smluv v souladu se zákonem č. 340/2015 Sb., o zvláštních podmínkách účinnosti některých smluv, uveřejňování těchto smluv a o registru smluv (zákon o registru smluv), ve znění pozdějších předpisů.</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Spacing"/>
        <w:rPr/>
      </w:pPr>
      <w:r>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X.</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Skončení nájmu</w:t>
      </w:r>
    </w:p>
    <w:p>
      <w:pPr>
        <w:pStyle w:val="Normal"/>
        <w:numPr>
          <w:ilvl w:val="0"/>
          <w:numId w:val="12"/>
        </w:numPr>
        <w:spacing w:lineRule="auto" w:line="240" w:before="0" w:after="0"/>
        <w:ind w:left="360" w:hanging="360"/>
        <w:jc w:val="both"/>
        <w:rPr>
          <w:rFonts w:ascii="Arial" w:hAnsi="Arial" w:cs="Arial"/>
          <w:sz w:val="20"/>
          <w:szCs w:val="20"/>
        </w:rPr>
      </w:pPr>
      <w:r>
        <w:rPr>
          <w:rFonts w:cs="Arial" w:ascii="Arial" w:hAnsi="Arial"/>
          <w:sz w:val="20"/>
          <w:szCs w:val="20"/>
        </w:rPr>
        <w:t>Nájem je možné ukončit:</w:t>
      </w:r>
    </w:p>
    <w:p>
      <w:pPr>
        <w:pStyle w:val="ListParagraph"/>
        <w:numPr>
          <w:ilvl w:val="0"/>
          <w:numId w:val="13"/>
        </w:numPr>
        <w:spacing w:lineRule="auto" w:line="252" w:before="0" w:after="240"/>
        <w:ind w:left="714" w:hanging="357"/>
        <w:jc w:val="both"/>
        <w:rPr>
          <w:rFonts w:ascii="Arial" w:hAnsi="Arial" w:cs="Arial"/>
          <w:sz w:val="20"/>
          <w:szCs w:val="20"/>
        </w:rPr>
      </w:pPr>
      <w:r>
        <w:rPr>
          <w:rFonts w:cs="Arial" w:ascii="Arial" w:hAnsi="Arial"/>
          <w:sz w:val="20"/>
          <w:szCs w:val="20"/>
        </w:rPr>
        <w:t>Dohodou.</w:t>
      </w:r>
    </w:p>
    <w:p>
      <w:pPr>
        <w:pStyle w:val="ListParagraph"/>
        <w:numPr>
          <w:ilvl w:val="0"/>
          <w:numId w:val="13"/>
        </w:numPr>
        <w:spacing w:lineRule="auto" w:line="252" w:before="0" w:after="240"/>
        <w:ind w:left="714" w:hanging="357"/>
        <w:jc w:val="both"/>
        <w:rPr>
          <w:rFonts w:ascii="Arial" w:hAnsi="Arial" w:cs="Arial"/>
          <w:sz w:val="20"/>
          <w:szCs w:val="20"/>
        </w:rPr>
      </w:pPr>
      <w:r>
        <w:rPr>
          <w:rFonts w:cs="Arial" w:ascii="Arial" w:hAnsi="Arial"/>
          <w:sz w:val="20"/>
          <w:szCs w:val="20"/>
        </w:rPr>
        <w:t>Písemnou výpovědí i před uplynutím ujednané doby, bez uvedení důvodů.  Výpovědní doba je tříměsíční a běží od prvního dne kalendářního měsíce následujícího poté, co výpověď došla druhé Smluvní straně.</w:t>
      </w:r>
    </w:p>
    <w:p>
      <w:pPr>
        <w:pStyle w:val="ListParagraph"/>
        <w:numPr>
          <w:ilvl w:val="0"/>
          <w:numId w:val="13"/>
        </w:numPr>
        <w:spacing w:lineRule="auto" w:line="252" w:before="0" w:after="240"/>
        <w:ind w:left="714" w:hanging="357"/>
        <w:jc w:val="both"/>
        <w:rPr>
          <w:rFonts w:ascii="Arial" w:hAnsi="Arial" w:cs="Arial"/>
          <w:sz w:val="20"/>
          <w:szCs w:val="20"/>
        </w:rPr>
      </w:pPr>
      <w:r>
        <w:rPr>
          <w:rFonts w:cs="Arial" w:ascii="Arial" w:hAnsi="Arial"/>
          <w:sz w:val="20"/>
          <w:szCs w:val="20"/>
        </w:rPr>
        <w:t>Písemnou výpovědí i před uplynutím ujednané doby, s uvedením důvodu výpovědi.</w:t>
      </w:r>
    </w:p>
    <w:p>
      <w:pPr>
        <w:pStyle w:val="ListParagraph"/>
        <w:jc w:val="both"/>
        <w:rPr>
          <w:rFonts w:ascii="Arial" w:hAnsi="Arial" w:cs="Arial"/>
          <w:sz w:val="20"/>
          <w:szCs w:val="20"/>
        </w:rPr>
      </w:pPr>
      <w:r>
        <w:rPr>
          <w:rFonts w:cs="Arial" w:ascii="Arial" w:hAnsi="Arial"/>
          <w:sz w:val="20"/>
          <w:szCs w:val="20"/>
        </w:rPr>
        <w:t>Výpovědní důvody pro výpověď Nájemce:</w:t>
      </w:r>
    </w:p>
    <w:p>
      <w:pPr>
        <w:pStyle w:val="ListParagraph"/>
        <w:numPr>
          <w:ilvl w:val="0"/>
          <w:numId w:val="14"/>
        </w:numPr>
        <w:spacing w:lineRule="auto" w:line="252"/>
        <w:jc w:val="both"/>
        <w:rPr>
          <w:rFonts w:ascii="Arial" w:hAnsi="Arial" w:cs="Arial"/>
          <w:bCs/>
          <w:color w:val="000000"/>
          <w:sz w:val="20"/>
          <w:szCs w:val="20"/>
        </w:rPr>
      </w:pPr>
      <w:r>
        <w:rPr>
          <w:rFonts w:cs="Arial" w:ascii="Arial" w:hAnsi="Arial"/>
          <w:bCs/>
          <w:color w:val="000000"/>
          <w:sz w:val="20"/>
          <w:szCs w:val="20"/>
        </w:rPr>
        <w:t>nájemce ztratí způsobilost k činnosti, k jejímuž výkonu je Pronajatý prostor určen,</w:t>
      </w:r>
    </w:p>
    <w:p>
      <w:pPr>
        <w:pStyle w:val="ListParagraph"/>
        <w:numPr>
          <w:ilvl w:val="0"/>
          <w:numId w:val="14"/>
        </w:numPr>
        <w:spacing w:lineRule="auto" w:line="252"/>
        <w:ind w:left="1068" w:hanging="360"/>
        <w:jc w:val="both"/>
        <w:rPr>
          <w:rFonts w:ascii="Arial" w:hAnsi="Arial" w:cs="Arial"/>
          <w:bCs/>
          <w:color w:val="000000"/>
          <w:sz w:val="20"/>
          <w:szCs w:val="20"/>
        </w:rPr>
      </w:pPr>
      <w:r>
        <w:rPr>
          <w:rFonts w:cs="Arial" w:ascii="Arial" w:hAnsi="Arial"/>
          <w:bCs/>
          <w:color w:val="000000"/>
          <w:sz w:val="20"/>
          <w:szCs w:val="20"/>
        </w:rPr>
        <w:t>přestane-li být Pronajatý prostor z objektivních důvodů způsobilý k výkonu činnosti, k němuž byl určen, a Pronajímatel nezajistí Nájemci odpovídající náhradní prostor, nebo</w:t>
      </w:r>
    </w:p>
    <w:p>
      <w:pPr>
        <w:pStyle w:val="ListParagraph"/>
        <w:numPr>
          <w:ilvl w:val="0"/>
          <w:numId w:val="14"/>
        </w:numPr>
        <w:spacing w:lineRule="auto" w:line="252"/>
        <w:jc w:val="both"/>
        <w:rPr>
          <w:rFonts w:ascii="Arial" w:hAnsi="Arial" w:cs="Arial"/>
          <w:bCs/>
          <w:color w:val="000000"/>
          <w:sz w:val="20"/>
          <w:szCs w:val="20"/>
        </w:rPr>
      </w:pPr>
      <w:r>
        <w:rPr>
          <w:rFonts w:cs="Arial" w:ascii="Arial" w:hAnsi="Arial"/>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pPr>
        <w:pStyle w:val="ListParagraph"/>
        <w:jc w:val="both"/>
        <w:rPr>
          <w:rFonts w:ascii="Arial" w:hAnsi="Arial" w:cs="Arial"/>
          <w:bCs/>
          <w:color w:val="000000"/>
          <w:sz w:val="20"/>
          <w:szCs w:val="20"/>
        </w:rPr>
      </w:pPr>
      <w:r>
        <w:rPr>
          <w:rFonts w:cs="Arial" w:ascii="Arial" w:hAnsi="Arial"/>
          <w:bCs/>
          <w:color w:val="000000"/>
          <w:sz w:val="20"/>
          <w:szCs w:val="20"/>
        </w:rPr>
      </w:r>
    </w:p>
    <w:p>
      <w:pPr>
        <w:pStyle w:val="ListParagraph"/>
        <w:jc w:val="both"/>
        <w:rPr>
          <w:rFonts w:ascii="Arial" w:hAnsi="Arial" w:cs="Arial"/>
          <w:bCs/>
          <w:color w:val="000000"/>
          <w:sz w:val="20"/>
          <w:szCs w:val="20"/>
        </w:rPr>
      </w:pPr>
      <w:r>
        <w:rPr>
          <w:rFonts w:cs="Arial" w:ascii="Arial" w:hAnsi="Arial"/>
          <w:bCs/>
          <w:color w:val="000000"/>
          <w:sz w:val="20"/>
          <w:szCs w:val="20"/>
        </w:rPr>
        <w:t>Výpovědní důvody pro výpověď Pronajímatele:</w:t>
      </w:r>
    </w:p>
    <w:p>
      <w:pPr>
        <w:pStyle w:val="ListParagraph"/>
        <w:numPr>
          <w:ilvl w:val="0"/>
          <w:numId w:val="15"/>
        </w:numPr>
        <w:spacing w:lineRule="auto" w:line="252"/>
        <w:jc w:val="both"/>
        <w:rPr>
          <w:rFonts w:ascii="Arial" w:hAnsi="Arial" w:cs="Arial"/>
          <w:bCs/>
          <w:color w:val="000000"/>
          <w:sz w:val="20"/>
          <w:szCs w:val="20"/>
        </w:rPr>
      </w:pPr>
      <w:r>
        <w:rPr>
          <w:rFonts w:cs="Arial" w:ascii="Arial" w:hAnsi="Arial"/>
          <w:bCs/>
          <w:color w:val="000000"/>
          <w:sz w:val="20"/>
          <w:szCs w:val="20"/>
        </w:rPr>
        <w:t>má-li být budova, v níž se Pronajatý prostor nachází, odstraněna, anebo přestavována tak, že to brání dalšímu užívání Pronajatého prostoru, a Pronajímatel to při uzavření Smlouvy nemusel ani nemohl předvídat, nebo</w:t>
      </w:r>
    </w:p>
    <w:p>
      <w:pPr>
        <w:pStyle w:val="ListParagraph"/>
        <w:numPr>
          <w:ilvl w:val="0"/>
          <w:numId w:val="15"/>
        </w:numPr>
        <w:spacing w:lineRule="auto" w:line="252"/>
        <w:jc w:val="both"/>
        <w:rPr>
          <w:rFonts w:ascii="Arial" w:hAnsi="Arial" w:cs="Arial"/>
          <w:bCs/>
          <w:color w:val="000000"/>
          <w:sz w:val="20"/>
          <w:szCs w:val="20"/>
        </w:rPr>
      </w:pPr>
      <w:r>
        <w:rPr>
          <w:rFonts w:cs="Arial" w:ascii="Arial" w:hAnsi="Arial"/>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pPr>
        <w:pStyle w:val="ListParagraph"/>
        <w:ind w:left="708" w:hanging="0"/>
        <w:jc w:val="both"/>
        <w:rPr>
          <w:rFonts w:ascii="Arial" w:hAnsi="Arial" w:cs="Arial"/>
          <w:sz w:val="20"/>
          <w:szCs w:val="20"/>
        </w:rPr>
      </w:pPr>
      <w:r>
        <w:rPr>
          <w:rFonts w:cs="Arial" w:ascii="Arial" w:hAnsi="Arial"/>
          <w:sz w:val="20"/>
          <w:szCs w:val="20"/>
        </w:rPr>
      </w:r>
    </w:p>
    <w:p>
      <w:pPr>
        <w:pStyle w:val="ListParagraph"/>
        <w:ind w:left="708" w:hanging="0"/>
        <w:jc w:val="both"/>
        <w:rPr>
          <w:rFonts w:ascii="Arial" w:hAnsi="Arial" w:cs="Arial"/>
          <w:sz w:val="20"/>
          <w:szCs w:val="20"/>
        </w:rPr>
      </w:pPr>
      <w:r>
        <w:rPr>
          <w:rFonts w:cs="Arial" w:ascii="Arial" w:hAnsi="Arial"/>
          <w:sz w:val="20"/>
          <w:szCs w:val="20"/>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pPr>
        <w:pStyle w:val="ListParagraph"/>
        <w:ind w:left="708" w:hanging="0"/>
        <w:jc w:val="both"/>
        <w:rPr>
          <w:rFonts w:ascii="Arial" w:hAnsi="Arial" w:cs="Arial"/>
          <w:sz w:val="20"/>
          <w:szCs w:val="20"/>
        </w:rPr>
      </w:pPr>
      <w:r>
        <w:rPr>
          <w:rFonts w:cs="Arial" w:ascii="Arial" w:hAnsi="Arial"/>
          <w:sz w:val="20"/>
          <w:szCs w:val="20"/>
        </w:rPr>
        <w:t>Výpovědní doba je jednoměsíční a běží od prvního dne kalendářního měsíce následujícího poté, co výpověď došla druhé Smluvní straně.</w:t>
      </w:r>
    </w:p>
    <w:p>
      <w:pPr>
        <w:pStyle w:val="ListParagraph"/>
        <w:numPr>
          <w:ilvl w:val="0"/>
          <w:numId w:val="13"/>
        </w:numPr>
        <w:spacing w:lineRule="auto" w:line="252"/>
        <w:jc w:val="both"/>
        <w:rPr>
          <w:rFonts w:ascii="Arial" w:hAnsi="Arial" w:cs="Arial"/>
          <w:sz w:val="20"/>
          <w:szCs w:val="20"/>
        </w:rPr>
      </w:pPr>
      <w:r>
        <w:rPr>
          <w:rFonts w:cs="Arial" w:ascii="Arial" w:hAnsi="Arial"/>
          <w:sz w:val="20"/>
          <w:szCs w:val="20"/>
        </w:rPr>
        <w:t>Písemnou výpovědí Pronajímatele bez výpovědní doby</w:t>
      </w:r>
    </w:p>
    <w:p>
      <w:pPr>
        <w:pStyle w:val="ListParagraph"/>
        <w:numPr>
          <w:ilvl w:val="0"/>
          <w:numId w:val="16"/>
        </w:numPr>
        <w:spacing w:lineRule="auto" w:line="252"/>
        <w:jc w:val="both"/>
        <w:rPr>
          <w:rFonts w:ascii="Arial" w:hAnsi="Arial" w:cs="Arial"/>
          <w:sz w:val="20"/>
          <w:szCs w:val="20"/>
        </w:rPr>
      </w:pPr>
      <w:r>
        <w:rPr>
          <w:rFonts w:cs="Arial" w:ascii="Arial" w:hAnsi="Arial"/>
          <w:sz w:val="20"/>
          <w:szCs w:val="20"/>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pPr>
        <w:pStyle w:val="ListParagraph"/>
        <w:numPr>
          <w:ilvl w:val="0"/>
          <w:numId w:val="16"/>
        </w:numPr>
        <w:spacing w:lineRule="auto" w:line="252"/>
        <w:jc w:val="both"/>
        <w:rPr>
          <w:rFonts w:ascii="Arial" w:hAnsi="Arial" w:cs="Arial"/>
          <w:sz w:val="20"/>
          <w:szCs w:val="20"/>
        </w:rPr>
      </w:pPr>
      <w:r>
        <w:rPr>
          <w:rFonts w:cs="Arial" w:ascii="Arial" w:hAnsi="Arial"/>
          <w:sz w:val="20"/>
          <w:szCs w:val="20"/>
        </w:rPr>
        <w:t xml:space="preserve">provede-li Nájemce změnu Pronajatého prostoru bez souhlasu Pronajímatele, a ani na vyzvání Pronajímatele neuvede Pronajatý prostor do původního stavu. </w:t>
      </w:r>
    </w:p>
    <w:p>
      <w:pPr>
        <w:pStyle w:val="ListParagraph"/>
        <w:numPr>
          <w:ilvl w:val="0"/>
          <w:numId w:val="13"/>
        </w:numPr>
        <w:spacing w:lineRule="auto" w:line="252"/>
        <w:jc w:val="both"/>
        <w:rPr>
          <w:rFonts w:ascii="Arial" w:hAnsi="Arial" w:cs="Arial"/>
          <w:sz w:val="20"/>
          <w:szCs w:val="20"/>
        </w:rPr>
      </w:pPr>
      <w:r>
        <w:rPr>
          <w:rFonts w:cs="Arial" w:ascii="Arial" w:hAnsi="Arial"/>
          <w:sz w:val="20"/>
          <w:szCs w:val="20"/>
        </w:rPr>
        <w:t>Uplynutím doby, na kterou byl nájem sjednán.</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Článek XI.</w:t>
      </w:r>
    </w:p>
    <w:p>
      <w:pPr>
        <w:pStyle w:val="Normal"/>
        <w:spacing w:lineRule="auto" w:line="240" w:before="0" w:after="0"/>
        <w:jc w:val="center"/>
        <w:rPr>
          <w:rFonts w:ascii="Arial" w:hAnsi="Arial" w:cs="Arial"/>
          <w:b/>
          <w:b/>
          <w:bCs/>
          <w:color w:val="000000"/>
          <w:sz w:val="20"/>
          <w:szCs w:val="20"/>
        </w:rPr>
      </w:pPr>
      <w:r>
        <w:rPr>
          <w:rFonts w:cs="Arial" w:ascii="Arial" w:hAnsi="Arial"/>
          <w:b/>
          <w:bCs/>
          <w:color w:val="000000"/>
          <w:sz w:val="20"/>
          <w:szCs w:val="20"/>
        </w:rPr>
        <w:t>Závěrečná ustanovení</w:t>
      </w:r>
    </w:p>
    <w:p>
      <w:pPr>
        <w:pStyle w:val="Normal"/>
        <w:spacing w:lineRule="auto" w:line="240" w:before="0" w:after="0"/>
        <w:jc w:val="center"/>
        <w:rPr>
          <w:rFonts w:ascii="Arial" w:hAnsi="Arial" w:cs="Arial"/>
          <w:bCs/>
          <w:color w:val="000000"/>
          <w:sz w:val="20"/>
          <w:szCs w:val="20"/>
        </w:rPr>
      </w:pPr>
      <w:r>
        <w:rPr>
          <w:rFonts w:cs="Arial" w:ascii="Arial" w:hAnsi="Arial"/>
          <w:bCs/>
          <w:color w:val="000000"/>
          <w:sz w:val="20"/>
          <w:szCs w:val="20"/>
        </w:rPr>
      </w:r>
    </w:p>
    <w:p>
      <w:pPr>
        <w:pStyle w:val="ListParagraph"/>
        <w:numPr>
          <w:ilvl w:val="0"/>
          <w:numId w:val="11"/>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Práva a povinnosti nevyplývající z této Smlouvy se v částech smluvně neupravených řídí příslušnými ustanoveními zákona č. 89/2012 Sb., občanský zákoník.</w:t>
      </w:r>
    </w:p>
    <w:p>
      <w:pPr>
        <w:pStyle w:val="Normal"/>
        <w:spacing w:lineRule="auto" w:line="240" w:before="0" w:after="0"/>
        <w:ind w:left="-300" w:hanging="0"/>
        <w:jc w:val="both"/>
        <w:rPr/>
      </w:pPr>
      <w:r>
        <w:rPr/>
      </w:r>
    </w:p>
    <w:p>
      <w:pPr>
        <w:pStyle w:val="ListParagraph"/>
        <w:numPr>
          <w:ilvl w:val="0"/>
          <w:numId w:val="11"/>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Tato Smlouva může být měněna nebo doplňována pouze písemnými očíslovanými dodatky. Změna čísla účtu uvedeného v této Smlouvě se nepovažuje za změnu Smlouvy. Pronajímatel je povinen neprodleně změnu čísla účtu písemně oznámit Nájemci.</w:t>
      </w:r>
    </w:p>
    <w:p>
      <w:pPr>
        <w:pStyle w:val="ListParagraph"/>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11"/>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11"/>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Tato Smlouva je vyhotovena ve dvou (2) vyhotoveních, kdy jedno (1) obdrží Pronajímatel a jedno (1) Nájemce.</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11"/>
        </w:numPr>
        <w:spacing w:lineRule="auto" w:line="240" w:before="0" w:after="0"/>
        <w:ind w:left="360" w:hanging="360"/>
        <w:jc w:val="both"/>
        <w:rPr>
          <w:rFonts w:ascii="Arial" w:hAnsi="Arial" w:cs="Arial"/>
          <w:bCs/>
          <w:color w:val="000000"/>
          <w:sz w:val="20"/>
          <w:szCs w:val="20"/>
        </w:rPr>
      </w:pPr>
      <w:r>
        <w:rPr>
          <w:rFonts w:cs="Arial" w:ascii="Arial" w:hAnsi="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pPr>
        <w:pStyle w:val="Normal"/>
        <w:spacing w:lineRule="auto" w:line="240" w:before="0" w:after="0"/>
        <w:rPr>
          <w:rFonts w:ascii="Cambria" w:hAnsi="Cambria" w:eastAsia="Calibri"/>
          <w:lang w:val="en-US" w:bidi="en-US"/>
        </w:rPr>
      </w:pPr>
      <w:r>
        <w:rPr>
          <w:rFonts w:eastAsia="Calibri" w:ascii="Cambria" w:hAnsi="Cambria"/>
          <w:lang w:val="en-US" w:bidi="en-US"/>
        </w:rPr>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t>6.    Smlouva nabývá platnosti dnem podpisu obou Smluvních stran a účinnosti dne 01.08.2020.</w:t>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ind w:left="360" w:hanging="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rPr>
          <w:rFonts w:ascii="Cambria" w:hAnsi="Cambria" w:eastAsia="Calibri"/>
          <w:lang w:val="en-US" w:bidi="en-US"/>
        </w:rPr>
      </w:pPr>
      <w:r>
        <w:rPr>
          <w:rFonts w:eastAsia="Calibri" w:ascii="Cambria" w:hAnsi="Cambria"/>
          <w:lang w:val="en-US" w:bidi="en-US"/>
        </w:rPr>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t>Ve Frýdku-Místku dne ……………………….</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tab/>
        <w:tab/>
        <w:tab/>
        <w:tab/>
        <w:tab/>
        <w:tab/>
        <w:tab/>
        <w:tab/>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t>Pronajímatel:</w:t>
        <w:tab/>
        <w:tab/>
        <w:tab/>
        <w:tab/>
        <w:tab/>
        <w:tab/>
        <w:tab/>
        <w:t>Nájemce:</w:t>
      </w:r>
    </w:p>
    <w:p>
      <w:pPr>
        <w:pStyle w:val="Normal"/>
        <w:spacing w:lineRule="auto" w:line="240" w:before="0" w:after="0"/>
        <w:jc w:val="both"/>
        <w:rPr>
          <w:rFonts w:ascii="Arial" w:hAnsi="Arial" w:cs="Arial"/>
          <w:bCs/>
          <w:color w:val="000000"/>
          <w:sz w:val="20"/>
          <w:szCs w:val="20"/>
        </w:rPr>
      </w:pPr>
      <w:r>
        <w:rPr>
          <w:rFonts w:cs="Arial" w:ascii="Arial" w:hAnsi="Arial"/>
          <w:bCs/>
          <w:color w:val="000000"/>
          <w:sz w:val="20"/>
          <w:szCs w:val="20"/>
        </w:rPr>
      </w:r>
    </w:p>
    <w:p>
      <w:pPr>
        <w:pStyle w:val="Normal"/>
        <w:spacing w:lineRule="auto" w:line="240" w:before="0" w:after="0"/>
        <w:jc w:val="both"/>
        <w:rPr/>
      </w:pPr>
      <w:r>
        <w:rPr>
          <w:rFonts w:cs="Arial" w:ascii="Arial" w:hAnsi="Arial"/>
          <w:bCs/>
          <w:color w:val="000000"/>
          <w:sz w:val="20"/>
          <w:szCs w:val="20"/>
        </w:rPr>
        <w:t>Mgr. Rostislav Hekera, ředitel</w:t>
        <w:tab/>
        <w:tab/>
        <w:tab/>
        <w:tab/>
        <w:tab/>
        <w:t xml:space="preserve">Zuzana Gajdošová, nájemce </w:t>
      </w:r>
    </w:p>
    <w:p>
      <w:pPr>
        <w:pStyle w:val="Normal"/>
        <w:spacing w:before="0" w:after="0"/>
        <w:rPr/>
      </w:pPr>
      <w:r>
        <w:rPr>
          <w:rFonts w:cs="Arial" w:ascii="Arial" w:hAnsi="Arial"/>
          <w:bCs/>
          <w:color w:val="000000"/>
          <w:sz w:val="20"/>
          <w:szCs w:val="20"/>
        </w:rPr>
        <w:tab/>
        <w:tab/>
        <w:tab/>
        <w:tab/>
        <w:tab/>
        <w:tab/>
        <w:tab/>
        <w:t xml:space="preserve">                   </w:t>
      </w:r>
    </w:p>
    <w:sectPr>
      <w:headerReference w:type="default" r:id="rId2"/>
      <w:footerReference w:type="default" r:id="rId3"/>
      <w:type w:val="nextPage"/>
      <w:pgSz w:w="11906" w:h="16838"/>
      <w:pgMar w:left="1247" w:right="1418" w:header="567" w:top="1418" w:footer="567"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Liberation Sans">
    <w:altName w:val="Arial"/>
    <w:charset w:val="ee"/>
    <w:family w:val="swiss"/>
    <w:pitch w:val="variable"/>
  </w:font>
  <w:font w:name="SimpleCzech">
    <w:charset w:val="ee"/>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SimpleCzech" w:hAnsi="SimpleCzech"/>
        <w:sz w:val="20"/>
        <w:szCs w:val="20"/>
      </w:rPr>
    </w:pPr>
    <w:r>
      <w:rPr>
        <w:rFonts w:ascii="SimpleCzech" w:hAnsi="SimpleCzech"/>
        <w:sz w:val="20"/>
        <w:szCs w:val="20"/>
      </w:rPr>
      <w:t>IČ 70632405 DIČ CZ70632405 BS 244982290/0300 ČSOB</w:t>
    </w:r>
  </w:p>
  <w:p>
    <w:pPr>
      <w:pStyle w:val="Footer"/>
      <w:jc w:val="center"/>
      <w:rPr/>
    </w:pPr>
    <w:r>
      <mc:AlternateContent>
        <mc:Choice Requires="wps">
          <w:drawing>
            <wp:anchor behindDoc="1" distT="0" distB="0" distL="114300" distR="114300" simplePos="0" locked="0" layoutInCell="1" allowOverlap="1" relativeHeight="9" wp14:anchorId="4C912D0D">
              <wp:simplePos x="0" y="0"/>
              <wp:positionH relativeFrom="page">
                <wp:posOffset>374015</wp:posOffset>
              </wp:positionH>
              <wp:positionV relativeFrom="page">
                <wp:posOffset>12284710</wp:posOffset>
              </wp:positionV>
              <wp:extent cx="375920" cy="263525"/>
              <wp:effectExtent l="0" t="0" r="3175" b="0"/>
              <wp:wrapNone/>
              <wp:docPr id="4" name="Textové pole 49"/>
              <a:graphic xmlns:a="http://schemas.openxmlformats.org/drawingml/2006/main">
                <a:graphicData uri="http://schemas.microsoft.com/office/word/2010/wordprocessingShape">
                  <wps:wsp>
                    <wps:cNvSpPr/>
                    <wps:spPr>
                      <a:xfrm>
                        <a:off x="0" y="0"/>
                        <a:ext cx="375120" cy="2628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FrameContents"/>
                            <w:spacing w:before="0" w:after="0"/>
                            <w:jc w:val="center"/>
                            <w:rPr>
                              <w:color w:val="000000"/>
                            </w:rPr>
                          </w:pPr>
                          <w:r>
                            <w:rPr>
                              <w:color w:val="000000"/>
                            </w:rPr>
                          </w:r>
                        </w:p>
                      </w:txbxContent>
                    </wps:txbx>
                    <wps:bodyPr lIns="0" rIns="0" anchor="ctr">
                      <a:prstTxWarp prst="textNoShape"/>
                      <a:spAutoFit/>
                    </wps:bodyPr>
                  </wps:wsp>
                </a:graphicData>
              </a:graphic>
              <wp14:sizeRelV relativeFrom="page">
                <wp14:pctHeight>5000</wp14:pctHeight>
              </wp14:sizeRelV>
            </wp:anchor>
          </w:drawing>
        </mc:Choice>
        <mc:Fallback>
          <w:pict>
            <v:rect id="shape_0" ID="Textové pole 49" fillcolor="white" stroked="f" style="position:absolute;margin-left:29.45pt;margin-top:967.3pt;width:29.5pt;height:20.65pt;mso-position-horizontal-relative:page;mso-position-vertical-relative:page" wp14:anchorId="4C912D0D">
              <w10:wrap type="none"/>
              <v:fill o:detectmouseclick="t" type="solid" color2="black"/>
              <v:stroke color="#3465a4" weight="6480" joinstyle="round" endcap="flat"/>
              <v:textbox>
                <w:txbxContent>
                  <w:p>
                    <w:pPr>
                      <w:pStyle w:val="FrameContents"/>
                      <w:spacing w:before="0" w:after="0"/>
                      <w:jc w:val="center"/>
                      <w:rPr>
                        <w:color w:val="000000"/>
                      </w:rPr>
                    </w:pPr>
                    <w:r>
                      <w:rPr>
                        <w:color w:val="000000"/>
                      </w:rPr>
                    </w:r>
                  </w:p>
                </w:txbxContent>
              </v:textbox>
            </v:rect>
          </w:pict>
        </mc:Fallback>
      </mc:AlternateContent>
    </w:r>
    <w:r>
      <w:rPr>
        <w:rFonts w:ascii="SimpleCzech" w:hAnsi="SimpleCzech"/>
        <w:sz w:val="20"/>
        <w:szCs w:val="20"/>
      </w:rPr>
      <w:t xml:space="preserve">                                        </w:t>
    </w:r>
    <w:r>
      <w:rPr>
        <w:rFonts w:ascii="SimpleCzech" w:hAnsi="SimpleCzech"/>
        <w:sz w:val="20"/>
        <w:szCs w:val="20"/>
      </w:rPr>
      <w:t>Zápis v obchodním rejstříku vedeného u KS v Ostravě, oddíl Pr., vložka 80</w:t>
    </w:r>
    <w:r>
      <w:rPr>
        <w:rFonts w:ascii="SimpleCzech" w:hAnsi="SimpleCzech"/>
        <w:sz w:val="20"/>
        <w:szCs w:val="20"/>
      </w:rPr>
      <w:fldChar w:fldCharType="begin"/>
    </w:r>
    <w:r>
      <w:instrText> PAGE </w:instrText>
    </w:r>
    <w:r>
      <w:fldChar w:fldCharType="separate"/>
    </w:r>
    <w:r>
      <w:t>8</w:t>
    </w:r>
    <w:r>
      <w:fldChar w:fldCharType="end"/>
    </w:r>
    <w:r>
      <w:rPr>
        <w:rFonts w:ascii="SimpleCzech" w:hAnsi="SimpleCzech"/>
        <w:sz w:val="20"/>
        <w:szCs w:val="20"/>
      </w:rPr>
      <w:t xml:space="preserve">                                     </w:t>
    </w:r>
    <w:r>
      <w:rPr>
        <w:rFonts w:ascii="SimpleCzech" w:hAnsi="SimpleCzech"/>
        <w:sz w:val="20"/>
        <w:szCs w:val="20"/>
      </w:rPr>
      <w:fldChar w:fldCharType="begin"/>
    </w:r>
    <w:r>
      <w:instrText> PAGE </w:instrText>
    </w:r>
    <w:r>
      <w:fldChar w:fldCharType="separate"/>
    </w:r>
    <w:r>
      <w:t>8</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SimpleCzech" w:hAnsi="SimpleCzech"/>
        <w:b/>
        <w:b/>
        <w:sz w:val="20"/>
        <w:szCs w:val="20"/>
      </w:rPr>
    </w:pPr>
    <w:r>
      <mc:AlternateContent>
        <mc:Choice Requires="wps">
          <w:drawing>
            <wp:anchor behindDoc="1" distT="0" distB="0" distL="114300" distR="114300" simplePos="0" locked="0" layoutInCell="1" allowOverlap="1" relativeHeight="25" wp14:anchorId="2FCCE7C9">
              <wp:simplePos x="0" y="0"/>
              <wp:positionH relativeFrom="column">
                <wp:posOffset>14605</wp:posOffset>
              </wp:positionH>
              <wp:positionV relativeFrom="paragraph">
                <wp:posOffset>-116205</wp:posOffset>
              </wp:positionV>
              <wp:extent cx="4773930" cy="1270"/>
              <wp:effectExtent l="0" t="0" r="27305" b="19050"/>
              <wp:wrapNone/>
              <wp:docPr id="1" name="Přímá spojnice 2"/>
              <a:graphic xmlns:a="http://schemas.openxmlformats.org/drawingml/2006/main">
                <a:graphicData uri="http://schemas.microsoft.com/office/word/2010/wordprocessingShape">
                  <wps:wsp>
                    <wps:cNvSpPr/>
                    <wps:spPr>
                      <a:xfrm>
                        <a:off x="0" y="0"/>
                        <a:ext cx="477324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15pt,-9.15pt" to="376.95pt,-9.15pt" ID="Přímá spojnice 2" stroked="t" style="position:absolute" wp14:anchorId="2FCCE7C9">
              <v:stroke color="black" weight="9360" joinstyle="round" endcap="flat"/>
              <v:fill o:detectmouseclick="t" on="false"/>
            </v:line>
          </w:pict>
        </mc:Fallback>
      </mc:AlternateContent>
      <w:drawing>
        <wp:anchor behindDoc="0" distT="0" distB="0" distL="114300" distR="114300" simplePos="0" locked="0" layoutInCell="1" allowOverlap="1" relativeHeight="17">
          <wp:simplePos x="0" y="0"/>
          <wp:positionH relativeFrom="column">
            <wp:posOffset>4866005</wp:posOffset>
          </wp:positionH>
          <wp:positionV relativeFrom="paragraph">
            <wp:posOffset>-112395</wp:posOffset>
          </wp:positionV>
          <wp:extent cx="495300" cy="666750"/>
          <wp:effectExtent l="0" t="0" r="0" b="0"/>
          <wp:wrapTight wrapText="bothSides">
            <wp:wrapPolygon edited="0">
              <wp:start x="-159" y="0"/>
              <wp:lineTo x="-159" y="20833"/>
              <wp:lineTo x="20760" y="20833"/>
              <wp:lineTo x="20760" y="0"/>
              <wp:lineTo x="-159" y="0"/>
            </wp:wrapPolygon>
          </wp:wrapTight>
          <wp:docPr id="2"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
                  <pic:cNvPicPr>
                    <a:picLocks noChangeAspect="1" noChangeArrowheads="1"/>
                  </pic:cNvPicPr>
                </pic:nvPicPr>
                <pic:blipFill>
                  <a:blip r:embed="rId1"/>
                  <a:stretch>
                    <a:fillRect/>
                  </a:stretch>
                </pic:blipFill>
                <pic:spPr bwMode="auto">
                  <a:xfrm>
                    <a:off x="0" y="0"/>
                    <a:ext cx="495300" cy="666750"/>
                  </a:xfrm>
                  <a:prstGeom prst="rect">
                    <a:avLst/>
                  </a:prstGeom>
                </pic:spPr>
              </pic:pic>
            </a:graphicData>
          </a:graphic>
        </wp:anchor>
      </w:drawing>
    </w:r>
    <w:r>
      <w:rPr>
        <w:rFonts w:ascii="SimpleCzech" w:hAnsi="SimpleCzech"/>
        <w:b/>
        <w:sz w:val="20"/>
        <w:szCs w:val="20"/>
      </w:rPr>
      <w:t>Národní dům FRÝDEK-MÍSTEK</w:t>
    </w:r>
  </w:p>
  <w:p>
    <w:pPr>
      <w:pStyle w:val="Header"/>
      <w:rPr>
        <w:rFonts w:ascii="SimpleCzech" w:hAnsi="SimpleCzech"/>
        <w:sz w:val="20"/>
        <w:szCs w:val="20"/>
      </w:rPr>
    </w:pPr>
    <w:r>
      <w:rPr>
        <w:rFonts w:ascii="SimpleCzech" w:hAnsi="SimpleCzech"/>
        <w:sz w:val="20"/>
        <w:szCs w:val="20"/>
      </w:rPr>
      <w:t>“</w:t>
    </w:r>
    <w:r>
      <w:rPr>
        <w:rFonts w:ascii="SimpleCzech" w:hAnsi="SimpleCzech"/>
        <w:sz w:val="20"/>
        <w:szCs w:val="20"/>
      </w:rPr>
      <w:t>příspěvková organizace“</w:t>
    </w:r>
  </w:p>
  <w:p>
    <w:pPr>
      <w:pStyle w:val="Header"/>
      <w:rPr>
        <w:rFonts w:ascii="SimpleCzech" w:hAnsi="SimpleCzech"/>
        <w:sz w:val="20"/>
        <w:szCs w:val="20"/>
      </w:rPr>
    </w:pPr>
    <w:r>
      <mc:AlternateContent>
        <mc:Choice Requires="wps">
          <w:drawing>
            <wp:anchor behindDoc="1" distT="0" distB="0" distL="114300" distR="114300" simplePos="0" locked="0" layoutInCell="1" allowOverlap="1" relativeHeight="33" wp14:anchorId="7E23AD56">
              <wp:simplePos x="0" y="0"/>
              <wp:positionH relativeFrom="column">
                <wp:posOffset>14605</wp:posOffset>
              </wp:positionH>
              <wp:positionV relativeFrom="paragraph">
                <wp:posOffset>265430</wp:posOffset>
              </wp:positionV>
              <wp:extent cx="4774565" cy="1270"/>
              <wp:effectExtent l="0" t="0" r="26670" b="19050"/>
              <wp:wrapNone/>
              <wp:docPr id="3" name="Přímá spojnice 3"/>
              <a:graphic xmlns:a="http://schemas.openxmlformats.org/drawingml/2006/main">
                <a:graphicData uri="http://schemas.microsoft.com/office/word/2010/wordprocessingShape">
                  <wps:wsp>
                    <wps:cNvSpPr/>
                    <wps:spPr>
                      <a:xfrm>
                        <a:off x="0" y="0"/>
                        <a:ext cx="477396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15pt,20.9pt" to="377pt,20.9pt" ID="Přímá spojnice 3" stroked="t" style="position:absolute" wp14:anchorId="7E23AD56">
              <v:stroke color="black" weight="9360" joinstyle="round" endcap="flat"/>
              <v:fill o:detectmouseclick="t" on="false"/>
            </v:line>
          </w:pict>
        </mc:Fallback>
      </mc:AlternateContent>
    </w:r>
    <w:r>
      <w:rPr>
        <w:rFonts w:ascii="SimpleCzech" w:hAnsi="SimpleCzech"/>
        <w:sz w:val="20"/>
        <w:szCs w:val="20"/>
      </w:rPr>
      <w:t>Palackého 134, 738 01 Frýdek-Místek</w:t>
    </w:r>
  </w:p>
  <w:p>
    <w:pPr>
      <w:pStyle w:val="Normal"/>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360" w:hanging="360"/>
      </w:pPr>
      <w:rPr>
        <w:sz w:val="20"/>
        <w:b/>
        <w:rFonts w:ascii="Arial" w:hAnsi="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rPr>
        <w:sz w:val="20"/>
        <w:b/>
        <w:szCs w:val="20"/>
        <w:rFonts w:ascii="Cambria" w:hAnsi="Cambria"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rPr>
        <w:sz w:val="20"/>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720" w:hanging="360"/>
      </w:pPr>
    </w:lvl>
    <w:lvl w:ilvl="1">
      <w:start w:val="1"/>
      <w:numFmt w:val="bullet"/>
      <w:lvlText w:val="-"/>
      <w:lvlJc w:val="left"/>
      <w:pPr>
        <w:ind w:left="1440" w:hanging="360"/>
      </w:pPr>
      <w:rPr>
        <w:rFonts w:ascii="Arial" w:hAnsi="Arial" w:cs="Arial" w:hint="default"/>
        <w:rFonts w:cs="Arial"/>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bullet"/>
      <w:lvlText w:val=""/>
      <w:lvlJc w:val="left"/>
      <w:pPr>
        <w:ind w:left="1080" w:hanging="360"/>
      </w:pPr>
      <w:rPr>
        <w:rFonts w:ascii="Symbol" w:hAnsi="Symbol" w:cs="Symbol" w:hint="default"/>
      </w:rPr>
    </w:lvl>
    <w:lvl w:ilvl="1">
      <w:start w:val="1"/>
      <w:numFmt w:val="bullet"/>
      <w:lvlText w:val="-"/>
      <w:lvlJc w:val="left"/>
      <w:pPr>
        <w:ind w:left="1800" w:hanging="360"/>
      </w:pPr>
      <w:rPr>
        <w:rFonts w:ascii="Arial" w:hAnsi="Arial" w:cs="Arial" w:hint="default"/>
        <w:rFonts w:cs="Arial"/>
        <w:color w:val="00000A"/>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5">
    <w:lvl w:ilvl="0">
      <w:start w:val="1"/>
      <w:numFmt w:val="bullet"/>
      <w:lvlText w:val=""/>
      <w:lvlJc w:val="left"/>
      <w:pPr>
        <w:ind w:left="1080" w:hanging="360"/>
      </w:pPr>
      <w:rPr>
        <w:rFonts w:ascii="Symbol" w:hAnsi="Symbol" w:cs="Symbol" w:hint="default"/>
      </w:rPr>
    </w:lvl>
    <w:lvl w:ilvl="1">
      <w:start w:val="1"/>
      <w:numFmt w:val="bullet"/>
      <w:lvlText w:val="-"/>
      <w:lvlJc w:val="left"/>
      <w:pPr>
        <w:ind w:left="1800" w:hanging="360"/>
      </w:pPr>
      <w:rPr>
        <w:rFonts w:ascii="Arial" w:hAnsi="Arial" w:cs="Arial" w:hint="default"/>
        <w:rFonts w:cs="Arial"/>
        <w:color w:val="00000A"/>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6">
    <w:lvl w:ilvl="0">
      <w:start w:val="1"/>
      <w:numFmt w:val="bullet"/>
      <w:lvlText w:val=""/>
      <w:lvlJc w:val="left"/>
      <w:pPr>
        <w:ind w:left="1080" w:hanging="360"/>
      </w:pPr>
      <w:rPr>
        <w:rFonts w:ascii="Symbol" w:hAnsi="Symbol" w:cs="Symbol" w:hint="default"/>
        <w:sz w:val="20"/>
        <w:color w:val="00000A"/>
      </w:rPr>
    </w:lvl>
    <w:lvl w:ilvl="1">
      <w:start w:val="1"/>
      <w:numFmt w:val="bullet"/>
      <w:lvlText w:val="-"/>
      <w:lvlJc w:val="left"/>
      <w:pPr>
        <w:ind w:left="1800" w:hanging="360"/>
      </w:pPr>
      <w:rPr>
        <w:rFonts w:ascii="Arial" w:hAnsi="Arial" w:cs="Arial" w:hint="default"/>
        <w:rFonts w:cs="Arial"/>
        <w:color w:val="00000A"/>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39e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c24781"/>
    <w:rPr>
      <w:rFonts w:eastAsia="" w:eastAsiaTheme="minorEastAsia"/>
      <w:lang w:eastAsia="cs-CZ"/>
    </w:rPr>
  </w:style>
  <w:style w:type="character" w:styleId="ZpatChar" w:customStyle="1">
    <w:name w:val="Zápatí Char"/>
    <w:basedOn w:val="DefaultParagraphFont"/>
    <w:link w:val="Zpat"/>
    <w:uiPriority w:val="99"/>
    <w:qFormat/>
    <w:rsid w:val="00c24781"/>
    <w:rPr/>
  </w:style>
  <w:style w:type="character" w:styleId="TextbublinyChar" w:customStyle="1">
    <w:name w:val="Text bubliny Char"/>
    <w:basedOn w:val="DefaultParagraphFont"/>
    <w:link w:val="Textbubliny"/>
    <w:uiPriority w:val="99"/>
    <w:semiHidden/>
    <w:qFormat/>
    <w:rsid w:val="00c24781"/>
    <w:rPr>
      <w:rFonts w:ascii="Tahoma" w:hAnsi="Tahoma" w:cs="Tahoma"/>
      <w:sz w:val="16"/>
      <w:szCs w:val="16"/>
    </w:rPr>
  </w:style>
  <w:style w:type="character" w:styleId="BezmezerChar" w:customStyle="1">
    <w:name w:val="Bez mezer Char"/>
    <w:link w:val="Bezmezer"/>
    <w:uiPriority w:val="1"/>
    <w:qFormat/>
    <w:rsid w:val="006f0ca1"/>
    <w:rPr>
      <w:rFonts w:ascii="Times New Roman" w:hAnsi="Times New Roman" w:eastAsia="Times New Roman" w:cs="Times New Roman"/>
      <w:sz w:val="24"/>
      <w:szCs w:val="24"/>
      <w:lang w:eastAsia="cs-CZ"/>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Arial"/>
      <w:sz w:val="20"/>
      <w:szCs w:val="20"/>
    </w:rPr>
  </w:style>
  <w:style w:type="character" w:styleId="ListLabel5">
    <w:name w:val="ListLabel 5"/>
    <w:qFormat/>
    <w:rPr>
      <w:sz w:val="20"/>
    </w:rPr>
  </w:style>
  <w:style w:type="character" w:styleId="ListLabel6">
    <w:name w:val="ListLabel 6"/>
    <w:qFormat/>
    <w:rPr>
      <w:rFonts w:eastAsia="Calibri" w:cs=""/>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0"/>
    </w:rPr>
  </w:style>
  <w:style w:type="character" w:styleId="ListLabel11">
    <w:name w:val="ListLabel 11"/>
    <w:qFormat/>
    <w:rPr>
      <w:rFonts w:ascii="Arial" w:hAnsi="Arial"/>
      <w:b/>
      <w:sz w:val="20"/>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ascii="Arial" w:hAnsi="Arial"/>
      <w:b/>
      <w:sz w:val="20"/>
    </w:rPr>
  </w:style>
  <w:style w:type="character" w:styleId="ListLabel16">
    <w:name w:val="ListLabel 16"/>
    <w:qFormat/>
    <w:rPr>
      <w:rFonts w:ascii="Arial" w:hAnsi="Arial"/>
      <w:b/>
      <w:sz w:val="20"/>
    </w:rPr>
  </w:style>
  <w:style w:type="character" w:styleId="ListLabel17">
    <w:name w:val="ListLabel 17"/>
    <w:qFormat/>
    <w:rPr>
      <w:rFonts w:ascii="Arial" w:hAnsi="Arial"/>
      <w:b/>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rFonts w:ascii="Cambria" w:hAnsi="Cambria" w:cs="Arial"/>
      <w:b/>
      <w:sz w:val="20"/>
      <w:szCs w:val="20"/>
    </w:rPr>
  </w:style>
  <w:style w:type="character" w:styleId="ListLabel21">
    <w:name w:val="ListLabel 21"/>
    <w:qFormat/>
    <w:rPr>
      <w:rFonts w:ascii="Arial" w:hAnsi="Arial"/>
      <w:sz w:val="20"/>
    </w:rPr>
  </w:style>
  <w:style w:type="character" w:styleId="ListLabel22">
    <w:name w:val="ListLabel 22"/>
    <w:qFormat/>
    <w:rPr>
      <w:rFonts w:eastAsia="Calibri" w:cs="Arial"/>
      <w:color w:val="00000A"/>
    </w:rPr>
  </w:style>
  <w:style w:type="character" w:styleId="ListLabel23">
    <w:name w:val="ListLabel 23"/>
    <w:qFormat/>
    <w:rPr>
      <w:rFonts w:eastAsia="Calibri" w:cs="Arial"/>
      <w:color w:val="00000A"/>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Calibri" w:cs="Arial"/>
      <w:color w:val="00000A"/>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ascii="Arial" w:hAnsi="Arial"/>
      <w:color w:val="00000A"/>
      <w:sz w:val="20"/>
    </w:rPr>
  </w:style>
  <w:style w:type="character" w:styleId="ListLabel30">
    <w:name w:val="ListLabel 30"/>
    <w:qFormat/>
    <w:rPr>
      <w:rFonts w:eastAsia="Calibri" w:cs="Arial"/>
      <w:color w:val="00000A"/>
    </w:rPr>
  </w:style>
  <w:style w:type="character" w:styleId="ListLabel31">
    <w:name w:val="ListLabel 31"/>
    <w:qFormat/>
    <w:rPr>
      <w:rFonts w:cs="Courier New"/>
    </w:rPr>
  </w:style>
  <w:style w:type="character" w:styleId="ListLabel32">
    <w:name w:val="ListLabel 32"/>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ZhlavChar"/>
    <w:uiPriority w:val="99"/>
    <w:unhideWhenUsed/>
    <w:rsid w:val="00c24781"/>
    <w:pPr>
      <w:tabs>
        <w:tab w:val="center" w:pos="4536" w:leader="none"/>
        <w:tab w:val="right" w:pos="9072" w:leader="none"/>
      </w:tabs>
      <w:spacing w:lineRule="auto" w:line="240" w:before="0" w:after="0"/>
    </w:pPr>
    <w:rPr>
      <w:rFonts w:eastAsia="" w:eastAsiaTheme="minorEastAsia"/>
      <w:lang w:eastAsia="cs-CZ"/>
    </w:rPr>
  </w:style>
  <w:style w:type="paragraph" w:styleId="Footer">
    <w:name w:val="Footer"/>
    <w:basedOn w:val="Normal"/>
    <w:link w:val="ZpatChar"/>
    <w:unhideWhenUsed/>
    <w:rsid w:val="00c24781"/>
    <w:pPr>
      <w:tabs>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24781"/>
    <w:pPr>
      <w:spacing w:lineRule="auto" w:line="240" w:before="0" w:after="0"/>
    </w:pPr>
    <w:rPr>
      <w:rFonts w:ascii="Tahoma" w:hAnsi="Tahoma" w:cs="Tahoma"/>
      <w:sz w:val="16"/>
      <w:szCs w:val="16"/>
    </w:rPr>
  </w:style>
  <w:style w:type="paragraph" w:styleId="ListParagraph">
    <w:name w:val="List Paragraph"/>
    <w:basedOn w:val="Normal"/>
    <w:uiPriority w:val="34"/>
    <w:qFormat/>
    <w:rsid w:val="00cc39ed"/>
    <w:pPr>
      <w:spacing w:before="0" w:after="200"/>
      <w:ind w:left="720" w:hanging="0"/>
      <w:contextualSpacing/>
    </w:pPr>
    <w:rPr/>
  </w:style>
  <w:style w:type="paragraph" w:styleId="NoSpacing">
    <w:name w:val="No Spacing"/>
    <w:link w:val="BezmezerChar"/>
    <w:uiPriority w:val="1"/>
    <w:qFormat/>
    <w:rsid w:val="00d50461"/>
    <w:pPr>
      <w:widowControl/>
      <w:bidi w:val="0"/>
      <w:spacing w:lineRule="auto" w:line="240" w:before="0" w:after="0"/>
      <w:jc w:val="left"/>
    </w:pPr>
    <w:rPr>
      <w:rFonts w:ascii="Times New Roman" w:hAnsi="Times New Roman" w:eastAsia="Times New Roman" w:cs="Times New Roman"/>
      <w:color w:val="auto"/>
      <w:sz w:val="24"/>
      <w:szCs w:val="24"/>
      <w:lang w:eastAsia="cs-CZ" w:val="cs-CZ"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F707-88AE-4664-AF54-7548BCB3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LibreOffice/5.2.0.4$Windows_X86_64 LibreOffice_project/066b007f5ebcc236395c7d282ba488bca6720265</Application>
  <Pages>11</Pages>
  <Words>2563</Words>
  <Characters>15137</Characters>
  <CharactersWithSpaces>17700</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2020-12-14T11:58:00Z</dcterms:created>
  <dc:creator>Jarmila Chýlková</dc:creator>
  <dc:description/>
  <dc:language>en-GB</dc:language>
  <cp:lastModifiedBy>jana.baklikova</cp:lastModifiedBy>
  <cp:lastPrinted>2018-02-01T10:03:00Z</cp:lastPrinted>
  <dcterms:modified xsi:type="dcterms:W3CDTF">2020-12-14T11:58:00Z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