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© sfdi</w:t>
      </w:r>
      <w:bookmarkEnd w:id="2"/>
      <w:bookmarkEnd w:id="3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4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DOFAAVNI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„Souvislé opravy silnic, opravy mostů a opěrných zdí Kraje Vysočina v roce 2016,</w:t>
        <w:br/>
        <w:t>IV. etapa“ část II - II/390 Budišov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objednatele: N-ST-6-2016-II, číslo smlouvy zhotovitele: FIRESTA 65/2016, VHS 1602</w:t>
        <w:br/>
        <w:t>030 1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2400" distB="948055" distL="0" distR="0" simplePos="0" relativeHeight="125829378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152400</wp:posOffset>
                </wp:positionV>
                <wp:extent cx="5888990" cy="16122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8990" cy="16122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954"/>
                              <w:gridCol w:w="7320"/>
                            </w:tblGrid>
                            <w:tr>
                              <w:trPr>
                                <w:tblHeader/>
                                <w:trHeight w:val="60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Článek 1 Smluvní strany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Krajská správa a údržba silnic Vysočiny, příspěvková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Kosovská 1122/16, 586 01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Ing. Radovanem Necidem, ředitelem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Komerční banka, 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účtu: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00090450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CZ00090450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950000000000003pt;margin-top:12.pt;width:463.69999999999999pt;height:126.95pt;z-index:-125829375;mso-wrap-distance-left:0;mso-wrap-distance-top:12.pt;mso-wrap-distance-right:0;mso-wrap-distance-bottom:74.650000000000006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954"/>
                        <w:gridCol w:w="7320"/>
                      </w:tblGrid>
                      <w:tr>
                        <w:trPr>
                          <w:tblHeader/>
                          <w:trHeight w:val="60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Článek 1 Smluvní strany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</w:tc>
                      </w:tr>
                      <w:tr>
                        <w:trPr>
                          <w:trHeight w:val="29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ředitelem organizace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c>
                      </w:tr>
                      <w:tr>
                        <w:trPr>
                          <w:trHeight w:val="54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31010" distB="0" distL="0" distR="0" simplePos="0" relativeHeight="12582938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1731010</wp:posOffset>
                </wp:positionV>
                <wp:extent cx="2279650" cy="9817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9650" cy="981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Zřizovatel: Kraj Vysočina (dále jen „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Objednatel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“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.450000000000003pt;margin-top:136.30000000000001pt;width:179.5pt;height:77.299999999999997pt;z-index:-125829373;mso-wrap-distance-left:0;mso-wrap-distance-top:136.3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Zřizovatel: Kraj Vysočina (dále jen „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“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)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2107"/>
        <w:gridCol w:w="7166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Společnost Vysočina IV. - F+VHST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Mlýnská 388/68, 602 00 Brno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účastníci společnosti: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FIRESTA-Fišer, rekonstrukce, stavby a.s.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(vedoucí účastník)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Mlýnská 388/68, 602 00 Brno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členem představenstva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KS v Brně, oddíl B, vložka 2144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Osoby pověřené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954"/>
        <w:gridCol w:w="7320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člen představenstva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vedoucí střediska 28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KB Brno - město, UniCredit Bank Czech Republic and Slovakia, a.s.</w:t>
            </w:r>
          </w:p>
        </w:tc>
      </w:tr>
    </w:tbl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left"/>
        <w:tblLayout w:type="fixed"/>
      </w:tblPr>
      <w:tblGrid>
        <w:gridCol w:w="1954"/>
        <w:gridCol w:w="7320"/>
      </w:tblGrid>
      <w:tr>
        <w:trPr>
          <w:trHeight w:val="6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253 17 628 CZ253 17 628</w:t>
            </w:r>
          </w:p>
        </w:tc>
      </w:tr>
    </w:tbl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tbl>
      <w:tblPr>
        <w:tblOverlap w:val="never"/>
        <w:jc w:val="left"/>
        <w:tblLayout w:type="fixed"/>
      </w:tblPr>
      <w:tblGrid>
        <w:gridCol w:w="1954"/>
        <w:gridCol w:w="7325"/>
      </w:tblGrid>
      <w:tr>
        <w:trPr>
          <w:trHeight w:val="14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Vodohospodářské stavby, společnost s ručením omezeným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(společník)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Křižíkova 2393, 415 01 Teplice</w:t>
            </w:r>
          </w:p>
        </w:tc>
      </w:tr>
    </w:tbl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G sfdi</w:t>
      </w:r>
      <w:bookmarkEnd w:id="4"/>
      <w:bookmarkEnd w:id="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STATNI FOND OOWUYNI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 jednatelem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KS v Ústí nad Labem, oddíl C, vložka 1578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0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402 33 308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0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CZ402 33 308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 ohledem na skutečnost, že nebyla dodržena tloušťka obrusné vrstvy v části průtahu městyse Budišov, uzavírají smluvní strany ke smlouvě o dílo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„Souvislé opravy silnic, opravy mostů a opěrných zdí Kraje Vysočina v roce 2016, IV. etapa“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číslo smlouvy objednatele: N-ST-6-2016-II číslo smlouvy zhotovitele: FIRESTA 65/2016, VHS 1602 030 1, ze dne 29.7.2016 (dále SoD) tento Dodatek č. 2, a to v souladu s ustanovením § 222 odst. 4 zákona č. 134/2016 Sb., o zadávání veřejných zakázek.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smluvních podmínek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souvislosti s výše uvedeným dochází k prodloužení záruky za jakost a tedy ke změně Článku 12 SoD - Odpovědnost za vady díla a záruka za jakost a to následujícím způsobem: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Původní znění se ruší:</w:t>
      </w:r>
      <w:bookmarkEnd w:id="10"/>
      <w:bookmarkEnd w:id="11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poskytne na dílo, které je předmětem této smlouvy, záruku v délce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60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ode dne podepsání písemného protokolu o předání a převzetí díla.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 nahrazuje se novým zněním:</w:t>
      </w:r>
      <w:bookmarkEnd w:id="12"/>
      <w:bookmarkEnd w:id="13"/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0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poskytne na dílo, které je předmětem této smlouvy, záruku v délce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60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ode dne podepsání písemného protokolu o předání a převzetí díla s výjimkou úseku č. 3 v km 0,530-1,000 na který zhotovitel poskytuje záruku v délce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72 měsíců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 ode dne podepsání písemného protokolu o předání a převzetí díla.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3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  <w:bookmarkEnd w:id="14"/>
      <w:bookmarkEnd w:id="15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SoD nedotčené Dodatkem č. 2 zůstávají v platnosti v původním znění.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neupravená v Dodatku č. 2 se řídí zákonem č. 89/2012 Sb., občanský zákoník.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 je nedílnou součástí stávající SoD.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 je vyhotoven ve čtyřech stejnopisech, z nichž dva výtisky obdrží objednatel a dva zhotovitel.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2 nabývá platnosti dnem podpisu a účinnosti dnem uveřejnění v informačním systému veřejné správy - Registru smluv.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12700" distL="0" distR="0" simplePos="0" relativeHeight="125829382" behindDoc="0" locked="0" layoutInCell="1" allowOverlap="1">
            <wp:simplePos x="0" y="0"/>
            <wp:positionH relativeFrom="page">
              <wp:posOffset>3317875</wp:posOffset>
            </wp:positionH>
            <wp:positionV relativeFrom="paragraph">
              <wp:posOffset>0</wp:posOffset>
            </wp:positionV>
            <wp:extent cx="1395730" cy="77406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95730" cy="774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0" w:val="left"/>
        </w:tabs>
        <w:bidi w:val="0"/>
        <w:spacing w:before="0" w:after="9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12700</wp:posOffset>
                </wp:positionV>
                <wp:extent cx="725170" cy="20129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7.pt;margin-top:1.pt;width:57.100000000000001pt;height:15.8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6200" distB="3175" distL="0" distR="0" simplePos="0" relativeHeight="125829385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76200</wp:posOffset>
                </wp:positionV>
                <wp:extent cx="1898650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86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91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V Brně dne: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.pt;margin-top:6.pt;width:149.5pt;height:15.85pt;z-index:-125829368;mso-wrap-distance-left:0;mso-wrap-distance-top:6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9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Brně dne: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375" distB="0" distL="0" distR="0" simplePos="0" relativeHeight="125829387" behindDoc="0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79375</wp:posOffset>
                </wp:positionV>
                <wp:extent cx="2035810" cy="2012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58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13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V Jihlavě dne: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0.19999999999999pt;margin-top:6.25pt;width:160.30000000000001pt;height:15.85pt;z-index:-125829366;mso-wrap-distance-left:0;mso-wrap-distance-top:6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1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Jihlavě dne: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00" distB="0" distL="0" distR="0" simplePos="0" relativeHeight="125829389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1270000</wp:posOffset>
                </wp:positionV>
                <wp:extent cx="2599690" cy="3778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969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člen představenstva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FIRESTA-Fišer, rekonstrukce, stavby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9.799999999999997pt;margin-top:100.pt;width:204.69999999999999pt;height:29.75pt;z-index:-125829364;mso-wrap-distance-left:0;mso-wrap-distance-top:100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0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člen představenstva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FIRESTA-Fišer, rekonstrukce, stavby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0" distB="173355" distL="0" distR="0" simplePos="0" relativeHeight="125829391" behindDoc="0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1270000</wp:posOffset>
                </wp:positionV>
                <wp:extent cx="2435225" cy="20447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522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 Necid, ředitel organizace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3.25pt;margin-top:100.pt;width:191.75pt;height:16.100000000000001pt;z-index:-125829362;mso-wrap-distance-left:0;mso-wrap-distance-top:100.pt;mso-wrap-distance-right:0;mso-wrap-distance-bottom:13.6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Necid,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3355" w:val="left"/>
        </w:tabs>
        <w:bidi w:val="0"/>
        <w:spacing w:before="0" w:after="2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Teplicích dne: 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8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jednatel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960" w:right="0" w:hanging="1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Vodohospodářské stavby, společnost s ručeným omezeným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2240" w:h="15840"/>
      <w:pgMar w:top="893" w:left="1140" w:right="727" w:bottom="837" w:header="46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9625330</wp:posOffset>
              </wp:positionV>
              <wp:extent cx="5763895" cy="1066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638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2 k SoD č. N-ST-6-2016-II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0.350000000000001pt;margin-top:757.89999999999998pt;width:453.85000000000002pt;height:8.4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2 k SoD č. N-ST-6-2016-II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9578340</wp:posOffset>
              </wp:positionV>
              <wp:extent cx="657733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700000000000003pt;margin-top:754.20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1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1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213964"/>
      <w:sz w:val="58"/>
      <w:szCs w:val="58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color w:val="8A9198"/>
      <w:sz w:val="10"/>
      <w:szCs w:val="1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1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13964"/>
      <w:sz w:val="58"/>
      <w:szCs w:val="58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FFFFFF"/>
      <w:spacing w:after="520"/>
      <w:ind w:left="2480"/>
    </w:pPr>
    <w:rPr>
      <w:rFonts w:ascii="Arial" w:eastAsia="Arial" w:hAnsi="Arial" w:cs="Arial"/>
      <w:b/>
      <w:bCs/>
      <w:i w:val="0"/>
      <w:iCs w:val="0"/>
      <w:smallCaps w:val="0"/>
      <w:strike w:val="0"/>
      <w:color w:val="8A9198"/>
      <w:sz w:val="10"/>
      <w:szCs w:val="1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