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F" w:rsidRPr="008C7021" w:rsidRDefault="0058609F" w:rsidP="0058609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58609F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</w:t>
      </w:r>
      <w:r>
        <w:rPr>
          <w:rFonts w:asciiTheme="minorHAnsi" w:hAnsiTheme="minorHAnsi"/>
        </w:rPr>
        <w:t>, manažerem projektu Obědy pro děti</w:t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B60A33" w:rsidRDefault="006A5EDB" w:rsidP="008C74BE">
      <w:pPr>
        <w:ind w:right="-585"/>
        <w:rPr>
          <w:rFonts w:asciiTheme="minorHAnsi" w:hAnsiTheme="minorHAnsi"/>
          <w:b/>
          <w:i/>
        </w:rPr>
      </w:pPr>
      <w:r w:rsidRPr="00B60A33">
        <w:rPr>
          <w:rFonts w:asciiTheme="minorHAnsi" w:hAnsiTheme="minorHAnsi"/>
          <w:b/>
          <w:i/>
        </w:rPr>
        <w:t>Základní škola Jihlava, Křížová 33, příspěvková organizace</w:t>
      </w:r>
      <w:r w:rsidR="00F62224" w:rsidRPr="00B60A33">
        <w:rPr>
          <w:rFonts w:asciiTheme="minorHAnsi" w:hAnsiTheme="minorHAnsi"/>
          <w:b/>
          <w:i/>
        </w:rPr>
        <w:t xml:space="preserve"> </w:t>
      </w:r>
    </w:p>
    <w:p w:rsidR="006A5EDB" w:rsidRPr="00B60A33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60A33">
        <w:rPr>
          <w:rFonts w:asciiTheme="minorHAnsi" w:hAnsiTheme="minorHAnsi"/>
          <w:i/>
        </w:rPr>
        <w:t>Křížová 1367/33</w:t>
      </w:r>
    </w:p>
    <w:p w:rsidR="00F62224" w:rsidRPr="00B60A33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60A33">
        <w:rPr>
          <w:rFonts w:asciiTheme="minorHAnsi" w:hAnsiTheme="minorHAnsi"/>
          <w:i/>
        </w:rPr>
        <w:t>58601, Jihlava</w:t>
      </w:r>
    </w:p>
    <w:p w:rsidR="006A5EDB" w:rsidRPr="00B60A33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60A33">
        <w:rPr>
          <w:rFonts w:asciiTheme="minorHAnsi" w:hAnsiTheme="minorHAnsi"/>
          <w:i/>
        </w:rPr>
        <w:t>IČ: 70878854</w:t>
      </w:r>
    </w:p>
    <w:p w:rsidR="006A5EDB" w:rsidRPr="00B60A33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60A33">
        <w:rPr>
          <w:rFonts w:asciiTheme="minorHAnsi" w:hAnsiTheme="minorHAnsi"/>
          <w:i/>
        </w:rPr>
        <w:t>Zastoupena osobou: Mgr. Jana Nováková Hotařová</w:t>
      </w:r>
    </w:p>
    <w:p w:rsidR="008B49FC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60A33">
        <w:rPr>
          <w:rFonts w:asciiTheme="minorHAnsi" w:hAnsiTheme="minorHAnsi"/>
          <w:i/>
        </w:rPr>
        <w:t xml:space="preserve">Pracovní pozice: </w:t>
      </w:r>
      <w:bookmarkStart w:id="0" w:name="OLE_LINK1"/>
      <w:bookmarkStart w:id="1" w:name="OLE_LINK2"/>
      <w:r w:rsidRPr="00B60A33">
        <w:rPr>
          <w:rFonts w:asciiTheme="minorHAnsi" w:hAnsiTheme="minorHAnsi"/>
          <w:i/>
        </w:rPr>
        <w:t>ředitelka</w:t>
      </w:r>
      <w:bookmarkEnd w:id="0"/>
      <w:bookmarkEnd w:id="1"/>
    </w:p>
    <w:p w:rsidR="008B49FC" w:rsidRPr="008C7021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Pr="00B60A33" w:rsidRDefault="00CD33C4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B60A33">
        <w:rPr>
          <w:rFonts w:asciiTheme="minorHAnsi" w:hAnsiTheme="minorHAnsi"/>
        </w:rPr>
        <w:t>Dárce touto smlouvou daruje obdarovanému finanční částku ve výši</w:t>
      </w:r>
      <w:r w:rsidR="004A4B2B" w:rsidRPr="00B60A33">
        <w:rPr>
          <w:rFonts w:asciiTheme="minorHAnsi" w:hAnsiTheme="minorHAnsi"/>
        </w:rPr>
        <w:t xml:space="preserve"> </w:t>
      </w:r>
      <w:r w:rsidRPr="00B60A33">
        <w:rPr>
          <w:rFonts w:asciiTheme="minorHAnsi" w:hAnsiTheme="minorHAnsi"/>
          <w:b/>
        </w:rPr>
        <w:t>62356</w:t>
      </w:r>
      <w:r w:rsidR="009216ED" w:rsidRPr="00B60A33">
        <w:rPr>
          <w:rFonts w:asciiTheme="minorHAnsi" w:hAnsiTheme="minorHAnsi"/>
          <w:b/>
        </w:rPr>
        <w:t xml:space="preserve">,- </w:t>
      </w:r>
      <w:r w:rsidR="001E7654" w:rsidRPr="00B60A33">
        <w:rPr>
          <w:rFonts w:asciiTheme="minorHAnsi" w:hAnsiTheme="minorHAnsi"/>
          <w:b/>
        </w:rPr>
        <w:t>Kč</w:t>
      </w:r>
      <w:r w:rsidR="004A4B2B" w:rsidRPr="00B60A33">
        <w:rPr>
          <w:rFonts w:asciiTheme="minorHAnsi" w:hAnsiTheme="minorHAnsi"/>
          <w:b/>
        </w:rPr>
        <w:t xml:space="preserve"> </w:t>
      </w:r>
      <w:r w:rsidR="001E7654" w:rsidRPr="00B60A33">
        <w:rPr>
          <w:rFonts w:asciiTheme="minorHAnsi" w:hAnsiTheme="minorHAnsi"/>
          <w:b/>
        </w:rPr>
        <w:t xml:space="preserve">(slovy: </w:t>
      </w:r>
      <w:r w:rsidRPr="00B60A33">
        <w:rPr>
          <w:rFonts w:asciiTheme="minorHAnsi" w:hAnsiTheme="minorHAnsi"/>
          <w:b/>
        </w:rPr>
        <w:t>šedesát dva tisíc tři sta padesát šest</w:t>
      </w:r>
      <w:r w:rsidR="001E7654" w:rsidRPr="00B60A33">
        <w:rPr>
          <w:rFonts w:asciiTheme="minorHAnsi" w:hAnsiTheme="minorHAnsi"/>
          <w:b/>
        </w:rPr>
        <w:t xml:space="preserve"> </w:t>
      </w:r>
      <w:r w:rsidR="008C74BE" w:rsidRPr="00B60A33">
        <w:rPr>
          <w:rFonts w:asciiTheme="minorHAnsi" w:hAnsiTheme="minorHAnsi"/>
          <w:b/>
        </w:rPr>
        <w:t>korun českých)</w:t>
      </w:r>
      <w:r w:rsidR="008C74BE" w:rsidRPr="00B60A33">
        <w:rPr>
          <w:rFonts w:asciiTheme="minorHAnsi" w:hAnsiTheme="minorHAnsi"/>
        </w:rPr>
        <w:t>, (dále jen jako „</w:t>
      </w:r>
      <w:r w:rsidR="008C74BE" w:rsidRPr="00B60A33">
        <w:rPr>
          <w:rFonts w:asciiTheme="minorHAnsi" w:hAnsiTheme="minorHAnsi"/>
          <w:b/>
        </w:rPr>
        <w:t>dar</w:t>
      </w:r>
      <w:r w:rsidR="008C74BE" w:rsidRPr="00B60A33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B60A33">
        <w:rPr>
          <w:rFonts w:asciiTheme="minorHAnsi" w:hAnsiTheme="minorHAnsi"/>
        </w:rPr>
        <w:t xml:space="preserve"> </w:t>
      </w:r>
      <w:r w:rsidR="006A5EDB" w:rsidRPr="00B60A33">
        <w:rPr>
          <w:rFonts w:asciiTheme="minorHAnsi" w:hAnsiTheme="minorHAnsi"/>
        </w:rPr>
        <w:t>od </w:t>
      </w:r>
      <w:r w:rsidRPr="00B60A33">
        <w:rPr>
          <w:rFonts w:asciiTheme="minorHAnsi" w:hAnsiTheme="minorHAnsi"/>
        </w:rPr>
        <w:t>01. 01. 2021</w:t>
      </w:r>
      <w:r w:rsidR="006A5EDB" w:rsidRPr="00B60A33">
        <w:rPr>
          <w:rFonts w:asciiTheme="minorHAnsi" w:hAnsiTheme="minorHAnsi"/>
        </w:rPr>
        <w:t xml:space="preserve"> do </w:t>
      </w:r>
      <w:r w:rsidRPr="00B60A33">
        <w:rPr>
          <w:rFonts w:asciiTheme="minorHAnsi" w:hAnsiTheme="minorHAnsi"/>
        </w:rPr>
        <w:t>30. 06. 2021</w:t>
      </w:r>
      <w:r w:rsidR="00BC65A3" w:rsidRPr="00B60A33">
        <w:rPr>
          <w:rFonts w:asciiTheme="minorHAnsi" w:hAnsiTheme="minorHAnsi"/>
        </w:rPr>
        <w:t xml:space="preserve"> ve prospěch </w:t>
      </w:r>
      <w:r w:rsidRPr="00B60A33">
        <w:rPr>
          <w:rFonts w:asciiTheme="minorHAnsi" w:hAnsiTheme="minorHAnsi"/>
          <w:i/>
        </w:rPr>
        <w:t>19</w:t>
      </w:r>
      <w:r w:rsidR="00BC65A3" w:rsidRPr="00B60A33">
        <w:rPr>
          <w:rFonts w:asciiTheme="minorHAnsi" w:hAnsiTheme="minorHAnsi"/>
        </w:rPr>
        <w:t xml:space="preserve"> </w:t>
      </w:r>
      <w:r w:rsidRPr="00B60A33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CF2B6D" w:rsidRPr="00B60A33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B60A33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B60A33">
        <w:rPr>
          <w:rFonts w:asciiTheme="minorHAnsi" w:hAnsiTheme="minorHAnsi"/>
        </w:rPr>
        <w:t>Výše uvedený dar bude dárcem převeden na bankovní účet obdarovaného, č. účtu 29022-1466077389/0800</w:t>
      </w:r>
      <w:r w:rsidR="006A5EDB" w:rsidRPr="00B60A33">
        <w:rPr>
          <w:rFonts w:asciiTheme="minorHAnsi" w:hAnsiTheme="minorHAnsi"/>
        </w:rPr>
        <w:t xml:space="preserve">, vedený u </w:t>
      </w:r>
      <w:r w:rsidRPr="00B60A33">
        <w:rPr>
          <w:rFonts w:asciiTheme="minorHAnsi" w:hAnsiTheme="minorHAnsi"/>
        </w:rPr>
        <w:t>Česká spořitelna, a.s.</w:t>
      </w:r>
      <w:r w:rsidR="008C74BE" w:rsidRPr="00B60A33">
        <w:rPr>
          <w:rFonts w:asciiTheme="minorHAnsi" w:hAnsiTheme="minorHAnsi"/>
        </w:rPr>
        <w:t>.</w:t>
      </w:r>
    </w:p>
    <w:p w:rsidR="001E7654" w:rsidRPr="00B60A33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B60A33">
        <w:rPr>
          <w:rFonts w:asciiTheme="minorHAnsi" w:hAnsiTheme="minorHAnsi"/>
        </w:rPr>
        <w:lastRenderedPageBreak/>
        <w:t>Dar je určen pro účely úhrady měsíčních záloh za obědové služby pro období od 01. 01. 2021</w:t>
      </w:r>
      <w:r w:rsidR="006A5EDB" w:rsidRPr="00B60A33">
        <w:rPr>
          <w:rFonts w:asciiTheme="minorHAnsi" w:hAnsiTheme="minorHAnsi"/>
        </w:rPr>
        <w:t xml:space="preserve"> do </w:t>
      </w:r>
      <w:r w:rsidRPr="00B60A33">
        <w:rPr>
          <w:rFonts w:asciiTheme="minorHAnsi" w:hAnsiTheme="minorHAnsi"/>
        </w:rPr>
        <w:t>30. 06. 2021</w:t>
      </w:r>
      <w:r w:rsidR="001E7654" w:rsidRPr="00B60A33">
        <w:rPr>
          <w:rFonts w:asciiTheme="minorHAnsi" w:hAnsiTheme="minorHAnsi"/>
        </w:rPr>
        <w:t xml:space="preserve"> ve prospěch těchto </w:t>
      </w:r>
      <w:r w:rsidR="00C17AFD" w:rsidRPr="00B60A33">
        <w:rPr>
          <w:rFonts w:asciiTheme="minorHAnsi" w:hAnsiTheme="minorHAnsi"/>
        </w:rPr>
        <w:t>nezletilých dětí - žáků</w:t>
      </w:r>
      <w:r w:rsidR="001E7654" w:rsidRPr="00B60A33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B60A33">
        <w:rPr>
          <w:rFonts w:asciiTheme="minorHAnsi" w:hAnsiTheme="minorHAnsi"/>
        </w:rPr>
        <w:t xml:space="preserve">(a) </w:t>
      </w:r>
      <w:r w:rsidRPr="00E94D5A">
        <w:rPr>
          <w:rFonts w:asciiTheme="minorHAnsi" w:hAnsiTheme="minorHAnsi"/>
          <w:highlight w:val="black"/>
        </w:rPr>
        <w:t>Eva Cinová, 2005</w:t>
      </w:r>
      <w:r w:rsidRPr="00E94D5A">
        <w:rPr>
          <w:rFonts w:asciiTheme="minorHAnsi" w:hAnsiTheme="minorHAnsi"/>
          <w:highlight w:val="black"/>
        </w:rPr>
        <w:br/>
        <w:t>(b) Dana Pacltová, 2005</w:t>
      </w:r>
      <w:r w:rsidRPr="00E94D5A">
        <w:rPr>
          <w:rFonts w:asciiTheme="minorHAnsi" w:hAnsiTheme="minorHAnsi"/>
          <w:highlight w:val="black"/>
        </w:rPr>
        <w:br/>
        <w:t>(c) Filip Číhal, 2008</w:t>
      </w:r>
      <w:r w:rsidRPr="00E94D5A">
        <w:rPr>
          <w:rFonts w:asciiTheme="minorHAnsi" w:hAnsiTheme="minorHAnsi"/>
          <w:highlight w:val="black"/>
        </w:rPr>
        <w:br/>
        <w:t>(d) Lukáš Paclt, 2010</w:t>
      </w:r>
      <w:r w:rsidRPr="00E94D5A">
        <w:rPr>
          <w:rFonts w:asciiTheme="minorHAnsi" w:hAnsiTheme="minorHAnsi"/>
          <w:highlight w:val="black"/>
        </w:rPr>
        <w:br/>
        <w:t>(e) Zuzana Gáborová, 2008</w:t>
      </w:r>
      <w:r w:rsidRPr="00E94D5A">
        <w:rPr>
          <w:rFonts w:asciiTheme="minorHAnsi" w:hAnsiTheme="minorHAnsi"/>
          <w:highlight w:val="black"/>
        </w:rPr>
        <w:br/>
        <w:t>(f) Sandra Ketnerová, 2010</w:t>
      </w:r>
      <w:r w:rsidRPr="00E94D5A">
        <w:rPr>
          <w:rFonts w:asciiTheme="minorHAnsi" w:hAnsiTheme="minorHAnsi"/>
          <w:highlight w:val="black"/>
        </w:rPr>
        <w:br/>
        <w:t>(g) Tereza Slavíková, 2010</w:t>
      </w:r>
      <w:r w:rsidRPr="00E94D5A">
        <w:rPr>
          <w:rFonts w:asciiTheme="minorHAnsi" w:hAnsiTheme="minorHAnsi"/>
          <w:highlight w:val="black"/>
        </w:rPr>
        <w:br/>
        <w:t>(h) Pavel Šmejkal, 2008</w:t>
      </w:r>
      <w:r w:rsidRPr="00E94D5A">
        <w:rPr>
          <w:rFonts w:asciiTheme="minorHAnsi" w:hAnsiTheme="minorHAnsi"/>
          <w:highlight w:val="black"/>
        </w:rPr>
        <w:br/>
        <w:t>(i) Josef Bláha, 2009</w:t>
      </w:r>
      <w:r w:rsidRPr="00E94D5A">
        <w:rPr>
          <w:rFonts w:asciiTheme="minorHAnsi" w:hAnsiTheme="minorHAnsi"/>
          <w:highlight w:val="black"/>
        </w:rPr>
        <w:br/>
        <w:t>(j) Jiří Bláha, 2007</w:t>
      </w:r>
      <w:bookmarkStart w:id="2" w:name="_GoBack"/>
      <w:bookmarkEnd w:id="2"/>
      <w:r w:rsidRPr="00E94D5A">
        <w:rPr>
          <w:rFonts w:asciiTheme="minorHAnsi" w:hAnsiTheme="minorHAnsi"/>
          <w:highlight w:val="black"/>
        </w:rPr>
        <w:br/>
        <w:t>(k) Tomáš Konečný, 2013</w:t>
      </w:r>
      <w:r w:rsidRPr="00E94D5A">
        <w:rPr>
          <w:rFonts w:asciiTheme="minorHAnsi" w:hAnsiTheme="minorHAnsi"/>
          <w:highlight w:val="black"/>
        </w:rPr>
        <w:br/>
        <w:t>(l) Lori Mirgová, 2013</w:t>
      </w:r>
      <w:r w:rsidRPr="00E94D5A">
        <w:rPr>
          <w:rFonts w:asciiTheme="minorHAnsi" w:hAnsiTheme="minorHAnsi"/>
          <w:highlight w:val="black"/>
        </w:rPr>
        <w:br/>
        <w:t>(m) Julie Mirgová, 2009</w:t>
      </w:r>
      <w:r w:rsidRPr="00E94D5A">
        <w:rPr>
          <w:rFonts w:asciiTheme="minorHAnsi" w:hAnsiTheme="minorHAnsi"/>
          <w:highlight w:val="black"/>
        </w:rPr>
        <w:br/>
        <w:t>(n) Jiří Šibra, 2006</w:t>
      </w:r>
      <w:r w:rsidRPr="00E94D5A">
        <w:rPr>
          <w:rFonts w:asciiTheme="minorHAnsi" w:hAnsiTheme="minorHAnsi"/>
          <w:highlight w:val="black"/>
        </w:rPr>
        <w:br/>
        <w:t>(o) Lukáš Mareš, 2009</w:t>
      </w:r>
      <w:r w:rsidRPr="00E94D5A">
        <w:rPr>
          <w:rFonts w:asciiTheme="minorHAnsi" w:hAnsiTheme="minorHAnsi"/>
          <w:highlight w:val="black"/>
        </w:rPr>
        <w:br/>
        <w:t>(p) Petr Mareš, 2013</w:t>
      </w:r>
      <w:r w:rsidRPr="00E94D5A">
        <w:rPr>
          <w:rFonts w:asciiTheme="minorHAnsi" w:hAnsiTheme="minorHAnsi"/>
          <w:highlight w:val="black"/>
        </w:rPr>
        <w:br/>
        <w:t>(q) Serhi Hlebena, 2007</w:t>
      </w:r>
      <w:r w:rsidRPr="00E94D5A">
        <w:rPr>
          <w:rFonts w:asciiTheme="minorHAnsi" w:hAnsiTheme="minorHAnsi"/>
          <w:highlight w:val="black"/>
        </w:rPr>
        <w:br/>
        <w:t>(r) Kamila Cinová, 2011</w:t>
      </w:r>
      <w:r w:rsidRPr="00E94D5A">
        <w:rPr>
          <w:rFonts w:asciiTheme="minorHAnsi" w:hAnsiTheme="minorHAnsi"/>
          <w:highlight w:val="black"/>
        </w:rPr>
        <w:br/>
        <w:t>(s) Martina  Gáborová, 2014</w:t>
      </w:r>
      <w:r w:rsidRPr="00B60A33">
        <w:rPr>
          <w:rFonts w:asciiTheme="minorHAnsi" w:hAnsiTheme="minorHAnsi"/>
        </w:rPr>
        <w:br/>
      </w:r>
    </w:p>
    <w:p w:rsidR="006F5B65" w:rsidRPr="008C7021" w:rsidRDefault="006F5B65" w:rsidP="006F5B65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B60A33" w:rsidRDefault="006F5B65" w:rsidP="00267502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B60A33">
        <w:rPr>
          <w:rFonts w:asciiTheme="minorHAnsi" w:hAnsiTheme="minorHAnsi"/>
        </w:rPr>
        <w:t>Obdarovaný se zavazuje, že nejpozději do 31. 8. 2021 doloží dárci elektronické vyúčtování (skutečné vyčerpání) záloh za obědové služby pro období od 01. 01. 2021</w:t>
      </w:r>
      <w:r w:rsidR="006A5EDB" w:rsidRPr="00B60A33">
        <w:rPr>
          <w:rFonts w:asciiTheme="minorHAnsi" w:hAnsiTheme="minorHAnsi"/>
        </w:rPr>
        <w:t xml:space="preserve"> do </w:t>
      </w:r>
      <w:r w:rsidRPr="00B60A33">
        <w:rPr>
          <w:rFonts w:asciiTheme="minorHAnsi" w:hAnsiTheme="minorHAnsi"/>
        </w:rPr>
        <w:t>30. 06. 2021</w:t>
      </w:r>
      <w:r w:rsidR="00EE203A" w:rsidRPr="00B60A33">
        <w:rPr>
          <w:rFonts w:asciiTheme="minorHAnsi" w:hAnsiTheme="minorHAnsi"/>
        </w:rPr>
        <w:t>,</w:t>
      </w:r>
      <w:r w:rsidRPr="00B60A33">
        <w:rPr>
          <w:rFonts w:asciiTheme="minorHAnsi" w:hAnsiTheme="minorHAnsi"/>
        </w:rPr>
        <w:t xml:space="preserve"> 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15. 9. 2021 vrátit příslušný přeplatek na transparentní účet dárce číslo 888555999/5500 vedený u </w:t>
      </w:r>
      <w:proofErr w:type="spellStart"/>
      <w:r w:rsidRPr="00B60A33">
        <w:rPr>
          <w:rFonts w:asciiTheme="minorHAnsi" w:hAnsiTheme="minorHAnsi"/>
        </w:rPr>
        <w:t>Raiffeisenbank</w:t>
      </w:r>
      <w:proofErr w:type="spellEnd"/>
      <w:r w:rsidRPr="00B60A33">
        <w:rPr>
          <w:rFonts w:asciiTheme="minorHAnsi" w:hAnsiTheme="minorHAnsi"/>
        </w:rPr>
        <w:t xml:space="preserve">, a.s. a do poznámky k platbě pro příjemce uvede „přeplatek nevyužitého daru 2021“. </w:t>
      </w:r>
    </w:p>
    <w:p w:rsidR="006F5B65" w:rsidRPr="00B60A33" w:rsidRDefault="006F5B65" w:rsidP="00267502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B60A33">
        <w:rPr>
          <w:rFonts w:asciiTheme="minorHAnsi" w:hAnsiTheme="minorHAnsi"/>
        </w:rPr>
        <w:lastRenderedPageBreak/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6F5B65" w:rsidRPr="008C7021" w:rsidRDefault="006F5B65" w:rsidP="006F5B65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6F5B65" w:rsidRPr="008C7021" w:rsidRDefault="006F5B65" w:rsidP="006F5B65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B60A33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8C3772">
        <w:rPr>
          <w:rFonts w:asciiTheme="minorHAnsi" w:hAnsiTheme="minorHAnsi"/>
        </w:rPr>
        <w:t>V</w:t>
      </w:r>
      <w:r w:rsidRPr="00CE1FB5">
        <w:rPr>
          <w:rFonts w:asciiTheme="minorHAnsi" w:hAnsiTheme="minorHAnsi"/>
        </w:rPr>
        <w:t xml:space="preserve"> případě, že obdarovaný nebude moci čerpat obědové služby na určené žáky (viz čl. I. odst. 3 této smlouvy), např. z důvodu přestoupení </w:t>
      </w:r>
      <w:r>
        <w:rPr>
          <w:rFonts w:asciiTheme="minorHAnsi" w:hAnsiTheme="minorHAnsi"/>
        </w:rPr>
        <w:t xml:space="preserve">žáka </w:t>
      </w:r>
      <w:r w:rsidRPr="00CE1FB5">
        <w:rPr>
          <w:rFonts w:asciiTheme="minorHAnsi" w:hAnsiTheme="minorHAnsi"/>
        </w:rPr>
        <w:t>na jinou školu</w:t>
      </w:r>
      <w:r>
        <w:rPr>
          <w:rFonts w:asciiTheme="minorHAnsi" w:hAnsiTheme="minorHAnsi"/>
        </w:rPr>
        <w:t>, 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nebo z jiného důvodu přestane čerpat příspěvky, může požádat dárce o změnu určeného žáka.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8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</w:t>
      </w:r>
      <w:r w:rsidRPr="00B60A33">
        <w:rPr>
          <w:rFonts w:asciiTheme="minorHAnsi" w:hAnsiTheme="minorHAnsi"/>
        </w:rPr>
        <w:t>adresu jana.novakova@zskrizova.cz</w:t>
      </w:r>
      <w:r w:rsidR="00541A0F" w:rsidRPr="00B60A33">
        <w:rPr>
          <w:rFonts w:asciiTheme="minorHAnsi" w:hAnsiTheme="minorHAnsi"/>
        </w:rPr>
        <w:t xml:space="preserve">. </w:t>
      </w:r>
    </w:p>
    <w:p w:rsidR="006F5B65" w:rsidRPr="008C7021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6F5B65" w:rsidRDefault="006F5B65" w:rsidP="006F5B65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B60A33" w:rsidRDefault="00B60A33" w:rsidP="00B60A33">
      <w:pPr>
        <w:spacing w:before="120"/>
        <w:jc w:val="both"/>
        <w:rPr>
          <w:rFonts w:asciiTheme="minorHAnsi" w:hAnsiTheme="minorHAnsi"/>
        </w:rPr>
      </w:pPr>
    </w:p>
    <w:p w:rsidR="00B60A33" w:rsidRDefault="00B60A33" w:rsidP="00B60A33">
      <w:pPr>
        <w:spacing w:before="120"/>
        <w:jc w:val="both"/>
        <w:rPr>
          <w:rFonts w:asciiTheme="minorHAnsi" w:hAnsiTheme="minorHAnsi"/>
        </w:rPr>
      </w:pPr>
    </w:p>
    <w:p w:rsidR="00B60A33" w:rsidRPr="008C7021" w:rsidRDefault="00B60A33" w:rsidP="00B60A33">
      <w:pPr>
        <w:spacing w:before="120"/>
        <w:jc w:val="both"/>
        <w:rPr>
          <w:rFonts w:asciiTheme="minorHAnsi" w:hAnsiTheme="minorHAnsi"/>
        </w:rPr>
      </w:pP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lastRenderedPageBreak/>
        <w:t>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6F5B65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01. 01. 2021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</w:t>
            </w:r>
            <w:r w:rsidR="00B60A33">
              <w:rPr>
                <w:rFonts w:asciiTheme="minorHAnsi" w:hAnsiTheme="minorHAnsi" w:cs="Arial"/>
              </w:rPr>
              <w:t>Jihlavě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r w:rsidR="00B60A33">
              <w:rPr>
                <w:rFonts w:asciiTheme="minorHAnsi" w:hAnsiTheme="minorHAnsi" w:cs="Arial"/>
              </w:rPr>
              <w:t>22. 01.</w:t>
            </w:r>
            <w:r w:rsidRPr="008C7021">
              <w:rPr>
                <w:rFonts w:asciiTheme="minorHAnsi" w:hAnsiTheme="minorHAnsi" w:cs="Arial"/>
              </w:rPr>
              <w:t xml:space="preserve"> 20</w:t>
            </w:r>
            <w:r w:rsidR="00B60A33">
              <w:rPr>
                <w:rFonts w:asciiTheme="minorHAnsi" w:hAnsiTheme="minorHAnsi" w:cs="Arial"/>
              </w:rPr>
              <w:t>21</w:t>
            </w: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B60A33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B60A33">
              <w:rPr>
                <w:rFonts w:asciiTheme="minorHAnsi" w:hAnsiTheme="minorHAnsi"/>
                <w:b/>
              </w:rPr>
              <w:t>Základní škola Jihlava, Křížová 33, příspěvková organizace</w:t>
            </w:r>
          </w:p>
          <w:p w:rsidR="008C74BE" w:rsidRPr="00B60A33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B60A33">
              <w:rPr>
                <w:rFonts w:asciiTheme="minorHAnsi" w:hAnsiTheme="minorHAnsi"/>
                <w:b/>
              </w:rPr>
              <w:t>Mgr. Jana Nováková Hotařová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Jihlava, Křížová 33,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01. 01. 2021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62356 Kč</w:t>
      </w:r>
    </w:p>
    <w:tbl>
      <w:tblPr>
        <w:tblStyle w:val="Svtlmkatabulky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D77B7D" w:rsidRPr="006D0C21" w:rsidTr="00D77B7D">
        <w:trPr>
          <w:trHeight w:val="300"/>
        </w:trPr>
        <w:tc>
          <w:tcPr>
            <w:tcW w:w="42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30 Kč</w:t>
            </w:r>
          </w:p>
        </w:tc>
        <w:tc>
          <w:tcPr>
            <w:tcW w:w="2310" w:type="auto"/>
          </w:tcPr>
          <w:p w:rsidR="001042D0" w:rsidRDefault="00602E4D">
            <w:r>
              <w:t>3570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2.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30 Kč</w:t>
            </w:r>
          </w:p>
        </w:tc>
        <w:tc>
          <w:tcPr>
            <w:tcW w:w="2310" w:type="auto"/>
          </w:tcPr>
          <w:p w:rsidR="001042D0" w:rsidRDefault="00602E4D">
            <w:r>
              <w:t>3570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3.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4.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5.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6.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7.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8.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9.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10.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11.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12.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13.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14.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30 Kč</w:t>
            </w:r>
          </w:p>
        </w:tc>
        <w:tc>
          <w:tcPr>
            <w:tcW w:w="2310" w:type="auto"/>
          </w:tcPr>
          <w:p w:rsidR="001042D0" w:rsidRDefault="00602E4D">
            <w:r>
              <w:t>3570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15.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16.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17.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28 Kč</w:t>
            </w:r>
          </w:p>
        </w:tc>
        <w:tc>
          <w:tcPr>
            <w:tcW w:w="2310" w:type="auto"/>
          </w:tcPr>
          <w:p w:rsidR="001042D0" w:rsidRDefault="00602E4D">
            <w:r>
              <w:t>3332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18.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602E4D">
            <w:r>
              <w:t>19.</w:t>
            </w:r>
          </w:p>
        </w:tc>
        <w:tc>
          <w:tcPr>
            <w:tcW w:w="2310" w:type="auto"/>
          </w:tcPr>
          <w:p w:rsidR="001042D0" w:rsidRDefault="001042D0"/>
        </w:tc>
        <w:tc>
          <w:tcPr>
            <w:tcW w:w="2310" w:type="auto"/>
          </w:tcPr>
          <w:p w:rsidR="001042D0" w:rsidRDefault="00602E4D">
            <w:r>
              <w:t>119</w:t>
            </w:r>
          </w:p>
        </w:tc>
        <w:tc>
          <w:tcPr>
            <w:tcW w:w="2310" w:type="auto"/>
          </w:tcPr>
          <w:p w:rsidR="001042D0" w:rsidRDefault="00602E4D">
            <w:r>
              <w:t>26 Kč</w:t>
            </w:r>
          </w:p>
        </w:tc>
        <w:tc>
          <w:tcPr>
            <w:tcW w:w="2310" w:type="auto"/>
          </w:tcPr>
          <w:p w:rsidR="001042D0" w:rsidRDefault="00602E4D">
            <w:r>
              <w:t>3094 Kč</w:t>
            </w:r>
          </w:p>
        </w:tc>
      </w:tr>
      <w:tr w:rsidR="001042D0">
        <w:tc>
          <w:tcPr>
            <w:tcW w:w="2310" w:type="auto"/>
          </w:tcPr>
          <w:p w:rsidR="001042D0" w:rsidRDefault="001042D0"/>
        </w:tc>
        <w:tc>
          <w:tcPr>
            <w:tcW w:w="2310" w:type="auto"/>
            <w:gridSpan w:val="3"/>
          </w:tcPr>
          <w:p w:rsidR="001042D0" w:rsidRDefault="00602E4D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1042D0" w:rsidRDefault="00602E4D">
            <w:r>
              <w:rPr>
                <w:b/>
              </w:rPr>
              <w:t>62356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  <w:sectPr w:rsidR="008B5D32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</w:t>
      </w:r>
      <w:r w:rsidR="00B60A33">
        <w:rPr>
          <w:rFonts w:ascii="Calibri" w:eastAsia="SimSun" w:hAnsi="Calibri" w:cs="Calibri"/>
          <w:kern w:val="3"/>
          <w:lang w:eastAsia="zh-CN" w:bidi="hi-IN"/>
        </w:rPr>
        <w:t>Jihlavě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dne </w:t>
      </w:r>
      <w:r>
        <w:rPr>
          <w:rFonts w:ascii="Calibri" w:eastAsia="SimSun" w:hAnsi="Calibri" w:cs="Calibri"/>
          <w:kern w:val="3"/>
          <w:lang w:eastAsia="zh-CN" w:bidi="hi-IN"/>
        </w:rPr>
        <w:t>22. 1. 2021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B60A33" w:rsidRDefault="008B5D32" w:rsidP="00B60A33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60A33">
        <w:rPr>
          <w:rFonts w:ascii="Calibri" w:eastAsia="SimSun" w:hAnsi="Calibri" w:cs="Calibri"/>
          <w:kern w:val="3"/>
          <w:lang w:eastAsia="zh-CN" w:bidi="hi-IN"/>
        </w:rPr>
        <w:t>v souladu s čl. I. odst. 4 darovací smlouvy, pro školní rok 2020/21, vám tímto potvrzujeme, že ředitel školy prominul všem žákům uvedeným v darovací smlouvě (popř. v dodatku k darovací smlouvě), úplatu za obědové služby dle § 123 odst. 4 školského zákona a to za období od 01. 01. 2021 do 30. 06. 2021, jak je toto období uvedeno v darovací smlouvě.</w:t>
      </w:r>
    </w:p>
    <w:p w:rsidR="008B5D32" w:rsidRPr="00B60A3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B60A3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B60A33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B60A33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 Jihlava, Křížová 33, příspěvková organizace </w:t>
      </w:r>
    </w:p>
    <w:p w:rsidR="008B5D32" w:rsidRPr="00B60A3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B60A33">
        <w:rPr>
          <w:rFonts w:ascii="Calibri" w:eastAsia="SimSun" w:hAnsi="Calibri" w:cs="Calibri"/>
          <w:i/>
          <w:kern w:val="3"/>
          <w:lang w:eastAsia="zh-CN" w:bidi="hi-IN"/>
        </w:rPr>
        <w:t>Křížová 1367/33</w:t>
      </w:r>
    </w:p>
    <w:p w:rsidR="008B5D32" w:rsidRPr="00B60A3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B60A33">
        <w:rPr>
          <w:rFonts w:ascii="Calibri" w:eastAsia="SimSun" w:hAnsi="Calibri" w:cs="Calibri"/>
          <w:i/>
          <w:kern w:val="3"/>
          <w:lang w:eastAsia="zh-CN" w:bidi="hi-IN"/>
        </w:rPr>
        <w:t>58601, Jihlava</w:t>
      </w:r>
    </w:p>
    <w:p w:rsidR="008B5D32" w:rsidRPr="00B60A3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B60A33">
        <w:rPr>
          <w:rFonts w:ascii="Calibri" w:eastAsia="SimSun" w:hAnsi="Calibri" w:cs="Calibri"/>
          <w:i/>
          <w:kern w:val="3"/>
          <w:lang w:eastAsia="zh-CN" w:bidi="hi-IN"/>
        </w:rPr>
        <w:t>IČ: 70878854</w:t>
      </w:r>
    </w:p>
    <w:p w:rsidR="008B5D32" w:rsidRPr="00B60A3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B60A33">
        <w:rPr>
          <w:rFonts w:ascii="Calibri" w:eastAsia="SimSun" w:hAnsi="Calibri" w:cs="Calibri"/>
          <w:i/>
          <w:kern w:val="3"/>
          <w:lang w:eastAsia="zh-CN" w:bidi="hi-IN"/>
        </w:rPr>
        <w:t>Zastoupena osobou: Mgr. Jana Nováková Hotařová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B60A33">
        <w:rPr>
          <w:rFonts w:ascii="Calibri" w:eastAsia="SimSun" w:hAnsi="Calibri" w:cs="Calibri"/>
          <w:i/>
          <w:kern w:val="3"/>
          <w:lang w:eastAsia="zh-CN" w:bidi="hi-IN"/>
        </w:rPr>
        <w:t>Pracovní pozice: ředitelka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4D" w:rsidRDefault="00602E4D">
      <w:r>
        <w:separator/>
      </w:r>
    </w:p>
  </w:endnote>
  <w:endnote w:type="continuationSeparator" w:id="0">
    <w:p w:rsidR="00602E4D" w:rsidRDefault="00602E4D">
      <w:r>
        <w:continuationSeparator/>
      </w:r>
    </w:p>
  </w:endnote>
  <w:endnote w:type="continuationNotice" w:id="1">
    <w:p w:rsidR="00602E4D" w:rsidRDefault="00602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A3" w:rsidRPr="00F31CE6" w:rsidRDefault="0041327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/202</w:t>
    </w:r>
    <w:r w:rsidR="00CD33C4">
      <w:rPr>
        <w:rFonts w:asciiTheme="minorHAnsi" w:hAnsiTheme="minorHAnsi"/>
        <w:sz w:val="24"/>
      </w:rPr>
      <w:t>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4D" w:rsidRDefault="00602E4D">
      <w:r>
        <w:separator/>
      </w:r>
    </w:p>
  </w:footnote>
  <w:footnote w:type="continuationSeparator" w:id="0">
    <w:p w:rsidR="00602E4D" w:rsidRDefault="00602E4D">
      <w:r>
        <w:continuationSeparator/>
      </w:r>
    </w:p>
  </w:footnote>
  <w:footnote w:type="continuationNotice" w:id="1">
    <w:p w:rsidR="00602E4D" w:rsidRDefault="00602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C4" w:rsidRPr="00CD33C4" w:rsidRDefault="00CD33C4" w:rsidP="00CD33C4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CD33C4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CD33C4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154C0" w:rsidRPr="00CD33C4" w:rsidRDefault="00602E4D" w:rsidP="00CD33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042D0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A7A6F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13FE"/>
    <w:rsid w:val="00523288"/>
    <w:rsid w:val="00541A0F"/>
    <w:rsid w:val="005758CB"/>
    <w:rsid w:val="0058609F"/>
    <w:rsid w:val="005A20E9"/>
    <w:rsid w:val="005B704B"/>
    <w:rsid w:val="005C61DE"/>
    <w:rsid w:val="005C7BD9"/>
    <w:rsid w:val="005D59ED"/>
    <w:rsid w:val="005D641F"/>
    <w:rsid w:val="0060062E"/>
    <w:rsid w:val="00602E4D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6F5B6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48C"/>
    <w:rsid w:val="007A61B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B49FC"/>
    <w:rsid w:val="008B5D32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41DD1"/>
    <w:rsid w:val="00A61F9C"/>
    <w:rsid w:val="00A633D1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0A33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33C4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9640C"/>
    <w:rsid w:val="00DA2D17"/>
    <w:rsid w:val="00DB092C"/>
    <w:rsid w:val="00DB342E"/>
    <w:rsid w:val="00DC3EAC"/>
    <w:rsid w:val="00DD5776"/>
    <w:rsid w:val="00DD765C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6AD"/>
    <w:rsid w:val="00E94D5A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942DF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00DF-4269-45A2-9644-5E5D5F43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9344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HUDECOVÁ Hana</cp:lastModifiedBy>
  <cp:revision>3</cp:revision>
  <cp:lastPrinted>2021-01-22T06:51:00Z</cp:lastPrinted>
  <dcterms:created xsi:type="dcterms:W3CDTF">2021-01-22T06:53:00Z</dcterms:created>
  <dcterms:modified xsi:type="dcterms:W3CDTF">2021-01-22T06:55:00Z</dcterms:modified>
</cp:coreProperties>
</file>