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79" w:rsidRDefault="000A7573">
      <w:pPr>
        <w:pStyle w:val="Bodytext20"/>
        <w:spacing w:after="0"/>
      </w:pPr>
      <w:r>
        <w:t>S 7/2014-13/</w:t>
      </w:r>
      <w:proofErr w:type="spellStart"/>
      <w:r>
        <w:t>jr</w:t>
      </w:r>
      <w:proofErr w:type="spellEnd"/>
    </w:p>
    <w:p w:rsidR="000E2379" w:rsidRDefault="000A7573">
      <w:pPr>
        <w:pStyle w:val="Bodytext20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165100</wp:posOffset>
                </wp:positionV>
                <wp:extent cx="780415" cy="3994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2379" w:rsidRDefault="000A7573">
                            <w:pPr>
                              <w:pStyle w:val="Bodytext30"/>
                            </w:pPr>
                            <w:r>
                              <w:rPr>
                                <w:u w:val="none"/>
                              </w:rPr>
                              <w:t>(</w:t>
                            </w:r>
                            <w:proofErr w:type="spellStart"/>
                            <w:r>
                              <w:t>Di</w:t>
                            </w:r>
                            <w:r>
                              <w:t>li</w:t>
                            </w:r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6.3pt;margin-top:13pt;width:61.45pt;height:31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" filled="f" stroked="f">
                <v:textbox inset="0,0,0,0">
                  <w:txbxContent>
                    <w:p w:rsidR="000E2379" w:rsidRDefault="000A7573">
                      <w:pPr>
                        <w:pStyle w:val="Bodytext30"/>
                      </w:pPr>
                      <w:r>
                        <w:rPr>
                          <w:u w:val="none"/>
                        </w:rPr>
                        <w:t>(</w:t>
                      </w:r>
                      <w:proofErr w:type="spellStart"/>
                      <w:r>
                        <w:t>Di</w:t>
                      </w:r>
                      <w:r>
                        <w:t>li</w:t>
                      </w:r>
                      <w:r>
                        <w:t>a</w:t>
                      </w:r>
                      <w:proofErr w:type="spellEnd"/>
                      <w:r>
                        <w:rPr>
                          <w:u w:val="none"/>
                        </w:rPr>
                        <w:t>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7. prolongace/</w:t>
      </w:r>
      <w:proofErr w:type="spellStart"/>
      <w:r>
        <w:t>jr</w:t>
      </w:r>
      <w:proofErr w:type="spellEnd"/>
    </w:p>
    <w:p w:rsidR="000E2379" w:rsidRDefault="000A7573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bookmarkStart w:id="1" w:name="bookmark1"/>
      <w:bookmarkStart w:id="2" w:name="bookmark2"/>
      <w:r>
        <w:t>Smlouva o pronájmu notových materiálů</w:t>
      </w:r>
      <w:bookmarkEnd w:id="0"/>
      <w:bookmarkEnd w:id="1"/>
      <w:bookmarkEnd w:id="2"/>
    </w:p>
    <w:p w:rsidR="000E2379" w:rsidRDefault="000A7573">
      <w:pPr>
        <w:pStyle w:val="Heading410"/>
        <w:keepNext/>
        <w:keepLines/>
        <w:spacing w:after="0" w:line="252" w:lineRule="auto"/>
        <w:jc w:val="left"/>
      </w:pPr>
      <w:bookmarkStart w:id="3" w:name="bookmark3"/>
      <w:bookmarkStart w:id="4" w:name="bookmark4"/>
      <w:bookmarkStart w:id="5" w:name="bookmark5"/>
      <w:r>
        <w:rPr>
          <w:lang w:val="en-US" w:eastAsia="en-US" w:bidi="en-US"/>
        </w:rPr>
        <w:t xml:space="preserve">DILI </w:t>
      </w:r>
      <w:r>
        <w:t>A, divadelní, literární, audiovizuální agentura, z. s.</w:t>
      </w:r>
      <w:bookmarkEnd w:id="3"/>
      <w:bookmarkEnd w:id="4"/>
      <w:bookmarkEnd w:id="5"/>
    </w:p>
    <w:p w:rsidR="000E2379" w:rsidRDefault="000A7573">
      <w:pPr>
        <w:pStyle w:val="Bodytext10"/>
      </w:pPr>
      <w:r>
        <w:t>se sídlem Krátkého 1, 190 03 Praha 9</w:t>
      </w:r>
    </w:p>
    <w:p w:rsidR="000E2379" w:rsidRDefault="000A7573">
      <w:pPr>
        <w:pStyle w:val="Bodytext10"/>
      </w:pPr>
      <w:r>
        <w:t>spolek zapsaný u Městského soudu v Praze, oddíl L, vložka 7695</w:t>
      </w:r>
    </w:p>
    <w:p w:rsidR="000E2379" w:rsidRDefault="000A7573">
      <w:pPr>
        <w:pStyle w:val="Bodytext10"/>
      </w:pPr>
      <w:r>
        <w:t xml:space="preserve">IČ:65401875, </w:t>
      </w:r>
      <w:r>
        <w:t>DIČ: CZ65401875</w:t>
      </w:r>
    </w:p>
    <w:p w:rsidR="000E2379" w:rsidRDefault="000A7573">
      <w:pPr>
        <w:pStyle w:val="Bodytext10"/>
      </w:pPr>
      <w:r>
        <w:t xml:space="preserve">bankovní spojení: </w:t>
      </w:r>
      <w:proofErr w:type="spellStart"/>
      <w:r>
        <w:t>xxxxx</w:t>
      </w:r>
      <w:proofErr w:type="spellEnd"/>
      <w:r>
        <w:rPr>
          <w:lang w:val="en-US" w:eastAsia="en-US" w:bidi="en-US"/>
        </w:rPr>
        <w:t xml:space="preserve"> </w:t>
      </w:r>
      <w:r>
        <w:t xml:space="preserve">se sídlem </w:t>
      </w:r>
      <w:r>
        <w:rPr>
          <w:lang w:val="en-US" w:eastAsia="en-US" w:bidi="en-US"/>
        </w:rPr>
        <w:t xml:space="preserve">Praha 4 - </w:t>
      </w:r>
      <w:r>
        <w:t xml:space="preserve">Michle, Želetavská 1525/1, PSČ 140 92, </w:t>
      </w:r>
      <w:proofErr w:type="spellStart"/>
      <w:r>
        <w:t>xxxxx</w:t>
      </w:r>
      <w:proofErr w:type="spellEnd"/>
      <w:r>
        <w:t xml:space="preserve"> zastoupený </w:t>
      </w:r>
      <w:proofErr w:type="spellStart"/>
      <w:r>
        <w:rPr>
          <w:lang w:val="en-US" w:eastAsia="en-US" w:bidi="en-US"/>
        </w:rPr>
        <w:t>xxxxx</w:t>
      </w:r>
      <w:proofErr w:type="spellEnd"/>
    </w:p>
    <w:p w:rsidR="000E2379" w:rsidRDefault="000A7573">
      <w:pPr>
        <w:pStyle w:val="Bodytext10"/>
        <w:spacing w:after="240"/>
      </w:pPr>
      <w:r>
        <w:t xml:space="preserve">(dále jen </w:t>
      </w:r>
      <w:r>
        <w:rPr>
          <w:b/>
          <w:bCs/>
          <w:lang w:val="en-US" w:eastAsia="en-US" w:bidi="en-US"/>
        </w:rPr>
        <w:t xml:space="preserve">DILI </w:t>
      </w:r>
      <w:r>
        <w:rPr>
          <w:b/>
          <w:bCs/>
        </w:rPr>
        <w:t>A)</w:t>
      </w:r>
    </w:p>
    <w:p w:rsidR="000E2379" w:rsidRDefault="000A7573">
      <w:pPr>
        <w:pStyle w:val="Bodytext10"/>
        <w:spacing w:after="240"/>
      </w:pPr>
      <w:r>
        <w:t>a</w:t>
      </w:r>
    </w:p>
    <w:p w:rsidR="000E2379" w:rsidRDefault="000A7573">
      <w:pPr>
        <w:pStyle w:val="Heading410"/>
        <w:keepNext/>
        <w:keepLines/>
        <w:spacing w:after="0" w:line="252" w:lineRule="auto"/>
        <w:jc w:val="left"/>
      </w:pPr>
      <w:bookmarkStart w:id="6" w:name="bookmark6"/>
      <w:bookmarkStart w:id="7" w:name="bookmark7"/>
      <w:bookmarkStart w:id="8" w:name="bookmark8"/>
      <w:r>
        <w:t>Národní divadlo Praha</w:t>
      </w:r>
      <w:bookmarkEnd w:id="6"/>
      <w:bookmarkEnd w:id="7"/>
      <w:bookmarkEnd w:id="8"/>
    </w:p>
    <w:p w:rsidR="000E2379" w:rsidRDefault="000A7573">
      <w:pPr>
        <w:pStyle w:val="Bodytext10"/>
      </w:pPr>
      <w:r>
        <w:t>s</w:t>
      </w:r>
      <w:r>
        <w:t>e sídlem Ostrovní 1, 112 30 Praha 1</w:t>
      </w:r>
    </w:p>
    <w:p w:rsidR="000E2379" w:rsidRDefault="000A7573">
      <w:pPr>
        <w:pStyle w:val="Bodytext10"/>
      </w:pPr>
      <w:r>
        <w:t>IČ:00023337</w:t>
      </w:r>
    </w:p>
    <w:p w:rsidR="000E2379" w:rsidRDefault="000A7573">
      <w:pPr>
        <w:pStyle w:val="Bodytext10"/>
      </w:pPr>
      <w:r>
        <w:t xml:space="preserve">jehož jménem jedná </w:t>
      </w:r>
      <w:proofErr w:type="spellStart"/>
      <w:r>
        <w:t>xxxxx</w:t>
      </w:r>
      <w:proofErr w:type="spellEnd"/>
    </w:p>
    <w:p w:rsidR="000E2379" w:rsidRDefault="000A7573">
      <w:pPr>
        <w:pStyle w:val="Bodytext10"/>
        <w:spacing w:after="460"/>
      </w:pPr>
      <w:r>
        <w:t xml:space="preserve">(dále jen </w:t>
      </w:r>
      <w:r>
        <w:rPr>
          <w:b/>
          <w:bCs/>
        </w:rPr>
        <w:t>NÁJEMCE)</w:t>
      </w:r>
    </w:p>
    <w:p w:rsidR="000E2379" w:rsidRDefault="000A7573">
      <w:pPr>
        <w:pStyle w:val="Heading110"/>
        <w:keepNext/>
        <w:keepLines/>
      </w:pPr>
      <w:bookmarkStart w:id="9" w:name="bookmark10"/>
      <w:bookmarkStart w:id="10" w:name="bookmark11"/>
      <w:bookmarkStart w:id="11" w:name="bookmark9"/>
      <w:r>
        <w:t>7. PROLONGACE</w:t>
      </w:r>
      <w:bookmarkEnd w:id="9"/>
      <w:bookmarkEnd w:id="10"/>
      <w:bookmarkEnd w:id="11"/>
    </w:p>
    <w:p w:rsidR="000E2379" w:rsidRDefault="000A7573">
      <w:pPr>
        <w:pStyle w:val="Heading310"/>
        <w:keepNext/>
        <w:keepLines/>
      </w:pPr>
      <w:bookmarkStart w:id="12" w:name="bookmark12"/>
      <w:bookmarkStart w:id="13" w:name="bookmark13"/>
      <w:bookmarkStart w:id="14" w:name="bookmark14"/>
      <w:r>
        <w:t>ke smlouvě S 7/2014-13/</w:t>
      </w:r>
      <w:proofErr w:type="spellStart"/>
      <w:r>
        <w:t>jr</w:t>
      </w:r>
      <w:proofErr w:type="spellEnd"/>
      <w:r>
        <w:t xml:space="preserve">, ze dne </w:t>
      </w:r>
      <w:proofErr w:type="gramStart"/>
      <w:r>
        <w:t>7.1. 2014</w:t>
      </w:r>
      <w:proofErr w:type="gramEnd"/>
      <w:r>
        <w:t>, o pronájmu notových materiálů díla</w:t>
      </w:r>
      <w:bookmarkEnd w:id="12"/>
      <w:bookmarkEnd w:id="13"/>
      <w:bookmarkEnd w:id="14"/>
    </w:p>
    <w:p w:rsidR="000E2379" w:rsidRDefault="000A7573">
      <w:pPr>
        <w:pStyle w:val="Heading410"/>
        <w:keepNext/>
        <w:keepLines/>
        <w:spacing w:after="0" w:line="240" w:lineRule="auto"/>
      </w:pPr>
      <w:bookmarkStart w:id="15" w:name="bookmark15"/>
      <w:bookmarkStart w:id="16" w:name="bookmark16"/>
      <w:bookmarkStart w:id="17" w:name="bookmark17"/>
      <w:r>
        <w:t>Článek I.</w:t>
      </w:r>
      <w:bookmarkEnd w:id="15"/>
      <w:bookmarkEnd w:id="16"/>
      <w:bookmarkEnd w:id="17"/>
    </w:p>
    <w:p w:rsidR="000E2379" w:rsidRDefault="000A7573">
      <w:pPr>
        <w:pStyle w:val="Bodytext10"/>
        <w:spacing w:after="240" w:line="240" w:lineRule="auto"/>
      </w:pPr>
      <w:r>
        <w:t>Smluvní strany</w:t>
      </w:r>
      <w:r>
        <w:t xml:space="preserve"> uzavřely dne </w:t>
      </w:r>
      <w:proofErr w:type="gramStart"/>
      <w:r>
        <w:t>15.1. 2014</w:t>
      </w:r>
      <w:proofErr w:type="gramEnd"/>
      <w:r>
        <w:t xml:space="preserve"> smlouvu o pronájmu notových materiálů díla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7406"/>
      </w:tblGrid>
      <w:tr w:rsidR="000E237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t>název díla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rPr>
                <w:b/>
                <w:bCs/>
              </w:rPr>
              <w:t>PŘÍHODY LIŠKY BYSTROUŠKY (nová kritická edice - Jiří Zahrádka)</w:t>
            </w:r>
          </w:p>
        </w:tc>
      </w:tr>
      <w:tr w:rsidR="000E237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t>autor hudby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rPr>
                <w:b/>
                <w:bCs/>
              </w:rPr>
              <w:t>Leoš Janáček</w:t>
            </w:r>
          </w:p>
        </w:tc>
      </w:tr>
      <w:tr w:rsidR="000E237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t>nakladatel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379" w:rsidRDefault="000A7573">
            <w:pPr>
              <w:pStyle w:val="Other10"/>
              <w:spacing w:line="240" w:lineRule="auto"/>
            </w:pPr>
            <w:r>
              <w:rPr>
                <w:lang w:val="en-US" w:eastAsia="en-US" w:bidi="en-US"/>
              </w:rPr>
              <w:t xml:space="preserve">Universal Edition, </w:t>
            </w:r>
            <w:r>
              <w:t>Vídeň</w:t>
            </w:r>
          </w:p>
        </w:tc>
      </w:tr>
    </w:tbl>
    <w:p w:rsidR="000E2379" w:rsidRDefault="000A7573">
      <w:pPr>
        <w:pStyle w:val="Tablecaption10"/>
        <w:ind w:left="62"/>
      </w:pPr>
      <w:r>
        <w:t>(dále jen "Původní smlouva").</w:t>
      </w:r>
    </w:p>
    <w:p w:rsidR="000E2379" w:rsidRDefault="000E2379">
      <w:pPr>
        <w:spacing w:after="739" w:line="1" w:lineRule="exact"/>
      </w:pPr>
    </w:p>
    <w:p w:rsidR="000E2379" w:rsidRDefault="000A7573">
      <w:pPr>
        <w:pStyle w:val="Heading410"/>
        <w:keepNext/>
        <w:keepLines/>
        <w:spacing w:after="240" w:line="240" w:lineRule="auto"/>
      </w:pPr>
      <w:bookmarkStart w:id="18" w:name="bookmark18"/>
      <w:bookmarkStart w:id="19" w:name="bookmark19"/>
      <w:bookmarkStart w:id="20" w:name="bookmark20"/>
      <w:r>
        <w:t>Článek II.</w:t>
      </w:r>
      <w:bookmarkEnd w:id="18"/>
      <w:bookmarkEnd w:id="19"/>
      <w:bookmarkEnd w:id="20"/>
    </w:p>
    <w:p w:rsidR="000E2379" w:rsidRDefault="000A7573">
      <w:pPr>
        <w:pStyle w:val="Bodytext10"/>
        <w:spacing w:after="460" w:line="240" w:lineRule="auto"/>
      </w:pPr>
      <w:r>
        <w:t xml:space="preserve">Smluvní </w:t>
      </w:r>
      <w:r>
        <w:t>strany se dohodly, že se mění rozsah Původní smlouvy následovně:</w:t>
      </w:r>
    </w:p>
    <w:p w:rsidR="000A7573" w:rsidRDefault="000A7573" w:rsidP="000A7573">
      <w:pPr>
        <w:pStyle w:val="Bodytext10"/>
        <w:numPr>
          <w:ilvl w:val="0"/>
          <w:numId w:val="2"/>
        </w:numPr>
      </w:pPr>
      <w:r>
        <w:lastRenderedPageBreak/>
        <w:t xml:space="preserve">Článek I. odst. 3. Původní smlouvy se doplňuje následovně: </w:t>
      </w:r>
    </w:p>
    <w:p w:rsidR="000E2379" w:rsidRDefault="000A7573" w:rsidP="000A7573">
      <w:pPr>
        <w:pStyle w:val="Bodytext10"/>
        <w:ind w:left="340"/>
      </w:pPr>
      <w:r>
        <w:t xml:space="preserve">                          </w:t>
      </w:r>
      <w:r>
        <w:t>DILIA poskytuje NÁJEMCI notové materiály do 14. 7. 2021</w:t>
      </w:r>
    </w:p>
    <w:p w:rsidR="000E2379" w:rsidRDefault="000A7573">
      <w:pPr>
        <w:pStyle w:val="Bodytext10"/>
        <w:spacing w:after="680"/>
        <w:ind w:left="1720"/>
      </w:pPr>
      <w:r>
        <w:t xml:space="preserve">NÁJEMCE je oprávněn užívat notové materiály </w:t>
      </w:r>
      <w:r>
        <w:rPr>
          <w:b/>
          <w:bCs/>
        </w:rPr>
        <w:t xml:space="preserve">od </w:t>
      </w:r>
      <w:proofErr w:type="gramStart"/>
      <w:r>
        <w:rPr>
          <w:b/>
          <w:bCs/>
        </w:rPr>
        <w:t>1.9. 2020</w:t>
      </w:r>
      <w:proofErr w:type="gramEnd"/>
      <w:r>
        <w:rPr>
          <w:b/>
          <w:bCs/>
        </w:rPr>
        <w:t xml:space="preserve"> do 30.6. 2021.</w:t>
      </w:r>
    </w:p>
    <w:p w:rsidR="000E2379" w:rsidRDefault="000A7573">
      <w:pPr>
        <w:pStyle w:val="Bodytext10"/>
        <w:ind w:firstLine="300"/>
      </w:pPr>
      <w:r>
        <w:t>2</w:t>
      </w:r>
      <w:r>
        <w:t>. Článek IV. odst. 2 Původní smlouvy se doplňuje následovně:</w:t>
      </w:r>
    </w:p>
    <w:p w:rsidR="000E2379" w:rsidRDefault="000A7573">
      <w:pPr>
        <w:pStyle w:val="Bodytext10"/>
        <w:tabs>
          <w:tab w:val="left" w:leader="underscore" w:pos="9658"/>
        </w:tabs>
      </w:pPr>
      <w:r>
        <w:rPr>
          <w:u w:val="single"/>
        </w:rPr>
        <w:t>Nájemné za užití ad i) je:</w:t>
      </w:r>
      <w:r>
        <w:tab/>
      </w:r>
    </w:p>
    <w:p w:rsidR="000E2379" w:rsidRDefault="000A7573">
      <w:pPr>
        <w:pStyle w:val="Bodytext10"/>
        <w:spacing w:after="240"/>
      </w:pPr>
      <w:r>
        <w:rPr>
          <w:b/>
          <w:bCs/>
        </w:rPr>
        <w:t>EUR 3.650,- + DPH dle platných a účinných daňových předpisů; další součástí nájemného je poplatek 3% z brutto tržeb před odečtením jakýchkoli částek včetně daňových (z</w:t>
      </w:r>
      <w:r>
        <w:rPr>
          <w:b/>
          <w:bCs/>
        </w:rPr>
        <w:t>a představení) + DPH dle platných a účinných daňových předpisů jako příplatek za novou kritickou edici Jiřího Zahrádky</w:t>
      </w:r>
      <w:r>
        <w:br w:type="page"/>
      </w:r>
    </w:p>
    <w:p w:rsidR="000E2379" w:rsidRDefault="000A7573">
      <w:pPr>
        <w:pStyle w:val="Bodytext10"/>
        <w:spacing w:after="2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Článek </w:t>
      </w:r>
      <w:r>
        <w:rPr>
          <w:b/>
          <w:bCs/>
          <w:sz w:val="20"/>
          <w:szCs w:val="20"/>
          <w:lang w:val="en-US" w:eastAsia="en-US" w:bidi="en-US"/>
        </w:rPr>
        <w:t>III.</w:t>
      </w:r>
    </w:p>
    <w:p w:rsidR="000E2379" w:rsidRDefault="000A7573">
      <w:pPr>
        <w:pStyle w:val="Bodytext10"/>
        <w:spacing w:after="680" w:line="240" w:lineRule="auto"/>
      </w:pPr>
      <w:r>
        <w:t>Ostatní ustanovení Původní smlouvy zůstávají nedotčena.</w:t>
      </w:r>
    </w:p>
    <w:p w:rsidR="000E2379" w:rsidRDefault="000A7573">
      <w:pPr>
        <w:pStyle w:val="Heading410"/>
        <w:keepNext/>
        <w:keepLines/>
        <w:spacing w:after="220" w:line="240" w:lineRule="auto"/>
        <w:rPr>
          <w:sz w:val="20"/>
          <w:szCs w:val="20"/>
        </w:rPr>
      </w:pPr>
      <w:bookmarkStart w:id="21" w:name="bookmark21"/>
      <w:bookmarkStart w:id="22" w:name="bookmark22"/>
      <w:bookmarkStart w:id="23" w:name="bookmark23"/>
      <w:r>
        <w:rPr>
          <w:sz w:val="20"/>
          <w:szCs w:val="20"/>
        </w:rPr>
        <w:t>Článek IV.</w:t>
      </w:r>
      <w:bookmarkEnd w:id="21"/>
      <w:bookmarkEnd w:id="22"/>
      <w:bookmarkEnd w:id="23"/>
    </w:p>
    <w:p w:rsidR="000E2379" w:rsidRDefault="000A7573">
      <w:pPr>
        <w:pStyle w:val="Bodytext10"/>
        <w:numPr>
          <w:ilvl w:val="0"/>
          <w:numId w:val="1"/>
        </w:numPr>
        <w:tabs>
          <w:tab w:val="left" w:pos="341"/>
        </w:tabs>
        <w:spacing w:after="220" w:line="240" w:lineRule="auto"/>
      </w:pPr>
      <w:bookmarkStart w:id="24" w:name="bookmark24"/>
      <w:bookmarkEnd w:id="24"/>
      <w:r>
        <w:t xml:space="preserve">Tento dodatek nabývá platnosti a účinnosti dnem podpisu </w:t>
      </w:r>
      <w:r>
        <w:t>oběma smluvními stranami.</w:t>
      </w:r>
    </w:p>
    <w:p w:rsidR="000E2379" w:rsidRDefault="000A7573">
      <w:pPr>
        <w:pStyle w:val="Bodytext10"/>
        <w:numPr>
          <w:ilvl w:val="0"/>
          <w:numId w:val="1"/>
        </w:numPr>
        <w:tabs>
          <w:tab w:val="left" w:pos="341"/>
        </w:tabs>
        <w:spacing w:line="240" w:lineRule="auto"/>
        <w:ind w:left="340" w:hanging="340"/>
        <w:sectPr w:rsidR="000E2379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319" w:right="1158" w:bottom="1966" w:left="1012" w:header="0" w:footer="3" w:gutter="0"/>
          <w:pgNumType w:start="1"/>
          <w:cols w:space="720"/>
          <w:noEndnote/>
          <w:docGrid w:linePitch="360"/>
        </w:sectPr>
      </w:pPr>
      <w:bookmarkStart w:id="25" w:name="bookmark25"/>
      <w:bookmarkEnd w:id="25"/>
      <w:r>
        <w:t>Tento dodatek se vyhotovuje ve dvou stejnopisech splatností originálu, z nichž každá ze smluvních stran</w:t>
      </w:r>
      <w:r>
        <w:t xml:space="preserve"> obdrží po jednom vyhotovení.</w:t>
      </w:r>
    </w:p>
    <w:p w:rsidR="000E2379" w:rsidRDefault="000E2379">
      <w:pPr>
        <w:spacing w:line="240" w:lineRule="exact"/>
        <w:rPr>
          <w:sz w:val="19"/>
          <w:szCs w:val="19"/>
        </w:rPr>
      </w:pPr>
    </w:p>
    <w:p w:rsidR="000E2379" w:rsidRDefault="000E2379">
      <w:pPr>
        <w:spacing w:line="240" w:lineRule="exact"/>
        <w:rPr>
          <w:sz w:val="19"/>
          <w:szCs w:val="19"/>
        </w:rPr>
      </w:pPr>
    </w:p>
    <w:p w:rsidR="000E2379" w:rsidRDefault="000E2379">
      <w:pPr>
        <w:spacing w:before="49" w:after="49" w:line="240" w:lineRule="exact"/>
        <w:rPr>
          <w:sz w:val="19"/>
          <w:szCs w:val="19"/>
        </w:rPr>
      </w:pPr>
    </w:p>
    <w:p w:rsidR="000E2379" w:rsidRDefault="000E2379">
      <w:pPr>
        <w:spacing w:line="1" w:lineRule="exact"/>
        <w:sectPr w:rsidR="000E2379">
          <w:type w:val="continuous"/>
          <w:pgSz w:w="11900" w:h="16840"/>
          <w:pgMar w:top="2248" w:right="0" w:bottom="942" w:left="0" w:header="0" w:footer="3" w:gutter="0"/>
          <w:cols w:space="720"/>
          <w:noEndnote/>
          <w:docGrid w:linePitch="360"/>
        </w:sectPr>
      </w:pPr>
    </w:p>
    <w:p w:rsidR="000E2379" w:rsidRDefault="000A7573">
      <w:pPr>
        <w:pStyle w:val="Bodytext10"/>
        <w:framePr w:w="2309" w:h="235" w:wrap="none" w:vAnchor="text" w:hAnchor="page" w:x="6656" w:y="21"/>
        <w:spacing w:line="240" w:lineRule="auto"/>
      </w:pPr>
      <w:r>
        <w:t>V Praze dne 10 12. 2020</w:t>
      </w: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  <w:bookmarkStart w:id="26" w:name="_GoBack"/>
      <w:bookmarkEnd w:id="26"/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line="360" w:lineRule="exact"/>
      </w:pPr>
    </w:p>
    <w:p w:rsidR="000E2379" w:rsidRDefault="000E2379">
      <w:pPr>
        <w:spacing w:after="565" w:line="1" w:lineRule="exact"/>
      </w:pPr>
    </w:p>
    <w:p w:rsidR="000E2379" w:rsidRDefault="000E2379">
      <w:pPr>
        <w:spacing w:line="1" w:lineRule="exact"/>
      </w:pPr>
    </w:p>
    <w:sectPr w:rsidR="000E2379">
      <w:type w:val="continuous"/>
      <w:pgSz w:w="11900" w:h="16840"/>
      <w:pgMar w:top="2248" w:right="1048" w:bottom="942" w:left="11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7573">
      <w:r>
        <w:separator/>
      </w:r>
    </w:p>
  </w:endnote>
  <w:endnote w:type="continuationSeparator" w:id="0">
    <w:p w:rsidR="00000000" w:rsidRDefault="000A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79" w:rsidRDefault="000A75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10048240</wp:posOffset>
              </wp:positionV>
              <wp:extent cx="6096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379" w:rsidRDefault="000A7573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1.44999999999999pt;margin-top:791.20000000000005pt;width:4.7999999999999998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79" w:rsidRDefault="000A75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10182860</wp:posOffset>
              </wp:positionV>
              <wp:extent cx="3365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379" w:rsidRDefault="000A7573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0.85000000000002pt;margin-top:801.80000000000007pt;width:2.6499999999999999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79" w:rsidRDefault="000E2379"/>
  </w:footnote>
  <w:footnote w:type="continuationSeparator" w:id="0">
    <w:p w:rsidR="000E2379" w:rsidRDefault="000E2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79" w:rsidRDefault="000E237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79" w:rsidRDefault="000A75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6382385</wp:posOffset>
              </wp:positionH>
              <wp:positionV relativeFrom="page">
                <wp:posOffset>526415</wp:posOffset>
              </wp:positionV>
              <wp:extent cx="70421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379" w:rsidRDefault="000A7573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202/681/20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2.55000000000001pt;margin-top:41.450000000000003pt;width:55.450000000000003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cs-CZ" w:eastAsia="cs-CZ" w:bidi="cs-CZ"/>
                      </w:rPr>
                      <w:t>202/681/20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3928"/>
    <w:multiLevelType w:val="multilevel"/>
    <w:tmpl w:val="FF0405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F1A47"/>
    <w:multiLevelType w:val="hybridMultilevel"/>
    <w:tmpl w:val="CAC2039C"/>
    <w:lvl w:ilvl="0" w:tplc="183656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79"/>
    <w:rsid w:val="000A7573"/>
    <w:rsid w:val="000D4525"/>
    <w:rsid w:val="000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173F"/>
  <w15:docId w15:val="{E2264127-0478-4FD8-8A27-6675B533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42"/>
      <w:szCs w:val="42"/>
      <w:u w:val="singl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5397BC"/>
      <w:sz w:val="14"/>
      <w:szCs w:val="14"/>
      <w:u w:val="none"/>
      <w:shd w:val="clear" w:color="auto" w:fill="auto"/>
    </w:rPr>
  </w:style>
  <w:style w:type="paragraph" w:customStyle="1" w:styleId="Bodytext30">
    <w:name w:val="Body text|3"/>
    <w:basedOn w:val="Normln"/>
    <w:link w:val="Bodytext3"/>
    <w:rPr>
      <w:sz w:val="42"/>
      <w:szCs w:val="42"/>
      <w:u w:val="single"/>
    </w:rPr>
  </w:style>
  <w:style w:type="paragraph" w:customStyle="1" w:styleId="Bodytext20">
    <w:name w:val="Body text|2"/>
    <w:basedOn w:val="Normln"/>
    <w:link w:val="Bodytext2"/>
    <w:pPr>
      <w:spacing w:after="120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680"/>
      <w:ind w:firstLine="24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410">
    <w:name w:val="Heading #4|1"/>
    <w:basedOn w:val="Normln"/>
    <w:link w:val="Heading41"/>
    <w:pPr>
      <w:spacing w:after="110" w:line="245" w:lineRule="auto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10">
    <w:name w:val="Heading #3|1"/>
    <w:basedOn w:val="Normln"/>
    <w:link w:val="Heading31"/>
    <w:pPr>
      <w:spacing w:after="740"/>
      <w:ind w:firstLine="300"/>
      <w:outlineLvl w:val="2"/>
    </w:pPr>
    <w:rPr>
      <w:rFonts w:ascii="Arial" w:eastAsia="Arial" w:hAnsi="Arial" w:cs="Arial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color w:val="5397B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Linhartová</dc:creator>
  <cp:keywords/>
  <cp:lastModifiedBy>Linhartová Romana</cp:lastModifiedBy>
  <cp:revision>3</cp:revision>
  <dcterms:created xsi:type="dcterms:W3CDTF">2021-01-20T13:34:00Z</dcterms:created>
  <dcterms:modified xsi:type="dcterms:W3CDTF">2021-01-20T13:40:00Z</dcterms:modified>
</cp:coreProperties>
</file>