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108" w:tblpY="109" w:topFromText="0" w:vertAnchor="text"/>
        <w:tblW w:w="9072" w:type="dxa"/>
        <w:jc w:val="left"/>
        <w:tblInd w:w="0" w:type="dxa"/>
        <w:tblCellMar>
          <w:top w:w="0" w:type="dxa"/>
          <w:left w:w="108" w:type="dxa"/>
          <w:bottom w:w="0" w:type="dxa"/>
          <w:right w:w="108" w:type="dxa"/>
        </w:tblCellMar>
        <w:tblLook w:firstRow="0" w:noVBand="0" w:lastRow="0" w:firstColumn="0" w:lastColumn="0" w:noHBand="0" w:val="0000"/>
      </w:tblPr>
      <w:tblGrid>
        <w:gridCol w:w="2375"/>
        <w:gridCol w:w="6696"/>
      </w:tblGrid>
      <w:tr>
        <w:trPr/>
        <w:tc>
          <w:tcPr>
            <w:tcW w:w="2375" w:type="dxa"/>
            <w:tcBorders/>
            <w:shd w:color="auto" w:fill="FFFFFF" w:val="pct5"/>
            <w:vAlign w:val="center"/>
          </w:tcPr>
          <w:p>
            <w:pPr>
              <w:pStyle w:val="Normal"/>
              <w:spacing w:before="60" w:after="60"/>
              <w:rPr>
                <w:b/>
                <w:b/>
                <w:sz w:val="18"/>
                <w:szCs w:val="18"/>
              </w:rPr>
            </w:pPr>
            <w:r>
              <w:rPr>
                <w:b/>
                <w:sz w:val="18"/>
                <w:szCs w:val="18"/>
              </w:rPr>
              <w:t>Pojistitel:</w:t>
            </w:r>
          </w:p>
        </w:tc>
        <w:tc>
          <w:tcPr>
            <w:tcW w:w="6696" w:type="dxa"/>
            <w:tcBorders/>
            <w:shd w:fill="auto" w:val="clear"/>
            <w:vAlign w:val="center"/>
          </w:tcPr>
          <w:p>
            <w:pPr>
              <w:pStyle w:val="Normal"/>
              <w:spacing w:before="120" w:after="120"/>
              <w:rPr/>
            </w:pPr>
            <w:r>
              <w:rPr>
                <w:b/>
              </w:rPr>
              <w:t>Colonnade Insurance S.A.</w:t>
            </w:r>
            <w:r>
              <w:rPr/>
              <w:t xml:space="preserve">, se sídlem L-2350 Lucemburk, rue Jean Piret 1, Lucemburské velkovévodství, zapsaná v lucemburském Registre de Commerce et des Sociétés, registrační číslo B61605, jednající prostřednictvím </w:t>
            </w:r>
          </w:p>
          <w:p>
            <w:pPr>
              <w:pStyle w:val="Normal"/>
              <w:rPr/>
            </w:pPr>
            <w:r>
              <w:rPr>
                <w:b/>
              </w:rPr>
              <w:t>Colonnade Insurance S.A</w:t>
            </w:r>
            <w:r>
              <w:rPr/>
              <w:t xml:space="preserve">., organizační složka, se sídlem Na Pankráci 1683/127, 140 00 Praha 4, Česká republika, identifikační číslo </w:t>
              <w:br/>
              <w:t xml:space="preserve">044 85 297, zapsané v obchodním rejstříku vedeném Městským soudem </w:t>
            </w:r>
          </w:p>
          <w:p>
            <w:pPr>
              <w:pStyle w:val="Normal"/>
              <w:rPr/>
            </w:pPr>
            <w:r>
              <w:rPr/>
              <w:t xml:space="preserve">v Praze, oddíl A, vložka 77229. </w:t>
            </w:r>
          </w:p>
        </w:tc>
      </w:tr>
    </w:tbl>
    <w:p>
      <w:pPr>
        <w:pStyle w:val="Normal"/>
        <w:rPr>
          <w:sz w:val="18"/>
          <w:szCs w:val="18"/>
        </w:rPr>
      </w:pPr>
      <w:r>
        <w:rPr>
          <w:sz w:val="18"/>
          <w:szCs w:val="18"/>
        </w:rPr>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2409"/>
        <w:gridCol w:w="6662"/>
      </w:tblGrid>
      <w:tr>
        <w:trPr/>
        <w:tc>
          <w:tcPr>
            <w:tcW w:w="2409" w:type="dxa"/>
            <w:tcBorders/>
            <w:shd w:color="auto" w:fill="FFFFFF" w:val="pct5"/>
          </w:tcPr>
          <w:p>
            <w:pPr>
              <w:pStyle w:val="Normal"/>
              <w:spacing w:before="60" w:after="60"/>
              <w:rPr>
                <w:b/>
                <w:b/>
                <w:sz w:val="18"/>
                <w:szCs w:val="18"/>
              </w:rPr>
            </w:pPr>
            <w:r>
              <w:rPr>
                <w:b/>
                <w:sz w:val="18"/>
                <w:szCs w:val="18"/>
              </w:rPr>
              <w:t xml:space="preserve">Korespondenční adresa: </w:t>
            </w:r>
          </w:p>
        </w:tc>
        <w:tc>
          <w:tcPr>
            <w:tcW w:w="6662" w:type="dxa"/>
            <w:tcBorders/>
            <w:shd w:fill="auto" w:val="clear"/>
          </w:tcPr>
          <w:p>
            <w:pPr>
              <w:pStyle w:val="Normal"/>
              <w:spacing w:before="60" w:after="60"/>
              <w:rPr/>
            </w:pPr>
            <w:r>
              <w:rPr/>
              <w:t>Na Pankráci 1683/127, 140 00 Praha 4, Česká republika</w:t>
            </w:r>
          </w:p>
        </w:tc>
      </w:tr>
      <w:tr>
        <w:trPr/>
        <w:tc>
          <w:tcPr>
            <w:tcW w:w="2409" w:type="dxa"/>
            <w:tcBorders/>
            <w:shd w:color="auto" w:fill="FFFFFF" w:val="pct5"/>
          </w:tcPr>
          <w:p>
            <w:pPr>
              <w:pStyle w:val="Normal"/>
              <w:spacing w:before="60" w:after="60"/>
              <w:rPr>
                <w:b/>
                <w:b/>
                <w:sz w:val="18"/>
                <w:szCs w:val="18"/>
              </w:rPr>
            </w:pPr>
            <w:r>
              <w:rPr>
                <w:b/>
                <w:sz w:val="18"/>
                <w:szCs w:val="18"/>
              </w:rPr>
              <w:t>Zastoupen:</w:t>
            </w:r>
          </w:p>
        </w:tc>
        <w:tc>
          <w:tcPr>
            <w:tcW w:w="6662" w:type="dxa"/>
            <w:tcBorders/>
            <w:shd w:fill="auto" w:val="clear"/>
          </w:tcPr>
          <w:p>
            <w:pPr>
              <w:pStyle w:val="Normal"/>
              <w:spacing w:before="60" w:after="60"/>
              <w:rPr>
                <w:sz w:val="18"/>
                <w:szCs w:val="18"/>
              </w:rPr>
            </w:pPr>
            <w:bookmarkStart w:id="0" w:name="UWRESP_NAME"/>
            <w:r>
              <w:rPr>
                <w:sz w:val="18"/>
                <w:szCs w:val="18"/>
              </w:rPr>
              <w:t>Ing. Marek Slabej</w:t>
            </w:r>
            <w:bookmarkEnd w:id="0"/>
            <w:r>
              <w:rPr>
                <w:sz w:val="18"/>
                <w:szCs w:val="18"/>
              </w:rPr>
              <w:t>, zmocněný pro záležitosti smluvní</w:t>
            </w:r>
          </w:p>
        </w:tc>
      </w:tr>
    </w:tbl>
    <w:p>
      <w:pPr>
        <w:pStyle w:val="Normal"/>
        <w:shd w:val="pct5" w:color="auto" w:fill="auto"/>
        <w:spacing w:lineRule="auto" w:line="360" w:before="120" w:after="120"/>
        <w:jc w:val="center"/>
        <w:rPr>
          <w:b/>
          <w:b/>
          <w:sz w:val="18"/>
          <w:szCs w:val="18"/>
        </w:rPr>
      </w:pPr>
      <w:r>
        <w:rPr>
          <w:b/>
          <w:sz w:val="18"/>
          <w:szCs w:val="18"/>
        </w:rPr>
        <w:t>a</w:t>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2409"/>
        <w:gridCol w:w="6662"/>
      </w:tblGrid>
      <w:tr>
        <w:trPr/>
        <w:tc>
          <w:tcPr>
            <w:tcW w:w="2409" w:type="dxa"/>
            <w:tcBorders/>
            <w:shd w:color="auto" w:fill="FFFFFF" w:val="pct5"/>
            <w:vAlign w:val="center"/>
          </w:tcPr>
          <w:p>
            <w:pPr>
              <w:pStyle w:val="Normal"/>
              <w:spacing w:before="60" w:after="60"/>
              <w:rPr>
                <w:sz w:val="18"/>
                <w:szCs w:val="18"/>
              </w:rPr>
            </w:pPr>
            <w:r>
              <w:rPr>
                <w:b/>
                <w:sz w:val="18"/>
                <w:szCs w:val="18"/>
              </w:rPr>
              <w:t>Pojistník</w:t>
            </w:r>
          </w:p>
        </w:tc>
        <w:tc>
          <w:tcPr>
            <w:tcW w:w="6662" w:type="dxa"/>
            <w:tcBorders/>
            <w:shd w:fill="auto" w:val="clear"/>
          </w:tcPr>
          <w:p>
            <w:pPr>
              <w:pStyle w:val="Normal"/>
              <w:spacing w:before="60" w:after="60"/>
              <w:rPr>
                <w:sz w:val="18"/>
                <w:szCs w:val="18"/>
              </w:rPr>
            </w:pPr>
            <w:bookmarkStart w:id="1" w:name="CLIENT_NAME"/>
            <w:r>
              <w:rPr>
                <w:b/>
                <w:sz w:val="18"/>
                <w:szCs w:val="18"/>
              </w:rPr>
              <w:t>JIKORD s.r.o.</w:t>
            </w:r>
            <w:bookmarkEnd w:id="1"/>
            <w:r>
              <w:rPr>
                <w:sz w:val="18"/>
                <w:szCs w:val="18"/>
              </w:rPr>
              <w:t xml:space="preserve">, </w:t>
            </w:r>
          </w:p>
          <w:p>
            <w:pPr>
              <w:pStyle w:val="Normal"/>
              <w:spacing w:before="60" w:after="60"/>
              <w:rPr>
                <w:b/>
                <w:b/>
                <w:sz w:val="18"/>
                <w:szCs w:val="18"/>
              </w:rPr>
            </w:pPr>
            <w:bookmarkStart w:id="2" w:name="CLIENT_REGISTER"/>
            <w:r>
              <w:rPr>
                <w:sz w:val="18"/>
                <w:szCs w:val="18"/>
              </w:rPr>
              <w:t>Spisová značka: C 18159 vedená u Krajského soudu v Českých Budějovicích</w:t>
            </w:r>
            <w:bookmarkEnd w:id="2"/>
            <w:r>
              <w:rPr>
                <w:sz w:val="18"/>
                <w:szCs w:val="18"/>
              </w:rPr>
              <w:t xml:space="preserve">, identifikační číslo  </w:t>
            </w:r>
            <w:bookmarkStart w:id="3" w:name="CLIENT_ID"/>
            <w:r>
              <w:rPr>
                <w:sz w:val="18"/>
                <w:szCs w:val="18"/>
              </w:rPr>
              <w:t>281 17 018</w:t>
            </w:r>
            <w:bookmarkEnd w:id="3"/>
          </w:p>
        </w:tc>
      </w:tr>
    </w:tbl>
    <w:p>
      <w:pPr>
        <w:pStyle w:val="Normal"/>
        <w:rPr>
          <w:sz w:val="18"/>
          <w:szCs w:val="18"/>
        </w:rPr>
      </w:pPr>
      <w:r>
        <w:rPr>
          <w:sz w:val="18"/>
          <w:szCs w:val="18"/>
        </w:rPr>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2409"/>
        <w:gridCol w:w="6662"/>
      </w:tblGrid>
      <w:tr>
        <w:trPr/>
        <w:tc>
          <w:tcPr>
            <w:tcW w:w="2409" w:type="dxa"/>
            <w:tcBorders/>
            <w:shd w:color="auto" w:fill="FFFFFF" w:val="pct5"/>
            <w:vAlign w:val="center"/>
          </w:tcPr>
          <w:p>
            <w:pPr>
              <w:pStyle w:val="Normal"/>
              <w:spacing w:before="60" w:after="60"/>
              <w:rPr>
                <w:b/>
                <w:b/>
                <w:sz w:val="18"/>
                <w:szCs w:val="18"/>
              </w:rPr>
            </w:pPr>
            <w:r>
              <w:rPr>
                <w:b/>
                <w:sz w:val="18"/>
                <w:szCs w:val="18"/>
              </w:rPr>
              <w:t>Se sídlem:</w:t>
            </w:r>
          </w:p>
        </w:tc>
        <w:tc>
          <w:tcPr>
            <w:tcW w:w="6662" w:type="dxa"/>
            <w:tcBorders/>
            <w:shd w:fill="auto" w:val="clear"/>
            <w:vAlign w:val="center"/>
          </w:tcPr>
          <w:p>
            <w:pPr>
              <w:pStyle w:val="Annotationtext"/>
              <w:rPr>
                <w:sz w:val="18"/>
                <w:szCs w:val="18"/>
              </w:rPr>
            </w:pPr>
            <w:bookmarkStart w:id="4" w:name="CLIENT_COMP_FULLADDRESS"/>
            <w:r>
              <w:rPr>
                <w:sz w:val="18"/>
                <w:szCs w:val="18"/>
              </w:rPr>
              <w:t>Okružní 517/10, 37001 ČeskéBudějovice</w:t>
            </w:r>
            <w:bookmarkEnd w:id="4"/>
          </w:p>
        </w:tc>
      </w:tr>
      <w:tr>
        <w:trPr>
          <w:trHeight w:val="406" w:hRule="atLeast"/>
        </w:trPr>
        <w:tc>
          <w:tcPr>
            <w:tcW w:w="2409" w:type="dxa"/>
            <w:tcBorders/>
            <w:shd w:color="auto" w:fill="FFFFFF" w:val="pct5"/>
            <w:vAlign w:val="center"/>
          </w:tcPr>
          <w:p>
            <w:pPr>
              <w:pStyle w:val="Normal"/>
              <w:spacing w:before="60" w:after="60"/>
              <w:rPr>
                <w:b/>
                <w:b/>
                <w:sz w:val="18"/>
                <w:szCs w:val="18"/>
              </w:rPr>
            </w:pPr>
            <w:r>
              <w:rPr>
                <w:b/>
                <w:sz w:val="18"/>
                <w:szCs w:val="18"/>
              </w:rPr>
              <w:t>Zastoupen:</w:t>
            </w:r>
          </w:p>
        </w:tc>
        <w:tc>
          <w:tcPr>
            <w:tcW w:w="6662" w:type="dxa"/>
            <w:tcBorders/>
            <w:shd w:fill="auto" w:val="clear"/>
            <w:vAlign w:val="center"/>
          </w:tcPr>
          <w:p>
            <w:pPr>
              <w:pStyle w:val="Annotationtext"/>
              <w:rPr>
                <w:sz w:val="18"/>
                <w:szCs w:val="18"/>
              </w:rPr>
            </w:pPr>
            <w:r>
              <w:rPr>
                <w:sz w:val="18"/>
                <w:szCs w:val="18"/>
              </w:rPr>
              <w:t>Ing.Josef Michálek</w:t>
            </w:r>
            <w:r>
              <w:rPr>
                <w:sz w:val="18"/>
                <w:szCs w:val="18"/>
              </w:rPr>
              <w:t>, jednatel společnosti</w:t>
            </w:r>
          </w:p>
        </w:tc>
      </w:tr>
      <w:tr>
        <w:trPr/>
        <w:tc>
          <w:tcPr>
            <w:tcW w:w="2409" w:type="dxa"/>
            <w:tcBorders/>
            <w:shd w:color="auto" w:fill="FFFFFF" w:val="pct5"/>
            <w:vAlign w:val="center"/>
          </w:tcPr>
          <w:p>
            <w:pPr>
              <w:pStyle w:val="Normal"/>
              <w:spacing w:before="60" w:after="60"/>
              <w:rPr>
                <w:b/>
                <w:b/>
                <w:sz w:val="18"/>
                <w:szCs w:val="18"/>
              </w:rPr>
            </w:pPr>
            <w:r>
              <w:rPr>
                <w:b/>
                <w:sz w:val="18"/>
                <w:szCs w:val="18"/>
              </w:rPr>
              <w:t>Adresa pro doručování:</w:t>
            </w:r>
          </w:p>
        </w:tc>
        <w:tc>
          <w:tcPr>
            <w:tcW w:w="6662" w:type="dxa"/>
            <w:tcBorders/>
            <w:shd w:fill="auto" w:val="clear"/>
            <w:vAlign w:val="center"/>
          </w:tcPr>
          <w:p>
            <w:pPr>
              <w:pStyle w:val="Normal"/>
              <w:spacing w:before="60" w:after="60"/>
              <w:rPr>
                <w:sz w:val="18"/>
                <w:szCs w:val="18"/>
              </w:rPr>
            </w:pPr>
            <w:bookmarkStart w:id="5" w:name="CLIENT_COMP_FULLADDRESS1"/>
            <w:r>
              <w:rPr>
                <w:sz w:val="18"/>
                <w:szCs w:val="18"/>
              </w:rPr>
              <w:t>Okružní 517/10, 37001 ČeskéBudějovice</w:t>
            </w:r>
            <w:bookmarkEnd w:id="5"/>
          </w:p>
        </w:tc>
      </w:tr>
    </w:tbl>
    <w:p>
      <w:pPr>
        <w:pStyle w:val="Normal"/>
        <w:shd w:val="pct5" w:color="auto" w:fill="auto"/>
        <w:spacing w:lineRule="auto" w:line="360" w:before="120" w:after="120"/>
        <w:jc w:val="center"/>
        <w:rPr>
          <w:b/>
          <w:b/>
          <w:sz w:val="18"/>
          <w:szCs w:val="18"/>
        </w:rPr>
      </w:pPr>
      <w:r>
        <w:rPr>
          <w:b/>
          <w:sz w:val="18"/>
          <w:szCs w:val="18"/>
        </w:rPr>
        <w:t>uzavírají prostřednictvím</w:t>
      </w:r>
    </w:p>
    <w:tbl>
      <w:tblPr>
        <w:tblW w:w="9072" w:type="dxa"/>
        <w:jc w:val="left"/>
        <w:tblInd w:w="30" w:type="dxa"/>
        <w:tblCellMar>
          <w:top w:w="0" w:type="dxa"/>
          <w:left w:w="30" w:type="dxa"/>
          <w:bottom w:w="0" w:type="dxa"/>
          <w:right w:w="30" w:type="dxa"/>
        </w:tblCellMar>
        <w:tblLook w:firstRow="0" w:noVBand="0" w:lastRow="0" w:firstColumn="0" w:lastColumn="0" w:noHBand="0" w:val="0000"/>
      </w:tblPr>
      <w:tblGrid>
        <w:gridCol w:w="2409"/>
        <w:gridCol w:w="6662"/>
      </w:tblGrid>
      <w:tr>
        <w:trPr>
          <w:trHeight w:val="254" w:hRule="atLeast"/>
        </w:trPr>
        <w:tc>
          <w:tcPr>
            <w:tcW w:w="2409" w:type="dxa"/>
            <w:tcBorders/>
            <w:shd w:color="auto" w:fill="auto" w:val="pct5"/>
          </w:tcPr>
          <w:p>
            <w:pPr>
              <w:pStyle w:val="Nadpis7"/>
              <w:spacing w:before="60" w:after="60"/>
              <w:ind w:left="112" w:right="0" w:hanging="0"/>
              <w:rPr>
                <w:color w:val="auto"/>
                <w:sz w:val="18"/>
                <w:szCs w:val="18"/>
                <w:lang w:eastAsia="cs-CZ"/>
              </w:rPr>
            </w:pPr>
            <w:r>
              <w:rPr>
                <w:color w:val="auto"/>
                <w:sz w:val="18"/>
                <w:szCs w:val="18"/>
                <w:lang w:eastAsia="cs-CZ"/>
              </w:rPr>
              <w:t>Zplnomocněného makléře:</w:t>
            </w:r>
          </w:p>
        </w:tc>
        <w:tc>
          <w:tcPr>
            <w:tcW w:w="6662" w:type="dxa"/>
            <w:tcBorders/>
            <w:shd w:fill="auto" w:val="clear"/>
          </w:tcPr>
          <w:p>
            <w:pPr>
              <w:pStyle w:val="Normal"/>
              <w:spacing w:before="60" w:after="60"/>
              <w:ind w:left="112" w:right="111" w:hanging="0"/>
              <w:rPr>
                <w:b/>
                <w:b/>
                <w:sz w:val="18"/>
                <w:szCs w:val="18"/>
              </w:rPr>
            </w:pPr>
            <w:bookmarkStart w:id="6" w:name="BROKER_NAME"/>
            <w:r>
              <w:rPr>
                <w:b/>
                <w:sz w:val="18"/>
                <w:szCs w:val="18"/>
              </w:rPr>
              <w:t>F.M.Partner spol. s r.o.</w:t>
            </w:r>
            <w:bookmarkEnd w:id="6"/>
            <w:r>
              <w:rPr>
                <w:sz w:val="18"/>
                <w:szCs w:val="18"/>
              </w:rPr>
              <w:t>,</w:t>
            </w:r>
            <w:r>
              <w:rPr>
                <w:b/>
                <w:sz w:val="18"/>
                <w:szCs w:val="18"/>
              </w:rPr>
              <w:t xml:space="preserve"> </w:t>
            </w:r>
          </w:p>
          <w:p>
            <w:pPr>
              <w:pStyle w:val="Normal"/>
              <w:spacing w:before="60" w:after="60"/>
              <w:ind w:left="112" w:right="111" w:hanging="0"/>
              <w:rPr>
                <w:sz w:val="18"/>
                <w:szCs w:val="18"/>
              </w:rPr>
            </w:pPr>
            <w:bookmarkStart w:id="7" w:name="BROKER_REGISTER"/>
            <w:r>
              <w:rPr>
                <w:sz w:val="18"/>
                <w:szCs w:val="18"/>
              </w:rPr>
              <w:t>zapsána v obchodním rejstříku vedeném Krajským soudem v Českých Budějovicích, oddíl C, vložka 5728</w:t>
            </w:r>
            <w:bookmarkEnd w:id="7"/>
            <w:r>
              <w:rPr>
                <w:sz w:val="18"/>
                <w:szCs w:val="18"/>
              </w:rPr>
              <w:t xml:space="preserve">, identifikační číslo  </w:t>
            </w:r>
            <w:bookmarkStart w:id="8" w:name="BROKER_ID"/>
            <w:r>
              <w:rPr>
                <w:sz w:val="18"/>
                <w:szCs w:val="18"/>
              </w:rPr>
              <w:t>639 07 097</w:t>
            </w:r>
            <w:bookmarkEnd w:id="8"/>
          </w:p>
        </w:tc>
      </w:tr>
      <w:tr>
        <w:trPr>
          <w:trHeight w:val="254" w:hRule="atLeast"/>
        </w:trPr>
        <w:tc>
          <w:tcPr>
            <w:tcW w:w="2409" w:type="dxa"/>
            <w:tcBorders/>
            <w:shd w:color="auto" w:fill="auto" w:val="pct5"/>
          </w:tcPr>
          <w:p>
            <w:pPr>
              <w:pStyle w:val="Nadpis7"/>
              <w:spacing w:before="60" w:after="60"/>
              <w:ind w:left="112" w:right="0" w:hanging="0"/>
              <w:rPr>
                <w:color w:val="auto"/>
                <w:sz w:val="18"/>
                <w:szCs w:val="18"/>
                <w:lang w:eastAsia="cs-CZ"/>
              </w:rPr>
            </w:pPr>
            <w:r>
              <w:rPr>
                <w:color w:val="auto"/>
                <w:sz w:val="18"/>
                <w:szCs w:val="18"/>
                <w:lang w:eastAsia="cs-CZ"/>
              </w:rPr>
              <w:t>Se sídlem:</w:t>
            </w:r>
          </w:p>
        </w:tc>
        <w:tc>
          <w:tcPr>
            <w:tcW w:w="6662" w:type="dxa"/>
            <w:tcBorders/>
            <w:shd w:fill="auto" w:val="clear"/>
          </w:tcPr>
          <w:p>
            <w:pPr>
              <w:pStyle w:val="Normal"/>
              <w:tabs>
                <w:tab w:val="clear" w:pos="720"/>
                <w:tab w:val="left" w:pos="112" w:leader="none"/>
              </w:tabs>
              <w:spacing w:before="60" w:after="60"/>
              <w:jc w:val="left"/>
              <w:rPr>
                <w:sz w:val="18"/>
                <w:szCs w:val="18"/>
              </w:rPr>
            </w:pPr>
            <w:r>
              <w:rPr>
                <w:rStyle w:val="Platne"/>
                <w:sz w:val="18"/>
                <w:szCs w:val="18"/>
              </w:rPr>
              <w:tab/>
            </w:r>
            <w:bookmarkStart w:id="9" w:name="BROKER_COMP_FULLADDRESS"/>
            <w:r>
              <w:rPr>
                <w:rStyle w:val="Platne"/>
                <w:sz w:val="18"/>
                <w:szCs w:val="18"/>
              </w:rPr>
              <w:t>Rudolfovská tř. 202/88, 37001 České Budějovice - České Budějovice 4</w:t>
            </w:r>
            <w:bookmarkEnd w:id="9"/>
          </w:p>
        </w:tc>
      </w:tr>
    </w:tbl>
    <w:p>
      <w:pPr>
        <w:pStyle w:val="Nadpis1"/>
        <w:spacing w:before="600" w:after="240"/>
        <w:rPr/>
      </w:pPr>
      <w:r>
        <w:rPr>
          <w:color w:val="auto"/>
          <w:sz w:val="28"/>
        </w:rPr>
        <w:t xml:space="preserve">Pojistnou smlouvu č. </w:t>
      </w:r>
      <w:r>
        <w:rPr>
          <w:color w:val="auto"/>
          <w:sz w:val="28"/>
          <w:szCs w:val="28"/>
        </w:rPr>
        <w:t xml:space="preserve">2303 1890 21 </w:t>
      </w:r>
    </w:p>
    <w:p>
      <w:pPr>
        <w:pStyle w:val="Normal"/>
        <w:rPr/>
      </w:pPr>
      <w:r>
        <w:rPr/>
      </w:r>
    </w:p>
    <w:p>
      <w:pPr>
        <w:pStyle w:val="Nadpis2"/>
        <w:keepNext w:val="false"/>
        <w:keepLines w:val="false"/>
        <w:widowControl w:val="false"/>
        <w:spacing w:before="0" w:after="120"/>
        <w:rPr>
          <w:color w:val="auto"/>
          <w:sz w:val="28"/>
        </w:rPr>
      </w:pPr>
      <w:r>
        <w:rPr>
          <w:color w:val="auto"/>
          <w:sz w:val="28"/>
        </w:rPr>
        <w:t>POJIŠTĚNÍ odpovědnosti manažerů</w:t>
      </w:r>
    </w:p>
    <w:p>
      <w:pPr>
        <w:pStyle w:val="Tlotextu"/>
        <w:rPr>
          <w:sz w:val="18"/>
          <w:szCs w:val="18"/>
        </w:rPr>
      </w:pPr>
      <w:r>
        <w:rPr>
          <w:sz w:val="18"/>
          <w:szCs w:val="18"/>
        </w:rPr>
      </w:r>
    </w:p>
    <w:p>
      <w:pPr>
        <w:pStyle w:val="Tlotextu"/>
        <w:rPr>
          <w:sz w:val="18"/>
          <w:szCs w:val="18"/>
        </w:rPr>
      </w:pPr>
      <w:r>
        <w:rPr>
          <w:sz w:val="18"/>
          <w:szCs w:val="18"/>
        </w:rPr>
        <w:t xml:space="preserve">Podpisy vyjadřují strany souhlas s dále uvedenou </w:t>
      </w:r>
      <w:r>
        <w:rPr>
          <w:b/>
          <w:sz w:val="18"/>
          <w:szCs w:val="18"/>
        </w:rPr>
        <w:t>pojistnou smlouvou, pojistník</w:t>
      </w:r>
      <w:r>
        <w:rPr>
          <w:sz w:val="18"/>
          <w:szCs w:val="18"/>
        </w:rPr>
        <w:t xml:space="preserve"> potvrzuje správnost údajů uvedených v přiloženém dotazníku a dále potvrzuje, že se seznámil s přiloženými pojistnými podmínkami a že s nimi souhlasí. </w:t>
      </w:r>
      <w:r>
        <w:rPr>
          <w:b/>
          <w:sz w:val="18"/>
          <w:szCs w:val="18"/>
        </w:rPr>
        <w:t>Pojistník</w:t>
      </w:r>
      <w:r>
        <w:rPr>
          <w:sz w:val="18"/>
          <w:szCs w:val="18"/>
        </w:rPr>
        <w:t xml:space="preserve"> prohlašuje, že akceptuje návrh této </w:t>
      </w:r>
      <w:r>
        <w:rPr>
          <w:b/>
          <w:sz w:val="18"/>
          <w:szCs w:val="18"/>
        </w:rPr>
        <w:t>pojistné smlouvy</w:t>
      </w:r>
      <w:r>
        <w:rPr>
          <w:sz w:val="18"/>
          <w:szCs w:val="18"/>
        </w:rPr>
        <w:t xml:space="preserve"> v plném rozsahu; přijetí nabídky s dodatky či odchylkami, byť nepodstatnými, se za akceptaci nepovažuje. Za akceptaci se rovněž nepovažuje ústní oznámení o přijetí návrhu ani chování ve shodě s nabídkou.</w:t>
      </w:r>
    </w:p>
    <w:p>
      <w:pPr>
        <w:pStyle w:val="Tlotextu"/>
        <w:widowControl w:val="false"/>
        <w:rPr>
          <w:sz w:val="18"/>
          <w:szCs w:val="18"/>
        </w:rPr>
      </w:pPr>
      <w:r>
        <w:rPr>
          <w:sz w:val="18"/>
          <w:szCs w:val="18"/>
        </w:rPr>
      </w:r>
    </w:p>
    <w:tbl>
      <w:tblPr>
        <w:tblW w:w="9323" w:type="dxa"/>
        <w:jc w:val="left"/>
        <w:tblInd w:w="0" w:type="dxa"/>
        <w:tblCellMar>
          <w:top w:w="0" w:type="dxa"/>
          <w:left w:w="108" w:type="dxa"/>
          <w:bottom w:w="0" w:type="dxa"/>
          <w:right w:w="108" w:type="dxa"/>
        </w:tblCellMar>
        <w:tblLook w:firstRow="0" w:noVBand="0" w:lastRow="0" w:firstColumn="0" w:lastColumn="0" w:noHBand="0" w:val="0000"/>
      </w:tblPr>
      <w:tblGrid>
        <w:gridCol w:w="1100"/>
        <w:gridCol w:w="3968"/>
        <w:gridCol w:w="1"/>
        <w:gridCol w:w="282"/>
        <w:gridCol w:w="3971"/>
      </w:tblGrid>
      <w:tr>
        <w:trPr>
          <w:trHeight w:val="483" w:hRule="atLeast"/>
        </w:trPr>
        <w:tc>
          <w:tcPr>
            <w:tcW w:w="5069" w:type="dxa"/>
            <w:gridSpan w:val="3"/>
            <w:tcBorders/>
            <w:shd w:fill="auto" w:val="clear"/>
          </w:tcPr>
          <w:p>
            <w:pPr>
              <w:pStyle w:val="Normal"/>
              <w:spacing w:before="120" w:after="120"/>
              <w:rPr>
                <w:sz w:val="18"/>
                <w:szCs w:val="18"/>
              </w:rPr>
            </w:pPr>
            <w:r>
              <w:rPr>
                <w:sz w:val="18"/>
                <w:szCs w:val="18"/>
              </w:rPr>
              <w:t>Pojistník:</w:t>
            </w:r>
          </w:p>
        </w:tc>
        <w:tc>
          <w:tcPr>
            <w:tcW w:w="4253" w:type="dxa"/>
            <w:gridSpan w:val="2"/>
            <w:tcBorders/>
            <w:shd w:fill="auto" w:val="clear"/>
          </w:tcPr>
          <w:p>
            <w:pPr>
              <w:pStyle w:val="Normal"/>
              <w:spacing w:before="120" w:after="120"/>
              <w:rPr>
                <w:sz w:val="18"/>
                <w:szCs w:val="18"/>
              </w:rPr>
            </w:pPr>
            <w:r>
              <w:rPr>
                <w:sz w:val="18"/>
                <w:szCs w:val="18"/>
              </w:rPr>
              <w:t>Pojistitel:</w:t>
            </w:r>
          </w:p>
        </w:tc>
      </w:tr>
      <w:tr>
        <w:trPr>
          <w:trHeight w:val="725" w:hRule="atLeast"/>
        </w:trPr>
        <w:tc>
          <w:tcPr>
            <w:tcW w:w="5069" w:type="dxa"/>
            <w:gridSpan w:val="3"/>
            <w:tcBorders/>
            <w:shd w:fill="auto" w:val="clear"/>
          </w:tcPr>
          <w:p>
            <w:pPr>
              <w:pStyle w:val="Normal"/>
              <w:spacing w:before="120" w:after="120"/>
              <w:rPr>
                <w:sz w:val="18"/>
                <w:szCs w:val="18"/>
              </w:rPr>
            </w:pPr>
            <w:r>
              <w:rPr>
                <w:sz w:val="18"/>
                <w:szCs w:val="18"/>
              </w:rPr>
              <w:t>V ____________ dne __. __. 2020</w:t>
            </w:r>
          </w:p>
        </w:tc>
        <w:tc>
          <w:tcPr>
            <w:tcW w:w="4253" w:type="dxa"/>
            <w:gridSpan w:val="2"/>
            <w:tcBorders/>
            <w:shd w:fill="auto" w:val="clear"/>
          </w:tcPr>
          <w:p>
            <w:pPr>
              <w:pStyle w:val="Normal"/>
              <w:spacing w:before="120" w:after="120"/>
              <w:rPr/>
            </w:pPr>
            <w:r>
              <w:rPr>
                <w:sz w:val="18"/>
                <w:szCs w:val="18"/>
              </w:rPr>
              <w:t xml:space="preserve">V Praze dne </w:t>
            </w:r>
            <w:r>
              <w:rPr>
                <w:sz w:val="18"/>
                <w:szCs w:val="18"/>
              </w:rPr>
              <w:t>29.12.</w:t>
            </w:r>
            <w:r>
              <w:rPr>
                <w:sz w:val="18"/>
                <w:szCs w:val="18"/>
              </w:rPr>
              <w:t xml:space="preserve"> 2020</w:t>
            </w:r>
          </w:p>
        </w:tc>
      </w:tr>
      <w:tr>
        <w:trPr>
          <w:trHeight w:val="690" w:hRule="atLeast"/>
        </w:trPr>
        <w:tc>
          <w:tcPr>
            <w:tcW w:w="1100" w:type="dxa"/>
            <w:tcBorders/>
            <w:shd w:fill="auto" w:val="clear"/>
          </w:tcPr>
          <w:p>
            <w:pPr>
              <w:pStyle w:val="Normal"/>
              <w:spacing w:before="360" w:after="240"/>
              <w:rPr>
                <w:sz w:val="18"/>
                <w:szCs w:val="18"/>
              </w:rPr>
            </w:pPr>
            <w:r>
              <w:rPr>
                <w:sz w:val="18"/>
                <w:szCs w:val="18"/>
              </w:rPr>
              <w:t>Podpis:</w:t>
            </w:r>
          </w:p>
        </w:tc>
        <w:tc>
          <w:tcPr>
            <w:tcW w:w="3968" w:type="dxa"/>
            <w:tcBorders/>
            <w:shd w:fill="auto" w:val="clear"/>
          </w:tcPr>
          <w:p>
            <w:pPr>
              <w:pStyle w:val="Normal"/>
              <w:spacing w:before="360" w:after="240"/>
              <w:ind w:left="175" w:hanging="0"/>
              <w:jc w:val="center"/>
              <w:rPr>
                <w:sz w:val="18"/>
                <w:szCs w:val="18"/>
              </w:rPr>
            </w:pPr>
            <w:r>
              <w:rPr>
                <w:sz w:val="18"/>
                <w:szCs w:val="18"/>
              </w:rPr>
            </w:r>
          </w:p>
        </w:tc>
        <w:tc>
          <w:tcPr>
            <w:tcW w:w="283" w:type="dxa"/>
            <w:gridSpan w:val="2"/>
            <w:tcBorders/>
            <w:shd w:fill="auto" w:val="clear"/>
          </w:tcPr>
          <w:p>
            <w:pPr>
              <w:pStyle w:val="Normal"/>
              <w:spacing w:before="360" w:after="240"/>
              <w:rPr>
                <w:sz w:val="18"/>
                <w:szCs w:val="18"/>
              </w:rPr>
            </w:pPr>
            <w:r>
              <w:rPr>
                <w:sz w:val="18"/>
                <w:szCs w:val="18"/>
              </w:rPr>
            </w:r>
          </w:p>
        </w:tc>
        <w:tc>
          <w:tcPr>
            <w:tcW w:w="3971" w:type="dxa"/>
            <w:tcBorders/>
            <w:shd w:fill="auto" w:val="clear"/>
          </w:tcPr>
          <w:p>
            <w:pPr>
              <w:pStyle w:val="Normal"/>
              <w:spacing w:before="360" w:after="240"/>
              <w:jc w:val="center"/>
              <w:rPr>
                <w:sz w:val="18"/>
                <w:szCs w:val="18"/>
              </w:rPr>
            </w:pPr>
            <w:r>
              <w:rPr>
                <w:sz w:val="18"/>
                <w:szCs w:val="18"/>
              </w:rPr>
            </w:r>
          </w:p>
        </w:tc>
      </w:tr>
      <w:tr>
        <w:trPr/>
        <w:tc>
          <w:tcPr>
            <w:tcW w:w="1100" w:type="dxa"/>
            <w:tcBorders/>
            <w:shd w:fill="auto" w:val="clear"/>
          </w:tcPr>
          <w:p>
            <w:pPr>
              <w:pStyle w:val="Normal"/>
              <w:spacing w:before="60" w:after="60"/>
              <w:ind w:right="-250" w:hanging="0"/>
              <w:rPr>
                <w:sz w:val="18"/>
                <w:szCs w:val="18"/>
              </w:rPr>
            </w:pPr>
            <w:r>
              <w:rPr>
                <w:sz w:val="18"/>
                <w:szCs w:val="18"/>
              </w:rPr>
              <w:t>Jméno / funkce:</w:t>
            </w:r>
          </w:p>
        </w:tc>
        <w:tc>
          <w:tcPr>
            <w:tcW w:w="3968" w:type="dxa"/>
            <w:tcBorders>
              <w:top w:val="single" w:sz="4" w:space="0" w:color="000000"/>
            </w:tcBorders>
            <w:shd w:fill="auto" w:val="clear"/>
          </w:tcPr>
          <w:p>
            <w:pPr>
              <w:pStyle w:val="Normal"/>
              <w:spacing w:before="60" w:after="60"/>
              <w:ind w:left="175" w:hanging="0"/>
              <w:jc w:val="center"/>
              <w:rPr/>
            </w:pPr>
            <w:r>
              <w:rPr>
                <w:b/>
                <w:sz w:val="18"/>
                <w:szCs w:val="18"/>
              </w:rPr>
              <w:t>Ing.Josef Michálek</w:t>
            </w:r>
          </w:p>
          <w:p>
            <w:pPr>
              <w:pStyle w:val="Normal"/>
              <w:spacing w:before="60" w:after="60"/>
              <w:ind w:left="175" w:hanging="0"/>
              <w:jc w:val="center"/>
              <w:rPr>
                <w:sz w:val="18"/>
                <w:szCs w:val="18"/>
              </w:rPr>
            </w:pPr>
            <w:r>
              <w:rPr>
                <w:b/>
                <w:sz w:val="18"/>
                <w:szCs w:val="18"/>
              </w:rPr>
              <w:t>Jednatel společnosti</w:t>
            </w:r>
          </w:p>
        </w:tc>
        <w:tc>
          <w:tcPr>
            <w:tcW w:w="283" w:type="dxa"/>
            <w:gridSpan w:val="2"/>
            <w:tcBorders/>
            <w:shd w:fill="auto" w:val="clear"/>
          </w:tcPr>
          <w:p>
            <w:pPr>
              <w:pStyle w:val="Normal"/>
              <w:spacing w:before="60" w:after="60"/>
              <w:rPr>
                <w:sz w:val="18"/>
                <w:szCs w:val="18"/>
              </w:rPr>
            </w:pPr>
            <w:r>
              <w:rPr>
                <w:sz w:val="18"/>
                <w:szCs w:val="18"/>
              </w:rPr>
            </w:r>
          </w:p>
        </w:tc>
        <w:tc>
          <w:tcPr>
            <w:tcW w:w="3971" w:type="dxa"/>
            <w:tcBorders>
              <w:top w:val="single" w:sz="4" w:space="0" w:color="000000"/>
            </w:tcBorders>
            <w:shd w:fill="auto" w:val="clear"/>
          </w:tcPr>
          <w:p>
            <w:pPr>
              <w:pStyle w:val="Normal"/>
              <w:spacing w:before="60" w:after="60"/>
              <w:jc w:val="center"/>
              <w:rPr>
                <w:b/>
                <w:b/>
                <w:bCs/>
                <w:sz w:val="18"/>
                <w:szCs w:val="18"/>
              </w:rPr>
            </w:pPr>
            <w:bookmarkStart w:id="10" w:name="UWRESP_NAME2"/>
            <w:r>
              <w:rPr>
                <w:b/>
                <w:bCs/>
                <w:sz w:val="18"/>
                <w:szCs w:val="18"/>
              </w:rPr>
              <w:t>Ing. Marek Slabej</w:t>
            </w:r>
            <w:bookmarkEnd w:id="10"/>
          </w:p>
          <w:p>
            <w:pPr>
              <w:pStyle w:val="Normal"/>
              <w:spacing w:before="60" w:after="60"/>
              <w:jc w:val="center"/>
              <w:rPr>
                <w:b/>
                <w:b/>
                <w:sz w:val="18"/>
                <w:szCs w:val="18"/>
              </w:rPr>
            </w:pPr>
            <w:bookmarkStart w:id="11" w:name="UWRESP_POSEN"/>
            <w:r>
              <w:rPr>
                <w:b/>
                <w:sz w:val="18"/>
                <w:szCs w:val="18"/>
              </w:rPr>
              <w:t>Senior Financial Lines Underwriter</w:t>
            </w:r>
            <w:bookmarkEnd w:id="11"/>
          </w:p>
        </w:tc>
      </w:tr>
    </w:tbl>
    <w:p>
      <w:pPr>
        <w:pStyle w:val="Nadpis1"/>
        <w:spacing w:before="0" w:after="0"/>
        <w:rPr>
          <w:color w:val="auto"/>
          <w:sz w:val="24"/>
          <w:szCs w:val="24"/>
        </w:rPr>
      </w:pPr>
      <w:r>
        <w:br w:type="page"/>
      </w:r>
      <w:r>
        <w:rPr>
          <w:color w:val="auto"/>
          <w:sz w:val="24"/>
          <w:szCs w:val="24"/>
        </w:rPr>
        <w:t>NÁLEŽITOSTI POJISTNÉ SMLOUVY Č. 2303 1890 21</w:t>
      </w:r>
    </w:p>
    <w:p>
      <w:pPr>
        <w:pStyle w:val="Nadpis2"/>
        <w:keepNext w:val="false"/>
        <w:keepLines w:val="false"/>
        <w:widowControl w:val="false"/>
        <w:spacing w:before="240" w:after="120"/>
        <w:jc w:val="left"/>
        <w:rPr>
          <w:caps w:val="false"/>
          <w:smallCaps w:val="false"/>
          <w:color w:val="auto"/>
          <w:sz w:val="22"/>
        </w:rPr>
      </w:pPr>
      <w:r>
        <w:rPr>
          <w:caps w:val="false"/>
          <w:smallCaps w:val="false"/>
          <w:color w:val="auto"/>
          <w:sz w:val="22"/>
        </w:rPr>
        <w:t>Pojistná doba</w:t>
      </w:r>
    </w:p>
    <w:tbl>
      <w:tblPr>
        <w:tblW w:w="9072" w:type="dxa"/>
        <w:jc w:val="left"/>
        <w:tblInd w:w="30" w:type="dxa"/>
        <w:tblCellMar>
          <w:top w:w="0" w:type="dxa"/>
          <w:left w:w="30" w:type="dxa"/>
          <w:bottom w:w="0" w:type="dxa"/>
          <w:right w:w="30" w:type="dxa"/>
        </w:tblCellMar>
        <w:tblLook w:firstRow="0" w:noVBand="0" w:lastRow="0" w:firstColumn="0" w:lastColumn="0" w:noHBand="0" w:val="0000"/>
      </w:tblPr>
      <w:tblGrid>
        <w:gridCol w:w="2268"/>
        <w:gridCol w:w="1417"/>
        <w:gridCol w:w="3969"/>
        <w:gridCol w:w="1417"/>
      </w:tblGrid>
      <w:tr>
        <w:trPr>
          <w:trHeight w:val="369" w:hRule="atLeast"/>
        </w:trPr>
        <w:tc>
          <w:tcPr>
            <w:tcW w:w="9071" w:type="dxa"/>
            <w:gridSpan w:val="4"/>
            <w:tcBorders/>
            <w:shd w:color="auto" w:fill="auto" w:val="pct5"/>
          </w:tcPr>
          <w:p>
            <w:pPr>
              <w:pStyle w:val="Normal"/>
              <w:widowControl w:val="false"/>
              <w:spacing w:before="60" w:after="60"/>
              <w:ind w:left="112" w:hanging="0"/>
              <w:rPr>
                <w:b/>
                <w:b/>
                <w:sz w:val="18"/>
                <w:szCs w:val="18"/>
                <w:lang w:eastAsia="en-US"/>
              </w:rPr>
            </w:pPr>
            <w:r>
              <w:rPr>
                <w:b/>
                <w:sz w:val="18"/>
                <w:szCs w:val="18"/>
              </w:rPr>
              <w:t>Pojistná smlouva</w:t>
            </w:r>
            <w:r>
              <w:rPr>
                <w:i/>
                <w:sz w:val="18"/>
                <w:szCs w:val="18"/>
              </w:rPr>
              <w:t xml:space="preserve"> </w:t>
            </w:r>
            <w:r>
              <w:rPr>
                <w:sz w:val="18"/>
                <w:szCs w:val="18"/>
              </w:rPr>
              <w:t xml:space="preserve">se sjednává na dobu určitou. Tato </w:t>
            </w:r>
            <w:r>
              <w:rPr>
                <w:b/>
                <w:sz w:val="18"/>
                <w:szCs w:val="18"/>
              </w:rPr>
              <w:t>pojistná doba</w:t>
            </w:r>
            <w:r>
              <w:rPr>
                <w:sz w:val="18"/>
                <w:szCs w:val="18"/>
              </w:rPr>
              <w:t xml:space="preserve"> se prodlužuje automaticky vždy o další rok, není-li </w:t>
            </w:r>
            <w:r>
              <w:rPr>
                <w:b/>
                <w:sz w:val="18"/>
                <w:szCs w:val="18"/>
              </w:rPr>
              <w:t>pojistníkem</w:t>
            </w:r>
            <w:r>
              <w:rPr>
                <w:sz w:val="18"/>
                <w:szCs w:val="18"/>
              </w:rPr>
              <w:t xml:space="preserve"> nebo </w:t>
            </w:r>
            <w:r>
              <w:rPr>
                <w:b/>
                <w:sz w:val="18"/>
                <w:szCs w:val="18"/>
              </w:rPr>
              <w:t>pojistitelem</w:t>
            </w:r>
            <w:r>
              <w:rPr>
                <w:sz w:val="18"/>
                <w:szCs w:val="18"/>
              </w:rPr>
              <w:t xml:space="preserve"> toto pojištění v písemné formě vypovězeno nejpozději šest týdnů před uplynutím příslušné </w:t>
            </w:r>
            <w:r>
              <w:rPr>
                <w:b/>
                <w:sz w:val="18"/>
                <w:szCs w:val="18"/>
              </w:rPr>
              <w:t>pojistné doby</w:t>
            </w:r>
            <w:r>
              <w:rPr>
                <w:sz w:val="18"/>
                <w:szCs w:val="18"/>
              </w:rPr>
              <w:t>.</w:t>
            </w:r>
          </w:p>
        </w:tc>
      </w:tr>
      <w:tr>
        <w:trPr>
          <w:trHeight w:val="374" w:hRule="atLeast"/>
        </w:trPr>
        <w:tc>
          <w:tcPr>
            <w:tcW w:w="2268" w:type="dxa"/>
            <w:tcBorders>
              <w:right w:val="single" w:sz="4" w:space="0" w:color="808080"/>
            </w:tcBorders>
            <w:shd w:color="auto" w:fill="auto" w:val="pct5"/>
          </w:tcPr>
          <w:p>
            <w:pPr>
              <w:pStyle w:val="Normal"/>
              <w:widowControl w:val="false"/>
              <w:spacing w:before="60" w:after="60"/>
              <w:ind w:left="142" w:hanging="0"/>
              <w:rPr>
                <w:sz w:val="18"/>
                <w:szCs w:val="18"/>
                <w:lang w:eastAsia="en-US"/>
              </w:rPr>
            </w:pPr>
            <w:r>
              <w:rPr>
                <w:sz w:val="18"/>
                <w:szCs w:val="18"/>
                <w:lang w:eastAsia="en-US"/>
              </w:rPr>
              <w:t>Pojištění vznikne dnem</w:t>
            </w:r>
          </w:p>
        </w:tc>
        <w:tc>
          <w:tcPr>
            <w:tcW w:w="141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60" w:after="60"/>
              <w:jc w:val="center"/>
              <w:rPr>
                <w:b/>
                <w:b/>
                <w:sz w:val="18"/>
                <w:szCs w:val="18"/>
                <w:lang w:eastAsia="en-US"/>
              </w:rPr>
            </w:pPr>
            <w:bookmarkStart w:id="12" w:name="INC_DATE"/>
            <w:r>
              <w:rPr>
                <w:b/>
                <w:sz w:val="18"/>
                <w:szCs w:val="18"/>
                <w:lang w:eastAsia="en-US"/>
              </w:rPr>
              <w:t>1. 1. 202</w:t>
            </w:r>
            <w:bookmarkEnd w:id="12"/>
            <w:r>
              <w:rPr>
                <w:b/>
                <w:sz w:val="18"/>
                <w:szCs w:val="18"/>
                <w:lang w:eastAsia="en-US"/>
              </w:rPr>
              <w:t>1</w:t>
            </w:r>
          </w:p>
        </w:tc>
        <w:tc>
          <w:tcPr>
            <w:tcW w:w="3969" w:type="dxa"/>
            <w:tcBorders>
              <w:left w:val="single" w:sz="4" w:space="0" w:color="808080"/>
              <w:right w:val="single" w:sz="4" w:space="0" w:color="808080"/>
            </w:tcBorders>
            <w:shd w:color="auto" w:fill="auto" w:val="pct5"/>
          </w:tcPr>
          <w:p>
            <w:pPr>
              <w:pStyle w:val="Normal"/>
              <w:widowControl w:val="false"/>
              <w:spacing w:before="60" w:after="60"/>
              <w:ind w:left="142" w:right="112" w:hanging="0"/>
              <w:rPr>
                <w:sz w:val="18"/>
                <w:szCs w:val="18"/>
                <w:lang w:eastAsia="en-US"/>
              </w:rPr>
            </w:pPr>
            <w:r>
              <w:rPr>
                <w:sz w:val="18"/>
                <w:szCs w:val="18"/>
                <w:lang w:eastAsia="en-US"/>
              </w:rPr>
              <w:t xml:space="preserve">a je sjednáno na </w:t>
            </w:r>
            <w:r>
              <w:rPr>
                <w:b/>
                <w:sz w:val="18"/>
                <w:szCs w:val="18"/>
                <w:lang w:eastAsia="en-US"/>
              </w:rPr>
              <w:t>pojistnou dobu</w:t>
            </w:r>
            <w:r>
              <w:rPr>
                <w:sz w:val="18"/>
                <w:szCs w:val="18"/>
                <w:lang w:eastAsia="en-US"/>
              </w:rPr>
              <w:t>, která skončí dnem</w:t>
            </w:r>
          </w:p>
        </w:tc>
        <w:tc>
          <w:tcPr>
            <w:tcW w:w="141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60" w:after="60"/>
              <w:jc w:val="center"/>
              <w:rPr>
                <w:b/>
                <w:b/>
                <w:sz w:val="18"/>
                <w:szCs w:val="18"/>
                <w:lang w:eastAsia="en-US"/>
              </w:rPr>
            </w:pPr>
            <w:bookmarkStart w:id="13" w:name="EXP_DATE"/>
            <w:r>
              <w:rPr>
                <w:b/>
                <w:sz w:val="18"/>
                <w:szCs w:val="18"/>
                <w:lang w:eastAsia="en-US"/>
              </w:rPr>
              <w:t>31. 12. 2021</w:t>
            </w:r>
            <w:bookmarkEnd w:id="13"/>
          </w:p>
        </w:tc>
      </w:tr>
    </w:tbl>
    <w:p>
      <w:pPr>
        <w:pStyle w:val="Nadpis2"/>
        <w:keepNext w:val="false"/>
        <w:keepLines w:val="false"/>
        <w:widowControl w:val="false"/>
        <w:spacing w:before="240" w:after="60"/>
        <w:jc w:val="left"/>
        <w:rPr>
          <w:caps w:val="false"/>
          <w:smallCaps w:val="false"/>
          <w:color w:val="auto"/>
          <w:sz w:val="22"/>
        </w:rPr>
      </w:pPr>
      <w:r>
        <w:rPr>
          <w:caps w:val="false"/>
          <w:smallCaps w:val="false"/>
          <w:color w:val="auto"/>
          <w:sz w:val="22"/>
        </w:rPr>
        <w:t>Pojištěný</w:t>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9072"/>
      </w:tblGrid>
      <w:tr>
        <w:trPr/>
        <w:tc>
          <w:tcPr>
            <w:tcW w:w="9072" w:type="dxa"/>
            <w:tcBorders>
              <w:top w:val="single" w:sz="4" w:space="0" w:color="808080"/>
              <w:left w:val="single" w:sz="4" w:space="0" w:color="808080"/>
              <w:bottom w:val="single" w:sz="4" w:space="0" w:color="808080"/>
              <w:right w:val="single" w:sz="4" w:space="0" w:color="808080"/>
            </w:tcBorders>
            <w:shd w:color="auto" w:fill="auto" w:val="pct5"/>
          </w:tcPr>
          <w:p>
            <w:pPr>
              <w:pStyle w:val="Normal"/>
              <w:widowControl w:val="false"/>
              <w:spacing w:before="60" w:after="40"/>
              <w:rPr>
                <w:rFonts w:cs="Arial"/>
                <w:sz w:val="18"/>
                <w:szCs w:val="18"/>
              </w:rPr>
            </w:pPr>
            <w:r>
              <w:rPr>
                <w:rFonts w:cs="Arial"/>
                <w:sz w:val="18"/>
                <w:szCs w:val="18"/>
              </w:rPr>
              <w:t xml:space="preserve">Následující fyzické osoby ve smyslu definice </w:t>
            </w:r>
            <w:r>
              <w:rPr>
                <w:rFonts w:cs="Arial"/>
                <w:b/>
                <w:sz w:val="18"/>
                <w:szCs w:val="18"/>
              </w:rPr>
              <w:t xml:space="preserve">pojištěné osoby </w:t>
            </w:r>
            <w:r>
              <w:rPr>
                <w:rFonts w:cs="Arial"/>
                <w:sz w:val="18"/>
                <w:szCs w:val="18"/>
              </w:rPr>
              <w:t>uvedené v pojistných podmínkách:</w:t>
            </w:r>
          </w:p>
          <w:p>
            <w:pPr>
              <w:pStyle w:val="Normal"/>
              <w:rPr>
                <w:rFonts w:cs="Arial"/>
                <w:sz w:val="14"/>
                <w:szCs w:val="14"/>
              </w:rPr>
            </w:pPr>
            <w:r>
              <w:rPr>
                <w:rFonts w:cs="Arial"/>
                <w:sz w:val="14"/>
                <w:szCs w:val="14"/>
              </w:rPr>
            </w:r>
          </w:p>
          <w:p>
            <w:pPr>
              <w:pStyle w:val="Normal"/>
              <w:widowControl w:val="false"/>
              <w:numPr>
                <w:ilvl w:val="0"/>
                <w:numId w:val="1"/>
              </w:numPr>
              <w:rPr>
                <w:rFonts w:cs="Arial"/>
                <w:sz w:val="18"/>
                <w:szCs w:val="18"/>
              </w:rPr>
            </w:pPr>
            <w:r>
              <w:rPr>
                <w:rFonts w:cs="Arial"/>
                <w:b/>
                <w:sz w:val="18"/>
                <w:szCs w:val="18"/>
              </w:rPr>
              <w:t>člen orgánu</w:t>
            </w:r>
            <w:r>
              <w:rPr>
                <w:rFonts w:cs="Arial"/>
                <w:sz w:val="18"/>
                <w:szCs w:val="18"/>
              </w:rPr>
              <w:t xml:space="preserve">, ne však externí auditor, insolvenční nebo obdobný správce </w:t>
            </w:r>
            <w:r>
              <w:rPr>
                <w:rFonts w:cs="Arial"/>
                <w:b/>
                <w:sz w:val="18"/>
                <w:szCs w:val="18"/>
              </w:rPr>
              <w:t>společnosti</w:t>
            </w:r>
            <w:r>
              <w:rPr>
                <w:rFonts w:cs="Arial"/>
                <w:sz w:val="18"/>
                <w:szCs w:val="18"/>
              </w:rPr>
              <w:t>;</w:t>
            </w:r>
          </w:p>
          <w:p>
            <w:pPr>
              <w:pStyle w:val="Normal"/>
              <w:widowControl w:val="false"/>
              <w:numPr>
                <w:ilvl w:val="0"/>
                <w:numId w:val="1"/>
              </w:numPr>
              <w:rPr>
                <w:rFonts w:cs="Arial"/>
                <w:sz w:val="18"/>
                <w:szCs w:val="18"/>
              </w:rPr>
            </w:pPr>
            <w:r>
              <w:rPr>
                <w:rFonts w:cs="Arial"/>
                <w:sz w:val="18"/>
                <w:szCs w:val="18"/>
              </w:rPr>
              <w:t xml:space="preserve">vedoucí zaměstnanec </w:t>
            </w:r>
            <w:r>
              <w:rPr>
                <w:rFonts w:cs="Arial"/>
                <w:b/>
                <w:sz w:val="18"/>
                <w:szCs w:val="18"/>
              </w:rPr>
              <w:t>společnosti</w:t>
            </w:r>
            <w:r>
              <w:rPr>
                <w:rFonts w:cs="Arial"/>
                <w:sz w:val="18"/>
                <w:szCs w:val="18"/>
              </w:rPr>
              <w:t xml:space="preserve"> v manažerské nebo kontrolní funkci, pokud:</w:t>
            </w:r>
          </w:p>
          <w:p>
            <w:pPr>
              <w:pStyle w:val="Normal"/>
              <w:widowControl w:val="false"/>
              <w:numPr>
                <w:ilvl w:val="0"/>
                <w:numId w:val="3"/>
              </w:numPr>
              <w:ind w:left="1168" w:hanging="567"/>
              <w:rPr>
                <w:rFonts w:cs="Arial"/>
                <w:sz w:val="18"/>
                <w:szCs w:val="18"/>
              </w:rPr>
            </w:pPr>
            <w:r>
              <w:rPr>
                <w:rFonts w:cs="Arial"/>
                <w:sz w:val="18"/>
                <w:szCs w:val="18"/>
              </w:rPr>
              <w:t>jedná při výkonu své řídicí nebo manažerské funkce;</w:t>
            </w:r>
          </w:p>
          <w:p>
            <w:pPr>
              <w:pStyle w:val="Normal"/>
              <w:widowControl w:val="false"/>
              <w:numPr>
                <w:ilvl w:val="0"/>
                <w:numId w:val="3"/>
              </w:numPr>
              <w:ind w:left="1168" w:hanging="567"/>
              <w:rPr>
                <w:rFonts w:cs="Arial"/>
                <w:sz w:val="18"/>
                <w:szCs w:val="18"/>
              </w:rPr>
            </w:pPr>
            <w:r>
              <w:rPr>
                <w:rFonts w:cs="Arial"/>
                <w:sz w:val="18"/>
                <w:szCs w:val="18"/>
              </w:rPr>
              <w:t xml:space="preserve">je proti němu vznesen </w:t>
            </w:r>
            <w:r>
              <w:rPr>
                <w:rFonts w:cs="Arial"/>
                <w:b/>
                <w:sz w:val="18"/>
                <w:szCs w:val="18"/>
              </w:rPr>
              <w:t>nárok</w:t>
            </w:r>
            <w:r>
              <w:rPr>
                <w:rFonts w:cs="Arial"/>
                <w:sz w:val="18"/>
                <w:szCs w:val="18"/>
              </w:rPr>
              <w:t xml:space="preserve">, ve kterém je tvrzeno </w:t>
            </w:r>
            <w:r>
              <w:rPr>
                <w:rFonts w:cs="Arial"/>
                <w:b/>
                <w:sz w:val="18"/>
                <w:szCs w:val="18"/>
              </w:rPr>
              <w:t>porušení pracovněprávních předpisů</w:t>
            </w:r>
            <w:r>
              <w:rPr>
                <w:rFonts w:cs="Arial"/>
                <w:sz w:val="18"/>
                <w:szCs w:val="18"/>
              </w:rPr>
              <w:t>;</w:t>
            </w:r>
          </w:p>
          <w:p>
            <w:pPr>
              <w:pStyle w:val="Normal"/>
              <w:widowControl w:val="false"/>
              <w:numPr>
                <w:ilvl w:val="0"/>
                <w:numId w:val="3"/>
              </w:numPr>
              <w:ind w:left="1168" w:hanging="567"/>
              <w:rPr>
                <w:rFonts w:cs="Arial"/>
                <w:sz w:val="18"/>
                <w:szCs w:val="18"/>
              </w:rPr>
            </w:pPr>
            <w:r>
              <w:rPr>
                <w:rFonts w:cs="Arial"/>
                <w:sz w:val="18"/>
                <w:szCs w:val="18"/>
              </w:rPr>
              <w:t xml:space="preserve">je žalovaným vedle </w:t>
            </w:r>
            <w:r>
              <w:rPr>
                <w:rFonts w:cs="Arial"/>
                <w:b/>
                <w:sz w:val="18"/>
                <w:szCs w:val="18"/>
              </w:rPr>
              <w:t>člena orgánu společnosti</w:t>
            </w:r>
            <w:r>
              <w:rPr>
                <w:rFonts w:cs="Arial"/>
                <w:sz w:val="18"/>
                <w:szCs w:val="18"/>
              </w:rPr>
              <w:t xml:space="preserve"> v souvislosti s </w:t>
            </w:r>
            <w:r>
              <w:rPr>
                <w:rFonts w:cs="Arial"/>
                <w:b/>
                <w:sz w:val="18"/>
                <w:szCs w:val="18"/>
              </w:rPr>
              <w:t>nárokem</w:t>
            </w:r>
            <w:r>
              <w:rPr>
                <w:rFonts w:cs="Arial"/>
                <w:sz w:val="18"/>
                <w:szCs w:val="18"/>
              </w:rPr>
              <w:t xml:space="preserve">, ve kterém je tvrzeno, že se podílel na </w:t>
            </w:r>
            <w:r>
              <w:rPr>
                <w:rFonts w:cs="Arial"/>
                <w:b/>
                <w:sz w:val="18"/>
                <w:szCs w:val="18"/>
              </w:rPr>
              <w:t>porušení povinností</w:t>
            </w:r>
            <w:r>
              <w:rPr>
                <w:rFonts w:cs="Arial"/>
                <w:sz w:val="18"/>
                <w:szCs w:val="18"/>
              </w:rPr>
              <w:t>;</w:t>
            </w:r>
          </w:p>
          <w:p>
            <w:pPr>
              <w:pStyle w:val="Normal"/>
              <w:widowControl w:val="false"/>
              <w:numPr>
                <w:ilvl w:val="0"/>
                <w:numId w:val="3"/>
              </w:numPr>
              <w:ind w:left="1168" w:hanging="567"/>
              <w:rPr>
                <w:rFonts w:cs="Arial"/>
                <w:sz w:val="18"/>
                <w:szCs w:val="18"/>
              </w:rPr>
            </w:pPr>
            <w:r>
              <w:rPr>
                <w:rFonts w:cs="Arial"/>
                <w:sz w:val="18"/>
                <w:szCs w:val="18"/>
              </w:rPr>
              <w:t xml:space="preserve">je proti němu vedeno </w:t>
            </w:r>
            <w:r>
              <w:rPr>
                <w:rFonts w:cs="Arial"/>
                <w:b/>
                <w:sz w:val="18"/>
                <w:szCs w:val="18"/>
              </w:rPr>
              <w:t>vyšetřování pojištěné osoby</w:t>
            </w:r>
            <w:r>
              <w:rPr>
                <w:rFonts w:cs="Arial"/>
                <w:sz w:val="18"/>
                <w:szCs w:val="18"/>
              </w:rPr>
              <w:t>;</w:t>
            </w:r>
          </w:p>
          <w:p>
            <w:pPr>
              <w:pStyle w:val="Normal"/>
              <w:widowControl w:val="false"/>
              <w:numPr>
                <w:ilvl w:val="0"/>
                <w:numId w:val="1"/>
              </w:numPr>
              <w:rPr>
                <w:sz w:val="18"/>
                <w:szCs w:val="18"/>
              </w:rPr>
            </w:pPr>
            <w:r>
              <w:rPr>
                <w:b/>
                <w:sz w:val="18"/>
                <w:szCs w:val="18"/>
              </w:rPr>
              <w:t>stínový ředitel</w:t>
            </w:r>
            <w:r>
              <w:rPr>
                <w:sz w:val="18"/>
                <w:szCs w:val="18"/>
              </w:rPr>
              <w:t xml:space="preserve"> nebo de facto ředitel (</w:t>
            </w:r>
            <w:r>
              <w:rPr>
                <w:i/>
                <w:sz w:val="18"/>
                <w:szCs w:val="18"/>
              </w:rPr>
              <w:t>de facto director</w:t>
            </w:r>
            <w:r>
              <w:rPr>
                <w:sz w:val="18"/>
                <w:szCs w:val="18"/>
              </w:rPr>
              <w:t xml:space="preserve">) </w:t>
            </w:r>
            <w:r>
              <w:rPr>
                <w:b/>
                <w:sz w:val="18"/>
                <w:szCs w:val="18"/>
              </w:rPr>
              <w:t>společnosti</w:t>
            </w:r>
            <w:r>
              <w:rPr>
                <w:sz w:val="18"/>
                <w:szCs w:val="18"/>
              </w:rPr>
              <w:t>;</w:t>
            </w:r>
          </w:p>
          <w:p>
            <w:pPr>
              <w:pStyle w:val="Normal"/>
              <w:widowControl w:val="false"/>
              <w:numPr>
                <w:ilvl w:val="0"/>
                <w:numId w:val="1"/>
              </w:numPr>
              <w:rPr>
                <w:sz w:val="18"/>
                <w:szCs w:val="18"/>
              </w:rPr>
            </w:pPr>
            <w:r>
              <w:rPr>
                <w:sz w:val="18"/>
                <w:szCs w:val="18"/>
              </w:rPr>
              <w:t>předpokládaný ředitel (</w:t>
            </w:r>
            <w:r>
              <w:rPr>
                <w:i/>
                <w:sz w:val="18"/>
                <w:szCs w:val="18"/>
              </w:rPr>
              <w:t>prospective director</w:t>
            </w:r>
            <w:r>
              <w:rPr>
                <w:sz w:val="18"/>
                <w:szCs w:val="18"/>
              </w:rPr>
              <w:t xml:space="preserve">) uvedený v jakémkoliv prospektu vydaném za účelem kotování cenných papírů na burze nebo v obdobném prospektu vydaném </w:t>
            </w:r>
            <w:r>
              <w:rPr>
                <w:b/>
                <w:sz w:val="18"/>
                <w:szCs w:val="18"/>
              </w:rPr>
              <w:t>společností</w:t>
            </w:r>
            <w:r>
              <w:rPr>
                <w:sz w:val="18"/>
                <w:szCs w:val="18"/>
              </w:rPr>
              <w:t>; a</w:t>
            </w:r>
          </w:p>
          <w:p>
            <w:pPr>
              <w:pStyle w:val="Normal"/>
              <w:widowControl w:val="false"/>
              <w:numPr>
                <w:ilvl w:val="0"/>
                <w:numId w:val="1"/>
              </w:numPr>
              <w:rPr>
                <w:sz w:val="18"/>
                <w:szCs w:val="18"/>
              </w:rPr>
            </w:pPr>
            <w:r>
              <w:rPr>
                <w:b/>
                <w:sz w:val="18"/>
                <w:szCs w:val="18"/>
              </w:rPr>
              <w:t>člen orgánu společnosti mimo skupinu</w:t>
            </w:r>
            <w:r>
              <w:rPr>
                <w:sz w:val="18"/>
                <w:szCs w:val="18"/>
              </w:rPr>
              <w:t>;</w:t>
            </w:r>
          </w:p>
          <w:p>
            <w:pPr>
              <w:pStyle w:val="Normal"/>
              <w:widowControl w:val="false"/>
              <w:ind w:left="567" w:hanging="0"/>
              <w:rPr>
                <w:sz w:val="8"/>
                <w:szCs w:val="8"/>
              </w:rPr>
            </w:pPr>
            <w:r>
              <w:rPr>
                <w:sz w:val="8"/>
                <w:szCs w:val="8"/>
              </w:rPr>
            </w:r>
          </w:p>
          <w:p>
            <w:pPr>
              <w:pStyle w:val="Normal"/>
              <w:widowControl w:val="false"/>
              <w:ind w:left="567" w:hanging="0"/>
              <w:rPr>
                <w:sz w:val="18"/>
                <w:szCs w:val="18"/>
              </w:rPr>
            </w:pPr>
            <w:r>
              <w:rPr>
                <w:sz w:val="18"/>
                <w:szCs w:val="18"/>
              </w:rPr>
              <w:t xml:space="preserve">avšak pouze v rozsahu, v jakém taková osoba jedná v pozici </w:t>
            </w:r>
            <w:r>
              <w:rPr>
                <w:b/>
                <w:sz w:val="18"/>
                <w:szCs w:val="18"/>
              </w:rPr>
              <w:t>pojištěné osoby</w:t>
            </w:r>
            <w:r>
              <w:rPr>
                <w:sz w:val="18"/>
                <w:szCs w:val="18"/>
              </w:rPr>
              <w:t>.</w:t>
            </w:r>
          </w:p>
          <w:p>
            <w:pPr>
              <w:pStyle w:val="Normal"/>
              <w:widowControl w:val="false"/>
              <w:ind w:left="567" w:hanging="0"/>
              <w:rPr>
                <w:sz w:val="8"/>
                <w:szCs w:val="8"/>
              </w:rPr>
            </w:pPr>
            <w:r>
              <w:rPr>
                <w:sz w:val="8"/>
                <w:szCs w:val="8"/>
              </w:rPr>
            </w:r>
          </w:p>
          <w:p>
            <w:pPr>
              <w:pStyle w:val="Normal"/>
              <w:widowControl w:val="false"/>
              <w:rPr>
                <w:i/>
                <w:i/>
                <w:sz w:val="18"/>
                <w:szCs w:val="18"/>
              </w:rPr>
            </w:pPr>
            <w:r>
              <w:rPr>
                <w:b/>
                <w:sz w:val="18"/>
                <w:szCs w:val="18"/>
              </w:rPr>
              <w:t>Pojištěnou osobou</w:t>
            </w:r>
            <w:r>
              <w:rPr>
                <w:sz w:val="18"/>
                <w:szCs w:val="18"/>
              </w:rPr>
              <w:t xml:space="preserve"> je taktéž manžel/manželka, registrovaný partner nebo dědic či právní nástupce výše uvedených </w:t>
            </w:r>
            <w:r>
              <w:rPr>
                <w:b/>
                <w:sz w:val="18"/>
                <w:szCs w:val="18"/>
              </w:rPr>
              <w:t>pojištěných osob,</w:t>
            </w:r>
            <w:r>
              <w:rPr>
                <w:sz w:val="18"/>
                <w:szCs w:val="18"/>
              </w:rPr>
              <w:t xml:space="preserve"> avšak pouze v souvislosti s </w:t>
            </w:r>
            <w:r>
              <w:rPr>
                <w:b/>
                <w:sz w:val="18"/>
                <w:szCs w:val="18"/>
              </w:rPr>
              <w:t>nárokem</w:t>
            </w:r>
            <w:r>
              <w:rPr>
                <w:sz w:val="18"/>
                <w:szCs w:val="18"/>
              </w:rPr>
              <w:t xml:space="preserve"> vyplývajícím výhradně z </w:t>
            </w:r>
            <w:r>
              <w:rPr>
                <w:b/>
                <w:sz w:val="18"/>
                <w:szCs w:val="18"/>
              </w:rPr>
              <w:t>porušení povinností</w:t>
            </w:r>
            <w:r>
              <w:rPr>
                <w:sz w:val="18"/>
                <w:szCs w:val="18"/>
              </w:rPr>
              <w:t xml:space="preserve"> výše uvedených </w:t>
            </w:r>
            <w:r>
              <w:rPr>
                <w:b/>
                <w:sz w:val="18"/>
                <w:szCs w:val="18"/>
              </w:rPr>
              <w:t>pojištěných osob</w:t>
            </w:r>
            <w:r>
              <w:rPr>
                <w:sz w:val="18"/>
                <w:szCs w:val="18"/>
              </w:rPr>
              <w:t>.</w:t>
            </w:r>
          </w:p>
          <w:p>
            <w:pPr>
              <w:pStyle w:val="Normal"/>
              <w:widowControl w:val="false"/>
              <w:ind w:left="567" w:hanging="0"/>
              <w:rPr>
                <w:i/>
                <w:i/>
                <w:sz w:val="18"/>
                <w:szCs w:val="18"/>
              </w:rPr>
            </w:pPr>
            <w:r>
              <w:rPr>
                <w:i/>
                <w:sz w:val="18"/>
                <w:szCs w:val="18"/>
              </w:rPr>
            </w:r>
          </w:p>
          <w:p>
            <w:pPr>
              <w:pStyle w:val="Normal"/>
              <w:widowControl w:val="false"/>
              <w:rPr/>
            </w:pPr>
            <w:r>
              <w:rPr>
                <w:b/>
                <w:sz w:val="18"/>
                <w:szCs w:val="18"/>
              </w:rPr>
              <w:t xml:space="preserve">Společnost </w:t>
            </w:r>
            <w:r>
              <w:rPr>
                <w:sz w:val="18"/>
                <w:szCs w:val="18"/>
              </w:rPr>
              <w:t>je pojištěna pouze v případech výslovně uvedených v pojistných podmínkách.</w:t>
            </w:r>
          </w:p>
        </w:tc>
      </w:tr>
    </w:tbl>
    <w:p>
      <w:pPr>
        <w:pStyle w:val="Nadpis2"/>
        <w:keepNext w:val="false"/>
        <w:keepLines w:val="false"/>
        <w:widowControl w:val="false"/>
        <w:spacing w:before="240" w:after="60"/>
        <w:jc w:val="left"/>
        <w:rPr>
          <w:caps w:val="false"/>
          <w:smallCaps w:val="false"/>
          <w:color w:val="auto"/>
          <w:sz w:val="22"/>
        </w:rPr>
      </w:pPr>
      <w:r>
        <w:rPr>
          <w:caps w:val="false"/>
          <w:smallCaps w:val="false"/>
          <w:color w:val="auto"/>
          <w:sz w:val="22"/>
        </w:rPr>
        <w:t>Pojistná událost</w:t>
      </w:r>
    </w:p>
    <w:tbl>
      <w:tblPr>
        <w:tblW w:w="9072" w:type="dxa"/>
        <w:jc w:val="left"/>
        <w:tblInd w:w="70" w:type="dxa"/>
        <w:tblCellMar>
          <w:top w:w="0" w:type="dxa"/>
          <w:left w:w="70" w:type="dxa"/>
          <w:bottom w:w="0" w:type="dxa"/>
          <w:right w:w="70" w:type="dxa"/>
        </w:tblCellMar>
        <w:tblLook w:firstRow="1" w:noVBand="0" w:lastRow="1" w:firstColumn="1" w:lastColumn="1" w:noHBand="0" w:val="01e0"/>
      </w:tblPr>
      <w:tblGrid>
        <w:gridCol w:w="9072"/>
      </w:tblGrid>
      <w:tr>
        <w:trPr/>
        <w:tc>
          <w:tcPr>
            <w:tcW w:w="9072" w:type="dxa"/>
            <w:tcBorders>
              <w:top w:val="single" w:sz="4" w:space="0" w:color="808080"/>
              <w:left w:val="single" w:sz="4" w:space="0" w:color="808080"/>
              <w:bottom w:val="single" w:sz="4" w:space="0" w:color="808080"/>
              <w:right w:val="single" w:sz="4" w:space="0" w:color="808080"/>
            </w:tcBorders>
            <w:shd w:color="auto" w:fill="auto" w:val="pct5"/>
          </w:tcPr>
          <w:p>
            <w:pPr>
              <w:pStyle w:val="Normal"/>
              <w:widowControl w:val="false"/>
              <w:spacing w:before="60" w:after="60"/>
              <w:rPr>
                <w:sz w:val="18"/>
                <w:szCs w:val="18"/>
              </w:rPr>
            </w:pPr>
            <w:r>
              <w:rPr>
                <w:sz w:val="18"/>
                <w:szCs w:val="18"/>
              </w:rPr>
              <w:t xml:space="preserve">Pojistnou událostí je </w:t>
            </w:r>
            <w:r>
              <w:rPr>
                <w:b/>
                <w:sz w:val="18"/>
                <w:szCs w:val="18"/>
              </w:rPr>
              <w:t>nárok</w:t>
            </w:r>
            <w:r>
              <w:rPr>
                <w:sz w:val="18"/>
                <w:szCs w:val="18"/>
              </w:rPr>
              <w:t xml:space="preserve">, který byl poprvé proti </w:t>
            </w:r>
            <w:r>
              <w:rPr>
                <w:b/>
                <w:sz w:val="18"/>
                <w:szCs w:val="18"/>
              </w:rPr>
              <w:t>pojištěnému</w:t>
            </w:r>
            <w:r>
              <w:rPr>
                <w:sz w:val="18"/>
                <w:szCs w:val="18"/>
              </w:rPr>
              <w:t xml:space="preserve"> vznesen během </w:t>
            </w:r>
            <w:r>
              <w:rPr>
                <w:b/>
                <w:sz w:val="18"/>
                <w:szCs w:val="18"/>
              </w:rPr>
              <w:t>pojistné doby</w:t>
            </w:r>
            <w:r>
              <w:rPr>
                <w:sz w:val="18"/>
                <w:szCs w:val="18"/>
              </w:rPr>
              <w:t xml:space="preserve"> (popř. během </w:t>
            </w:r>
            <w:r>
              <w:rPr>
                <w:b/>
                <w:sz w:val="18"/>
                <w:szCs w:val="18"/>
              </w:rPr>
              <w:t>lhůty pro zjištění a oznámení nároků</w:t>
            </w:r>
            <w:r>
              <w:rPr>
                <w:sz w:val="18"/>
                <w:szCs w:val="18"/>
              </w:rPr>
              <w:t xml:space="preserve">, je-li sjednána) nebo jiná </w:t>
            </w:r>
            <w:r>
              <w:rPr>
                <w:b/>
                <w:sz w:val="18"/>
                <w:szCs w:val="18"/>
              </w:rPr>
              <w:t>událost</w:t>
            </w:r>
            <w:r>
              <w:rPr>
                <w:sz w:val="18"/>
                <w:szCs w:val="18"/>
              </w:rPr>
              <w:t xml:space="preserve">, ke které došlo během </w:t>
            </w:r>
            <w:r>
              <w:rPr>
                <w:b/>
                <w:sz w:val="18"/>
                <w:szCs w:val="18"/>
              </w:rPr>
              <w:t xml:space="preserve">pojistné doby </w:t>
            </w:r>
            <w:r>
              <w:rPr>
                <w:sz w:val="18"/>
                <w:szCs w:val="18"/>
              </w:rPr>
              <w:t xml:space="preserve">(popř. během </w:t>
            </w:r>
            <w:r>
              <w:rPr>
                <w:b/>
                <w:sz w:val="18"/>
                <w:szCs w:val="18"/>
              </w:rPr>
              <w:t>lhůty pro zjištění a oznámení nároků</w:t>
            </w:r>
            <w:r>
              <w:rPr>
                <w:sz w:val="18"/>
                <w:szCs w:val="18"/>
              </w:rPr>
              <w:t xml:space="preserve">, je-li sjednána), pokud byly </w:t>
            </w:r>
            <w:r>
              <w:rPr>
                <w:b/>
                <w:sz w:val="18"/>
                <w:szCs w:val="18"/>
              </w:rPr>
              <w:t>pojistiteli</w:t>
            </w:r>
            <w:r>
              <w:rPr>
                <w:sz w:val="18"/>
                <w:szCs w:val="18"/>
              </w:rPr>
              <w:t xml:space="preserve"> oznámeny v souladu s </w:t>
            </w:r>
            <w:r>
              <w:rPr>
                <w:b/>
                <w:sz w:val="18"/>
                <w:szCs w:val="18"/>
              </w:rPr>
              <w:t>pojistnou</w:t>
            </w:r>
            <w:r>
              <w:rPr>
                <w:sz w:val="18"/>
                <w:szCs w:val="18"/>
              </w:rPr>
              <w:t xml:space="preserve"> </w:t>
            </w:r>
            <w:r>
              <w:rPr>
                <w:b/>
                <w:sz w:val="18"/>
                <w:szCs w:val="18"/>
              </w:rPr>
              <w:t>smlouvou</w:t>
            </w:r>
            <w:r>
              <w:rPr>
                <w:sz w:val="18"/>
                <w:szCs w:val="18"/>
              </w:rPr>
              <w:t xml:space="preserve"> a pojistnými podmínkami a pokud byly splněny další podmínky pro poskytnutí pojistného plnění podle </w:t>
            </w:r>
            <w:r>
              <w:rPr>
                <w:b/>
                <w:sz w:val="18"/>
                <w:szCs w:val="18"/>
              </w:rPr>
              <w:t>pojistné smlouvy</w:t>
            </w:r>
            <w:r>
              <w:rPr>
                <w:sz w:val="18"/>
                <w:szCs w:val="18"/>
              </w:rPr>
              <w:t xml:space="preserve"> a pojistných podmínek.</w:t>
            </w:r>
          </w:p>
        </w:tc>
      </w:tr>
      <w:tr>
        <w:trPr/>
        <w:tc>
          <w:tcPr>
            <w:tcW w:w="907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rPr>
                <w:sz w:val="10"/>
                <w:szCs w:val="10"/>
              </w:rPr>
            </w:pPr>
            <w:r>
              <w:rPr>
                <w:sz w:val="10"/>
                <w:szCs w:val="10"/>
              </w:rPr>
            </w:r>
          </w:p>
        </w:tc>
      </w:tr>
      <w:tr>
        <w:trPr/>
        <w:tc>
          <w:tcPr>
            <w:tcW w:w="9072" w:type="dxa"/>
            <w:tcBorders>
              <w:top w:val="single" w:sz="4" w:space="0" w:color="808080"/>
              <w:left w:val="single" w:sz="4" w:space="0" w:color="808080"/>
              <w:bottom w:val="single" w:sz="4" w:space="0" w:color="808080"/>
              <w:right w:val="single" w:sz="4" w:space="0" w:color="808080"/>
            </w:tcBorders>
            <w:shd w:color="auto" w:fill="auto" w:val="pct5"/>
          </w:tcPr>
          <w:p>
            <w:pPr>
              <w:pStyle w:val="Normal"/>
              <w:widowControl w:val="false"/>
              <w:spacing w:before="60" w:after="60"/>
              <w:rPr>
                <w:i/>
                <w:i/>
                <w:sz w:val="18"/>
                <w:szCs w:val="18"/>
              </w:rPr>
            </w:pPr>
            <w:r>
              <w:rPr>
                <w:sz w:val="18"/>
                <w:szCs w:val="18"/>
              </w:rPr>
              <w:t xml:space="preserve">Pojistným nebezpečím je právními předpisy stanovená povinnost </w:t>
            </w:r>
            <w:r>
              <w:rPr>
                <w:b/>
                <w:sz w:val="18"/>
                <w:szCs w:val="18"/>
              </w:rPr>
              <w:t>pojištěné osoby</w:t>
            </w:r>
            <w:r>
              <w:rPr>
                <w:sz w:val="18"/>
                <w:szCs w:val="18"/>
              </w:rPr>
              <w:t xml:space="preserve"> k náhradě újmy vyplývající z výkonu funkce dle definice </w:t>
            </w:r>
            <w:r>
              <w:rPr>
                <w:b/>
                <w:sz w:val="18"/>
                <w:szCs w:val="18"/>
              </w:rPr>
              <w:t>pojištěné osoby</w:t>
            </w:r>
            <w:r>
              <w:rPr>
                <w:sz w:val="18"/>
                <w:szCs w:val="18"/>
              </w:rPr>
              <w:t xml:space="preserve">, jejíž rozsah je blíže specifikován v pojistných podmínkách. </w:t>
            </w:r>
            <w:r>
              <w:rPr>
                <w:rFonts w:cs="Arial"/>
                <w:sz w:val="18"/>
                <w:szCs w:val="18"/>
              </w:rPr>
              <w:t xml:space="preserve">Na povinnost </w:t>
            </w:r>
            <w:r>
              <w:rPr>
                <w:rFonts w:cs="Arial"/>
                <w:b/>
                <w:sz w:val="18"/>
                <w:szCs w:val="18"/>
              </w:rPr>
              <w:t>společnosti</w:t>
            </w:r>
            <w:r>
              <w:rPr>
                <w:rFonts w:cs="Arial"/>
                <w:sz w:val="18"/>
                <w:szCs w:val="18"/>
              </w:rPr>
              <w:t xml:space="preserve"> k náhradě újmy se pojištění vztahuje, pouze pokud je tak výslovně uvedeno v pojistných podmínkách.</w:t>
            </w:r>
          </w:p>
        </w:tc>
      </w:tr>
    </w:tbl>
    <w:p>
      <w:pPr>
        <w:pStyle w:val="Nadpis2"/>
        <w:keepNext w:val="false"/>
        <w:keepLines w:val="false"/>
        <w:widowControl w:val="false"/>
        <w:spacing w:before="240" w:after="60"/>
        <w:jc w:val="left"/>
        <w:rPr>
          <w:caps w:val="false"/>
          <w:smallCaps w:val="false"/>
          <w:color w:val="auto"/>
          <w:sz w:val="22"/>
        </w:rPr>
      </w:pPr>
      <w:r>
        <w:rPr>
          <w:caps w:val="false"/>
          <w:smallCaps w:val="false"/>
          <w:color w:val="auto"/>
          <w:sz w:val="22"/>
        </w:rPr>
        <w:t>Datum kontinuity</w:t>
      </w:r>
    </w:p>
    <w:tbl>
      <w:tblPr>
        <w:tblW w:w="9072" w:type="dxa"/>
        <w:jc w:val="left"/>
        <w:tblInd w:w="30" w:type="dxa"/>
        <w:tblCellMar>
          <w:top w:w="0" w:type="dxa"/>
          <w:left w:w="30" w:type="dxa"/>
          <w:bottom w:w="0" w:type="dxa"/>
          <w:right w:w="30" w:type="dxa"/>
        </w:tblCellMar>
        <w:tblLook w:firstRow="0" w:noVBand="0" w:lastRow="0" w:firstColumn="0" w:lastColumn="0" w:noHBand="0" w:val="0000"/>
      </w:tblPr>
      <w:tblGrid>
        <w:gridCol w:w="3260"/>
        <w:gridCol w:w="5811"/>
      </w:tblGrid>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rPr/>
            </w:pPr>
            <w:r>
              <w:rPr>
                <w:sz w:val="18"/>
                <w:szCs w:val="18"/>
                <w:lang w:eastAsia="en-US"/>
              </w:rPr>
              <w:t>11. 09. 2020</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sz w:val="18"/>
                <w:szCs w:val="18"/>
                <w:lang w:eastAsia="en-US"/>
              </w:rPr>
            </w:pPr>
            <w:r>
              <w:rPr>
                <w:sz w:val="18"/>
                <w:szCs w:val="18"/>
                <w:lang w:eastAsia="en-US"/>
              </w:rPr>
            </w:r>
          </w:p>
        </w:tc>
      </w:tr>
    </w:tbl>
    <w:p>
      <w:pPr>
        <w:pStyle w:val="Nadpis2"/>
        <w:keepNext w:val="false"/>
        <w:keepLines w:val="false"/>
        <w:widowControl w:val="false"/>
        <w:spacing w:before="240" w:after="60"/>
        <w:jc w:val="left"/>
        <w:rPr>
          <w:caps w:val="false"/>
          <w:smallCaps w:val="false"/>
          <w:color w:val="auto"/>
          <w:sz w:val="22"/>
        </w:rPr>
      </w:pPr>
      <w:r>
        <w:rPr>
          <w:caps w:val="false"/>
          <w:smallCaps w:val="false"/>
          <w:color w:val="auto"/>
          <w:sz w:val="22"/>
        </w:rPr>
        <w:t xml:space="preserve">Limity pojistného plnění </w:t>
      </w:r>
    </w:p>
    <w:tbl>
      <w:tblPr>
        <w:tblW w:w="9072" w:type="dxa"/>
        <w:jc w:val="left"/>
        <w:tblInd w:w="30" w:type="dxa"/>
        <w:tblCellMar>
          <w:top w:w="0" w:type="dxa"/>
          <w:left w:w="30" w:type="dxa"/>
          <w:bottom w:w="0" w:type="dxa"/>
          <w:right w:w="30" w:type="dxa"/>
        </w:tblCellMar>
        <w:tblLook w:firstRow="0" w:noVBand="0" w:lastRow="0" w:firstColumn="0" w:lastColumn="0" w:noHBand="0" w:val="0000"/>
      </w:tblPr>
      <w:tblGrid>
        <w:gridCol w:w="3260"/>
        <w:gridCol w:w="5811"/>
      </w:tblGrid>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ind w:left="112" w:hanging="0"/>
              <w:rPr>
                <w:b/>
                <w:b/>
                <w:sz w:val="18"/>
                <w:szCs w:val="18"/>
                <w:lang w:eastAsia="en-US"/>
              </w:rPr>
            </w:pPr>
            <w:r>
              <w:rPr>
                <w:b/>
                <w:sz w:val="18"/>
                <w:szCs w:val="18"/>
                <w:lang w:eastAsia="en-US"/>
              </w:rPr>
              <w:t xml:space="preserve">Limit pojistného plnění </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sz w:val="18"/>
                <w:szCs w:val="18"/>
                <w:lang w:eastAsia="en-US"/>
              </w:rPr>
            </w:pPr>
            <w:r>
              <w:rPr>
                <w:sz w:val="18"/>
                <w:szCs w:val="18"/>
                <w:lang w:eastAsia="en-US"/>
              </w:rPr>
              <w:t xml:space="preserve">50 000 000,- Kč v souvislosti s každým </w:t>
            </w:r>
            <w:r>
              <w:rPr>
                <w:b/>
                <w:sz w:val="18"/>
                <w:szCs w:val="18"/>
                <w:lang w:eastAsia="en-US"/>
              </w:rPr>
              <w:t>samostatným nárokem</w:t>
            </w:r>
            <w:r>
              <w:rPr>
                <w:sz w:val="18"/>
                <w:szCs w:val="18"/>
                <w:lang w:eastAsia="en-US"/>
              </w:rPr>
              <w:t>, s výjimkou následujících případů, kdy se tento limit vztahuje na všechny pojistné události z tohoto pojištění:</w:t>
            </w:r>
          </w:p>
          <w:p>
            <w:pPr>
              <w:pStyle w:val="ListParagraph"/>
              <w:widowControl w:val="false"/>
              <w:numPr>
                <w:ilvl w:val="0"/>
                <w:numId w:val="2"/>
              </w:numPr>
              <w:spacing w:before="40" w:after="40"/>
              <w:ind w:left="253" w:right="111" w:hanging="142"/>
              <w:contextualSpacing/>
              <w:rPr>
                <w:sz w:val="18"/>
                <w:szCs w:val="18"/>
                <w:lang w:eastAsia="en-US"/>
              </w:rPr>
            </w:pPr>
            <w:r>
              <w:rPr>
                <w:sz w:val="18"/>
                <w:szCs w:val="18"/>
                <w:lang w:eastAsia="en-US"/>
              </w:rPr>
              <w:t xml:space="preserve">pojistné události včetně </w:t>
            </w:r>
            <w:r>
              <w:rPr>
                <w:b/>
                <w:sz w:val="18"/>
                <w:szCs w:val="18"/>
                <w:lang w:eastAsia="en-US"/>
              </w:rPr>
              <w:t>samostatného nároku</w:t>
            </w:r>
            <w:r>
              <w:rPr>
                <w:sz w:val="18"/>
                <w:szCs w:val="18"/>
                <w:lang w:eastAsia="en-US"/>
              </w:rPr>
              <w:t xml:space="preserve"> oznámené </w:t>
            </w:r>
            <w:r>
              <w:rPr>
                <w:b/>
                <w:sz w:val="18"/>
                <w:szCs w:val="18"/>
                <w:lang w:eastAsia="en-US"/>
              </w:rPr>
              <w:t>pojistiteli</w:t>
            </w:r>
            <w:r>
              <w:rPr>
                <w:sz w:val="18"/>
                <w:szCs w:val="18"/>
                <w:lang w:eastAsia="en-US"/>
              </w:rPr>
              <w:t xml:space="preserve"> v průběhu </w:t>
            </w:r>
            <w:r>
              <w:rPr>
                <w:b/>
                <w:sz w:val="18"/>
                <w:szCs w:val="18"/>
                <w:lang w:eastAsia="en-US"/>
              </w:rPr>
              <w:t>lhůty pro zjištění a oznámení nároků</w:t>
            </w:r>
            <w:r>
              <w:rPr>
                <w:sz w:val="18"/>
                <w:szCs w:val="18"/>
                <w:lang w:eastAsia="en-US"/>
              </w:rPr>
              <w:t>;</w:t>
            </w:r>
          </w:p>
          <w:p>
            <w:pPr>
              <w:pStyle w:val="ListParagraph"/>
              <w:widowControl w:val="false"/>
              <w:numPr>
                <w:ilvl w:val="0"/>
                <w:numId w:val="2"/>
              </w:numPr>
              <w:spacing w:before="40" w:after="40"/>
              <w:ind w:left="253" w:right="111" w:hanging="142"/>
              <w:contextualSpacing/>
              <w:rPr>
                <w:sz w:val="18"/>
                <w:szCs w:val="18"/>
                <w:lang w:eastAsia="en-US"/>
              </w:rPr>
            </w:pPr>
            <w:r>
              <w:rPr>
                <w:sz w:val="18"/>
                <w:szCs w:val="18"/>
                <w:lang w:eastAsia="en-US"/>
              </w:rPr>
              <w:t xml:space="preserve">pojistné události vyplývající ze všech </w:t>
            </w:r>
            <w:r>
              <w:rPr>
                <w:b/>
                <w:sz w:val="18"/>
                <w:szCs w:val="18"/>
                <w:lang w:eastAsia="en-US"/>
              </w:rPr>
              <w:t>nároků</w:t>
            </w:r>
            <w:r>
              <w:rPr>
                <w:sz w:val="18"/>
                <w:szCs w:val="18"/>
                <w:lang w:eastAsia="en-US"/>
              </w:rPr>
              <w:t xml:space="preserve"> vznesených </w:t>
            </w:r>
            <w:r>
              <w:rPr>
                <w:b/>
                <w:sz w:val="18"/>
                <w:szCs w:val="18"/>
                <w:lang w:eastAsia="en-US"/>
              </w:rPr>
              <w:t>společností</w:t>
            </w:r>
            <w:r>
              <w:rPr>
                <w:sz w:val="18"/>
                <w:szCs w:val="18"/>
                <w:lang w:eastAsia="en-US"/>
              </w:rPr>
              <w:t xml:space="preserve"> nebo jejím jménem;</w:t>
            </w:r>
          </w:p>
          <w:p>
            <w:pPr>
              <w:pStyle w:val="ListParagraph"/>
              <w:widowControl w:val="false"/>
              <w:numPr>
                <w:ilvl w:val="0"/>
                <w:numId w:val="2"/>
              </w:numPr>
              <w:spacing w:before="40" w:after="40"/>
              <w:ind w:left="253" w:right="111" w:hanging="142"/>
              <w:contextualSpacing/>
              <w:rPr>
                <w:sz w:val="18"/>
                <w:szCs w:val="18"/>
                <w:lang w:eastAsia="en-US"/>
              </w:rPr>
            </w:pPr>
            <w:r>
              <w:rPr>
                <w:sz w:val="18"/>
                <w:szCs w:val="18"/>
                <w:lang w:eastAsia="en-US"/>
              </w:rPr>
              <w:t xml:space="preserve">pojistné události vyplývající z či související s úpadkem </w:t>
            </w:r>
            <w:r>
              <w:rPr>
                <w:b/>
                <w:sz w:val="18"/>
                <w:szCs w:val="18"/>
                <w:lang w:eastAsia="en-US"/>
              </w:rPr>
              <w:t>společnosti</w:t>
            </w:r>
            <w:r>
              <w:rPr>
                <w:sz w:val="18"/>
                <w:szCs w:val="18"/>
                <w:lang w:eastAsia="en-US"/>
              </w:rPr>
              <w:t xml:space="preserve"> nebo mající za následek či jinak přispívající k úpadku </w:t>
            </w:r>
            <w:r>
              <w:rPr>
                <w:b/>
                <w:sz w:val="18"/>
                <w:szCs w:val="18"/>
                <w:lang w:eastAsia="en-US"/>
              </w:rPr>
              <w:t>společnosti</w:t>
            </w:r>
          </w:p>
        </w:tc>
      </w:tr>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tabs>
                <w:tab w:val="clear" w:pos="720"/>
                <w:tab w:val="left" w:pos="851" w:leader="none"/>
              </w:tabs>
              <w:spacing w:before="40" w:after="40"/>
              <w:ind w:left="112" w:right="112" w:hanging="0"/>
              <w:rPr>
                <w:sz w:val="18"/>
                <w:szCs w:val="18"/>
                <w:lang w:eastAsia="en-US"/>
              </w:rPr>
            </w:pPr>
            <w:r>
              <w:rPr>
                <w:sz w:val="18"/>
                <w:szCs w:val="18"/>
              </w:rPr>
              <w:t>Limit</w:t>
            </w:r>
            <w:r>
              <w:rPr>
                <w:b/>
                <w:sz w:val="18"/>
                <w:szCs w:val="18"/>
              </w:rPr>
              <w:t xml:space="preserve"> </w:t>
            </w:r>
            <w:r>
              <w:rPr>
                <w:sz w:val="18"/>
                <w:szCs w:val="18"/>
              </w:rPr>
              <w:t>v souvislosti se zachraňovacími náklady ve smyslu § 2819 odst. 1 Občanského zákoníku</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spacing w:before="40" w:after="40"/>
              <w:ind w:left="111" w:right="111" w:hanging="0"/>
              <w:rPr>
                <w:sz w:val="18"/>
                <w:szCs w:val="18"/>
                <w:lang w:eastAsia="en-US"/>
              </w:rPr>
            </w:pPr>
            <w:r>
              <w:rPr>
                <w:sz w:val="18"/>
                <w:szCs w:val="18"/>
              </w:rPr>
              <w:t xml:space="preserve">25 000,- Kč (resp. 30% </w:t>
            </w:r>
            <w:r>
              <w:rPr>
                <w:b/>
                <w:sz w:val="18"/>
                <w:szCs w:val="18"/>
              </w:rPr>
              <w:t>limitu pojistného plnění</w:t>
            </w:r>
            <w:r>
              <w:rPr>
                <w:sz w:val="18"/>
                <w:szCs w:val="18"/>
              </w:rPr>
              <w:t>, jde-li o záchranu života či zdraví)</w:t>
            </w:r>
          </w:p>
        </w:tc>
      </w:tr>
    </w:tbl>
    <w:p>
      <w:pPr>
        <w:pStyle w:val="Nadpis2"/>
        <w:keepNext w:val="false"/>
        <w:keepLines w:val="false"/>
        <w:widowControl w:val="false"/>
        <w:spacing w:before="240" w:after="60"/>
        <w:jc w:val="left"/>
        <w:rPr>
          <w:caps w:val="false"/>
          <w:smallCaps w:val="false"/>
          <w:color w:val="auto"/>
          <w:sz w:val="22"/>
        </w:rPr>
      </w:pPr>
      <w:r>
        <w:rPr>
          <w:caps w:val="false"/>
          <w:smallCaps w:val="false"/>
          <w:color w:val="auto"/>
          <w:sz w:val="22"/>
        </w:rPr>
        <w:t xml:space="preserve">Sublimity pojistného plnění </w:t>
      </w:r>
    </w:p>
    <w:p>
      <w:pPr>
        <w:pStyle w:val="Normal"/>
        <w:rPr>
          <w:sz w:val="18"/>
          <w:szCs w:val="18"/>
        </w:rPr>
      </w:pPr>
      <w:r>
        <w:rPr>
          <w:sz w:val="18"/>
          <w:szCs w:val="18"/>
        </w:rPr>
        <w:t>Sublimity pojistného plnění uvedené v </w:t>
      </w:r>
      <w:r>
        <w:rPr>
          <w:b/>
          <w:sz w:val="18"/>
          <w:szCs w:val="18"/>
        </w:rPr>
        <w:t>pojistné smlouvě</w:t>
      </w:r>
      <w:r>
        <w:rPr>
          <w:sz w:val="18"/>
          <w:szCs w:val="18"/>
        </w:rPr>
        <w:t xml:space="preserve"> a pojistných podmínkách představují horní hranici pojistného plnění, které </w:t>
      </w:r>
      <w:r>
        <w:rPr>
          <w:b/>
          <w:sz w:val="18"/>
          <w:szCs w:val="18"/>
        </w:rPr>
        <w:t>pojistitel</w:t>
      </w:r>
      <w:r>
        <w:rPr>
          <w:sz w:val="18"/>
          <w:szCs w:val="18"/>
        </w:rPr>
        <w:t xml:space="preserve"> celkově vyplatí za </w:t>
      </w:r>
      <w:r>
        <w:rPr>
          <w:b/>
          <w:sz w:val="18"/>
          <w:szCs w:val="18"/>
        </w:rPr>
        <w:t>škodu</w:t>
      </w:r>
      <w:r>
        <w:rPr>
          <w:sz w:val="18"/>
          <w:szCs w:val="18"/>
        </w:rPr>
        <w:t xml:space="preserve"> a jakékoli náklady, na které se tento sublimit vztahuje, za všechny pojistné události z tohoto pojištění (tj. žádný ze sublimitů není aplikován na jednu a každou pojistnou událost). Sublimity pojistného plnění jsou součástí </w:t>
      </w:r>
      <w:r>
        <w:rPr>
          <w:b/>
          <w:sz w:val="18"/>
          <w:szCs w:val="18"/>
        </w:rPr>
        <w:t>limitu pojistného plnění</w:t>
      </w:r>
      <w:r>
        <w:rPr>
          <w:sz w:val="18"/>
          <w:szCs w:val="18"/>
        </w:rPr>
        <w:t xml:space="preserve"> a nezvyšují jej.</w:t>
      </w:r>
    </w:p>
    <w:p>
      <w:pPr>
        <w:pStyle w:val="Normal"/>
        <w:rPr>
          <w:sz w:val="18"/>
          <w:szCs w:val="18"/>
        </w:rPr>
      </w:pPr>
      <w:r>
        <w:rPr>
          <w:sz w:val="18"/>
          <w:szCs w:val="18"/>
        </w:rPr>
      </w:r>
    </w:p>
    <w:p>
      <w:pPr>
        <w:pStyle w:val="Normal"/>
        <w:rPr>
          <w:sz w:val="18"/>
          <w:szCs w:val="18"/>
        </w:rPr>
      </w:pPr>
      <w:r>
        <w:rPr>
          <w:sz w:val="18"/>
          <w:szCs w:val="18"/>
        </w:rPr>
      </w:r>
    </w:p>
    <w:tbl>
      <w:tblPr>
        <w:tblW w:w="9072" w:type="dxa"/>
        <w:jc w:val="left"/>
        <w:tblInd w:w="30" w:type="dxa"/>
        <w:tblCellMar>
          <w:top w:w="0" w:type="dxa"/>
          <w:left w:w="30" w:type="dxa"/>
          <w:bottom w:w="0" w:type="dxa"/>
          <w:right w:w="30" w:type="dxa"/>
        </w:tblCellMar>
        <w:tblLook w:firstRow="0" w:noVBand="0" w:lastRow="0" w:firstColumn="0" w:lastColumn="0" w:noHBand="0" w:val="0000"/>
      </w:tblPr>
      <w:tblGrid>
        <w:gridCol w:w="3260"/>
        <w:gridCol w:w="5811"/>
      </w:tblGrid>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ind w:left="112" w:hanging="0"/>
              <w:rPr>
                <w:b/>
                <w:b/>
                <w:sz w:val="18"/>
                <w:szCs w:val="18"/>
                <w:lang w:eastAsia="en-US"/>
              </w:rPr>
            </w:pPr>
            <w:r>
              <w:rPr>
                <w:b/>
                <w:sz w:val="18"/>
                <w:szCs w:val="18"/>
                <w:lang w:eastAsia="en-US"/>
              </w:rPr>
              <w:t>Náklady na zachování pověsti</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sz w:val="18"/>
                <w:szCs w:val="18"/>
                <w:lang w:eastAsia="en-US"/>
              </w:rPr>
            </w:pPr>
            <w:r>
              <w:rPr>
                <w:sz w:val="18"/>
                <w:szCs w:val="18"/>
                <w:lang w:eastAsia="en-US"/>
              </w:rPr>
              <w:t xml:space="preserve">Do plného </w:t>
            </w:r>
            <w:r>
              <w:rPr>
                <w:b/>
                <w:sz w:val="18"/>
                <w:szCs w:val="18"/>
                <w:lang w:eastAsia="en-US"/>
              </w:rPr>
              <w:t>limitu pojistného plnění</w:t>
            </w:r>
            <w:r>
              <w:rPr>
                <w:sz w:val="18"/>
                <w:szCs w:val="18"/>
                <w:lang w:eastAsia="en-US"/>
              </w:rPr>
              <w:t xml:space="preserve"> za jednu a všechny pojistné události z tohoto pojištění.</w:t>
            </w:r>
          </w:p>
        </w:tc>
      </w:tr>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ind w:left="112" w:hanging="0"/>
              <w:rPr>
                <w:b/>
                <w:b/>
              </w:rPr>
            </w:pPr>
            <w:r>
              <w:rPr>
                <w:b/>
                <w:sz w:val="18"/>
                <w:szCs w:val="18"/>
                <w:lang w:eastAsia="en-US"/>
              </w:rPr>
              <w:t>Náklady v souvislosti s extradičním řízením</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sz w:val="18"/>
                <w:szCs w:val="18"/>
                <w:lang w:eastAsia="en-US"/>
              </w:rPr>
            </w:pPr>
            <w:r>
              <w:rPr>
                <w:sz w:val="18"/>
                <w:szCs w:val="18"/>
                <w:lang w:eastAsia="en-US"/>
              </w:rPr>
              <w:t xml:space="preserve">Do plného </w:t>
            </w:r>
            <w:r>
              <w:rPr>
                <w:b/>
                <w:sz w:val="18"/>
                <w:szCs w:val="18"/>
                <w:lang w:eastAsia="en-US"/>
              </w:rPr>
              <w:t>limitu pojistného plnění</w:t>
            </w:r>
            <w:r>
              <w:rPr>
                <w:sz w:val="18"/>
                <w:szCs w:val="18"/>
                <w:lang w:eastAsia="en-US"/>
              </w:rPr>
              <w:t xml:space="preserve"> za jednu a všechny pojistné události z tohoto pojištění.</w:t>
            </w:r>
          </w:p>
        </w:tc>
      </w:tr>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ind w:left="112" w:hanging="0"/>
              <w:rPr>
                <w:b/>
                <w:b/>
                <w:sz w:val="18"/>
                <w:szCs w:val="18"/>
                <w:lang w:eastAsia="en-US"/>
              </w:rPr>
            </w:pPr>
            <w:r>
              <w:rPr>
                <w:b/>
                <w:sz w:val="18"/>
                <w:szCs w:val="18"/>
                <w:lang w:eastAsia="en-US"/>
              </w:rPr>
              <w:t>Nevýkonní členové orgánů</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b/>
                <w:b/>
                <w:sz w:val="18"/>
                <w:szCs w:val="18"/>
                <w:lang w:eastAsia="en-US"/>
              </w:rPr>
            </w:pPr>
            <w:r>
              <w:rPr>
                <w:b/>
                <w:sz w:val="18"/>
                <w:szCs w:val="18"/>
                <w:lang w:eastAsia="en-US"/>
              </w:rPr>
              <w:t xml:space="preserve">Dodatečný limit pro jednoho nevýkonného člena orgánu: </w:t>
            </w:r>
            <w:r>
              <w:rPr>
                <w:rFonts w:cs="Arial"/>
                <w:sz w:val="18"/>
                <w:szCs w:val="18"/>
                <w:lang w:eastAsia="en-US"/>
              </w:rPr>
              <w:t xml:space="preserve">15% z celkového </w:t>
            </w:r>
            <w:r>
              <w:rPr>
                <w:rFonts w:cs="Arial"/>
                <w:b/>
                <w:sz w:val="18"/>
                <w:szCs w:val="18"/>
                <w:lang w:eastAsia="en-US"/>
              </w:rPr>
              <w:t>limitu pojistného plnění</w:t>
            </w:r>
            <w:r>
              <w:rPr>
                <w:rFonts w:cs="Arial"/>
                <w:sz w:val="18"/>
                <w:szCs w:val="18"/>
                <w:lang w:eastAsia="en-US"/>
              </w:rPr>
              <w:t xml:space="preserve"> </w:t>
            </w:r>
            <w:r>
              <w:rPr>
                <w:sz w:val="18"/>
                <w:szCs w:val="18"/>
                <w:lang w:eastAsia="en-US"/>
              </w:rPr>
              <w:t xml:space="preserve">pro každého </w:t>
            </w:r>
            <w:r>
              <w:rPr>
                <w:b/>
                <w:sz w:val="18"/>
                <w:szCs w:val="18"/>
                <w:lang w:eastAsia="en-US"/>
              </w:rPr>
              <w:t xml:space="preserve">nevýkonného člena orgánu </w:t>
            </w:r>
            <w:r>
              <w:rPr>
                <w:sz w:val="18"/>
                <w:szCs w:val="18"/>
                <w:lang w:eastAsia="en-US"/>
              </w:rPr>
              <w:t>za jednu a za všechny pojistné události z tohoto pojištění</w:t>
            </w:r>
          </w:p>
          <w:p>
            <w:pPr>
              <w:pStyle w:val="Normal"/>
              <w:widowControl w:val="false"/>
              <w:spacing w:before="40" w:after="40"/>
              <w:ind w:left="112" w:right="111" w:hanging="0"/>
              <w:rPr>
                <w:sz w:val="18"/>
                <w:szCs w:val="18"/>
                <w:lang w:eastAsia="en-US"/>
              </w:rPr>
            </w:pPr>
            <w:r>
              <w:rPr>
                <w:b/>
                <w:sz w:val="18"/>
                <w:szCs w:val="18"/>
                <w:lang w:eastAsia="en-US"/>
              </w:rPr>
              <w:t xml:space="preserve">Dodatečný limit pro všechny nevýkonné členy orgánu: </w:t>
            </w:r>
            <w:r>
              <w:rPr>
                <w:rFonts w:cs="Arial"/>
                <w:sz w:val="18"/>
                <w:szCs w:val="18"/>
                <w:lang w:eastAsia="en-US"/>
              </w:rPr>
              <w:t xml:space="preserve">30% z celkového </w:t>
            </w:r>
            <w:r>
              <w:rPr>
                <w:rFonts w:cs="Arial"/>
                <w:b/>
                <w:sz w:val="18"/>
                <w:szCs w:val="18"/>
                <w:lang w:eastAsia="en-US"/>
              </w:rPr>
              <w:t>limitu pojistného plnění</w:t>
            </w:r>
            <w:r>
              <w:rPr>
                <w:rFonts w:cs="Arial"/>
                <w:sz w:val="18"/>
                <w:szCs w:val="18"/>
                <w:lang w:eastAsia="en-US"/>
              </w:rPr>
              <w:t xml:space="preserve"> </w:t>
            </w:r>
            <w:r>
              <w:rPr>
                <w:sz w:val="18"/>
                <w:szCs w:val="18"/>
                <w:lang w:eastAsia="en-US"/>
              </w:rPr>
              <w:t xml:space="preserve">pro všechny </w:t>
            </w:r>
            <w:r>
              <w:rPr>
                <w:b/>
                <w:sz w:val="18"/>
                <w:szCs w:val="18"/>
                <w:lang w:eastAsia="en-US"/>
              </w:rPr>
              <w:t xml:space="preserve">nevýkonné členy orgánů </w:t>
            </w:r>
            <w:r>
              <w:rPr>
                <w:sz w:val="18"/>
                <w:szCs w:val="18"/>
                <w:lang w:eastAsia="en-US"/>
              </w:rPr>
              <w:t>za jednu a za všechny pojistné události z tohoto pojištění</w:t>
            </w:r>
          </w:p>
        </w:tc>
      </w:tr>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ind w:left="112" w:hanging="0"/>
              <w:rPr>
                <w:b/>
                <w:b/>
                <w:sz w:val="18"/>
                <w:szCs w:val="18"/>
                <w:lang w:eastAsia="en-US"/>
              </w:rPr>
            </w:pPr>
            <w:r>
              <w:rPr>
                <w:b/>
                <w:sz w:val="18"/>
                <w:szCs w:val="18"/>
                <w:lang w:eastAsia="en-US"/>
              </w:rPr>
              <w:t>Majetek a osobní svoboda</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sz w:val="18"/>
                <w:szCs w:val="18"/>
                <w:lang w:eastAsia="en-US"/>
              </w:rPr>
            </w:pPr>
            <w:r>
              <w:rPr>
                <w:sz w:val="18"/>
                <w:szCs w:val="18"/>
                <w:lang w:eastAsia="en-US"/>
              </w:rPr>
              <w:t xml:space="preserve">Sublimit pro </w:t>
            </w:r>
            <w:r>
              <w:rPr>
                <w:b/>
                <w:sz w:val="18"/>
                <w:szCs w:val="18"/>
                <w:lang w:eastAsia="en-US"/>
              </w:rPr>
              <w:t xml:space="preserve">osobní a rodinné výdaje: </w:t>
            </w:r>
            <w:r>
              <w:rPr>
                <w:sz w:val="18"/>
                <w:szCs w:val="18"/>
                <w:lang w:eastAsia="en-US"/>
              </w:rPr>
              <w:t xml:space="preserve">do plného </w:t>
            </w:r>
            <w:r>
              <w:rPr>
                <w:b/>
                <w:sz w:val="18"/>
                <w:szCs w:val="18"/>
                <w:lang w:eastAsia="en-US"/>
              </w:rPr>
              <w:t>limitu pojistného plnění</w:t>
            </w:r>
            <w:r>
              <w:rPr>
                <w:sz w:val="18"/>
                <w:szCs w:val="18"/>
                <w:lang w:eastAsia="en-US"/>
              </w:rPr>
              <w:t xml:space="preserve"> maximálně však 15 000 000,- Kč za jednu a za všechny pojistné události z tohoto pojištění</w:t>
            </w:r>
          </w:p>
        </w:tc>
      </w:tr>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ind w:left="112" w:hanging="0"/>
              <w:rPr>
                <w:b/>
                <w:b/>
                <w:sz w:val="18"/>
                <w:szCs w:val="18"/>
                <w:lang w:eastAsia="en-US"/>
              </w:rPr>
            </w:pPr>
            <w:r>
              <w:rPr>
                <w:b/>
                <w:sz w:val="18"/>
                <w:szCs w:val="18"/>
                <w:lang w:eastAsia="en-US"/>
              </w:rPr>
              <w:t>Náklady insolvenčního řízení</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sz w:val="18"/>
                <w:szCs w:val="18"/>
                <w:lang w:eastAsia="en-US"/>
              </w:rPr>
            </w:pPr>
            <w:r>
              <w:rPr>
                <w:sz w:val="18"/>
                <w:szCs w:val="18"/>
                <w:lang w:eastAsia="en-US"/>
              </w:rPr>
              <w:t>1 800 000,- Kč za jednu a za všechny pojistné události z tohoto pojištění</w:t>
            </w:r>
          </w:p>
        </w:tc>
      </w:tr>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ind w:left="112" w:hanging="0"/>
              <w:rPr>
                <w:b/>
                <w:b/>
                <w:sz w:val="18"/>
                <w:szCs w:val="18"/>
                <w:lang w:eastAsia="en-US"/>
              </w:rPr>
            </w:pPr>
            <w:r>
              <w:rPr>
                <w:b/>
                <w:sz w:val="18"/>
                <w:szCs w:val="18"/>
                <w:lang w:eastAsia="en-US"/>
              </w:rPr>
              <w:t>Zmenšení újmy</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sz w:val="18"/>
                <w:szCs w:val="18"/>
                <w:lang w:eastAsia="en-US"/>
              </w:rPr>
            </w:pPr>
            <w:r>
              <w:rPr>
                <w:rFonts w:cs="Arial"/>
                <w:sz w:val="18"/>
                <w:szCs w:val="18"/>
                <w:lang w:eastAsia="en-US"/>
              </w:rPr>
              <w:t xml:space="preserve">20% z celkového </w:t>
            </w:r>
            <w:r>
              <w:rPr>
                <w:rFonts w:cs="Arial"/>
                <w:b/>
                <w:sz w:val="18"/>
                <w:szCs w:val="18"/>
                <w:lang w:eastAsia="en-US"/>
              </w:rPr>
              <w:t xml:space="preserve">limitu pojistného plnění </w:t>
            </w:r>
            <w:r>
              <w:rPr>
                <w:rFonts w:cs="Arial"/>
                <w:sz w:val="18"/>
                <w:szCs w:val="18"/>
                <w:lang w:eastAsia="en-US"/>
              </w:rPr>
              <w:t>maximálně však 35 000 000,- Kč</w:t>
            </w:r>
            <w:r>
              <w:rPr>
                <w:sz w:val="18"/>
                <w:szCs w:val="18"/>
                <w:lang w:eastAsia="en-US"/>
              </w:rPr>
              <w:t xml:space="preserve"> za jednu a za všechny pojistné události z tohoto pojištění</w:t>
            </w:r>
          </w:p>
        </w:tc>
      </w:tr>
      <w:tr>
        <w:trPr>
          <w:trHeight w:val="254" w:hRule="atLeast"/>
        </w:trPr>
        <w:tc>
          <w:tcPr>
            <w:tcW w:w="3260"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tabs>
                <w:tab w:val="clear" w:pos="720"/>
                <w:tab w:val="left" w:pos="851" w:leader="none"/>
              </w:tabs>
              <w:spacing w:before="40" w:after="40"/>
              <w:ind w:left="112" w:hanging="0"/>
              <w:jc w:val="left"/>
              <w:rPr>
                <w:b/>
                <w:b/>
                <w:sz w:val="18"/>
                <w:szCs w:val="18"/>
                <w:lang w:eastAsia="en-US"/>
              </w:rPr>
            </w:pPr>
            <w:r>
              <w:rPr>
                <w:b/>
                <w:sz w:val="18"/>
                <w:szCs w:val="18"/>
                <w:lang w:eastAsia="en-US"/>
              </w:rPr>
              <w:t>Vynaložení nákladů bez souhlasu pojistitele</w:t>
            </w:r>
          </w:p>
        </w:tc>
        <w:tc>
          <w:tcPr>
            <w:tcW w:w="5811"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left="112" w:right="111" w:hanging="0"/>
              <w:rPr>
                <w:sz w:val="18"/>
                <w:szCs w:val="18"/>
                <w:lang w:eastAsia="en-US"/>
              </w:rPr>
            </w:pPr>
            <w:r>
              <w:rPr>
                <w:rFonts w:cs="Arial"/>
                <w:sz w:val="18"/>
                <w:szCs w:val="18"/>
                <w:lang w:eastAsia="en-US"/>
              </w:rPr>
              <w:t xml:space="preserve">20% z celkového </w:t>
            </w:r>
            <w:r>
              <w:rPr>
                <w:rFonts w:cs="Arial"/>
                <w:b/>
                <w:sz w:val="18"/>
                <w:szCs w:val="18"/>
                <w:lang w:eastAsia="en-US"/>
              </w:rPr>
              <w:t>limitu pojistného plnění</w:t>
            </w:r>
            <w:r>
              <w:rPr>
                <w:sz w:val="18"/>
                <w:szCs w:val="18"/>
                <w:lang w:eastAsia="en-US"/>
              </w:rPr>
              <w:t xml:space="preserve"> za jednu a za všechny pojistné události z tohoto pojištění</w:t>
            </w:r>
          </w:p>
        </w:tc>
      </w:tr>
    </w:tbl>
    <w:p>
      <w:pPr>
        <w:pStyle w:val="Nadpis2"/>
        <w:keepNext w:val="false"/>
        <w:keepLines w:val="false"/>
        <w:widowControl w:val="false"/>
        <w:spacing w:before="240" w:after="120"/>
        <w:jc w:val="left"/>
        <w:rPr>
          <w:caps w:val="false"/>
          <w:smallCaps w:val="false"/>
          <w:color w:val="auto"/>
          <w:sz w:val="22"/>
        </w:rPr>
      </w:pPr>
      <w:r>
        <w:rPr>
          <w:caps w:val="false"/>
          <w:smallCaps w:val="false"/>
          <w:color w:val="auto"/>
          <w:sz w:val="22"/>
        </w:rPr>
        <w:t>Spoluúčast pro pojištěné osoby</w:t>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2551"/>
        <w:gridCol w:w="6520"/>
      </w:tblGrid>
      <w:tr>
        <w:trPr/>
        <w:tc>
          <w:tcPr>
            <w:tcW w:w="2551"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spacing w:before="40" w:after="40"/>
              <w:ind w:right="111" w:hanging="0"/>
              <w:rPr>
                <w:sz w:val="18"/>
                <w:szCs w:val="18"/>
              </w:rPr>
            </w:pPr>
            <w:r>
              <w:rPr>
                <w:sz w:val="18"/>
                <w:szCs w:val="18"/>
                <w:lang w:eastAsia="en-US"/>
              </w:rPr>
              <w:t>z každé pojistné události</w:t>
            </w:r>
          </w:p>
        </w:tc>
        <w:tc>
          <w:tcPr>
            <w:tcW w:w="6520"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right="111" w:hanging="0"/>
              <w:rPr>
                <w:b/>
                <w:b/>
                <w:sz w:val="18"/>
                <w:szCs w:val="18"/>
              </w:rPr>
            </w:pPr>
            <w:r>
              <w:rPr>
                <w:sz w:val="18"/>
                <w:szCs w:val="18"/>
                <w:lang w:eastAsia="en-US"/>
              </w:rPr>
              <w:t>0,- Kč</w:t>
            </w:r>
          </w:p>
        </w:tc>
      </w:tr>
    </w:tbl>
    <w:p>
      <w:pPr>
        <w:pStyle w:val="Nadpis2"/>
        <w:keepNext w:val="false"/>
        <w:keepLines w:val="false"/>
        <w:widowControl w:val="false"/>
        <w:spacing w:before="240" w:after="120"/>
        <w:jc w:val="left"/>
        <w:rPr>
          <w:caps w:val="false"/>
          <w:smallCaps w:val="false"/>
          <w:color w:val="auto"/>
          <w:sz w:val="22"/>
        </w:rPr>
      </w:pPr>
      <w:r>
        <w:rPr>
          <w:caps w:val="false"/>
          <w:smallCaps w:val="false"/>
          <w:color w:val="auto"/>
          <w:sz w:val="22"/>
        </w:rPr>
        <w:t>Spoluúčast společnosti</w:t>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2551"/>
        <w:gridCol w:w="6520"/>
      </w:tblGrid>
      <w:tr>
        <w:trPr/>
        <w:tc>
          <w:tcPr>
            <w:tcW w:w="2551"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spacing w:before="40" w:after="40"/>
              <w:ind w:right="111" w:hanging="0"/>
              <w:rPr>
                <w:sz w:val="18"/>
                <w:szCs w:val="18"/>
              </w:rPr>
            </w:pPr>
            <w:r>
              <w:rPr>
                <w:sz w:val="18"/>
                <w:szCs w:val="18"/>
                <w:lang w:eastAsia="en-US"/>
              </w:rPr>
              <w:t>z každé pojistné události</w:t>
            </w:r>
          </w:p>
        </w:tc>
        <w:tc>
          <w:tcPr>
            <w:tcW w:w="6520"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right="111" w:hanging="0"/>
              <w:rPr>
                <w:b/>
                <w:b/>
                <w:sz w:val="18"/>
                <w:szCs w:val="18"/>
              </w:rPr>
            </w:pPr>
            <w:r>
              <w:rPr>
                <w:sz w:val="18"/>
                <w:szCs w:val="18"/>
                <w:lang w:eastAsia="en-US"/>
              </w:rPr>
              <w:t xml:space="preserve">0,- Kč </w:t>
            </w:r>
          </w:p>
        </w:tc>
      </w:tr>
    </w:tbl>
    <w:p>
      <w:pPr>
        <w:pStyle w:val="Nadpis2"/>
        <w:keepNext w:val="false"/>
        <w:keepLines w:val="false"/>
        <w:widowControl w:val="false"/>
        <w:spacing w:before="240" w:after="120"/>
        <w:jc w:val="left"/>
        <w:rPr>
          <w:caps w:val="false"/>
          <w:smallCaps w:val="false"/>
          <w:color w:val="auto"/>
          <w:sz w:val="22"/>
        </w:rPr>
      </w:pPr>
      <w:r>
        <w:rPr>
          <w:caps w:val="false"/>
          <w:smallCaps w:val="false"/>
          <w:color w:val="auto"/>
          <w:sz w:val="22"/>
        </w:rPr>
        <w:t>Spoluúčast pro cenné papíry</w:t>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2551"/>
        <w:gridCol w:w="6520"/>
      </w:tblGrid>
      <w:tr>
        <w:trPr/>
        <w:tc>
          <w:tcPr>
            <w:tcW w:w="2551"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spacing w:before="40" w:after="40"/>
              <w:ind w:right="111" w:hanging="0"/>
              <w:rPr>
                <w:sz w:val="18"/>
                <w:szCs w:val="18"/>
              </w:rPr>
            </w:pPr>
            <w:r>
              <w:rPr>
                <w:sz w:val="18"/>
                <w:szCs w:val="18"/>
                <w:lang w:eastAsia="en-US"/>
              </w:rPr>
              <w:t>z každé pojistné události</w:t>
            </w:r>
          </w:p>
        </w:tc>
        <w:tc>
          <w:tcPr>
            <w:tcW w:w="6520"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right="111" w:hanging="0"/>
              <w:rPr>
                <w:i/>
                <w:i/>
                <w:sz w:val="18"/>
                <w:szCs w:val="18"/>
                <w:lang w:eastAsia="en-US"/>
              </w:rPr>
            </w:pPr>
            <w:r>
              <w:rPr>
                <w:sz w:val="18"/>
                <w:szCs w:val="18"/>
                <w:lang w:eastAsia="en-US"/>
              </w:rPr>
              <w:t xml:space="preserve">500 000,- Kč </w:t>
            </w:r>
          </w:p>
        </w:tc>
      </w:tr>
    </w:tbl>
    <w:p>
      <w:pPr>
        <w:pStyle w:val="Nadpis2"/>
        <w:keepNext w:val="false"/>
        <w:keepLines w:val="false"/>
        <w:widowControl w:val="false"/>
        <w:spacing w:before="240" w:after="120"/>
        <w:jc w:val="left"/>
        <w:rPr>
          <w:caps w:val="false"/>
          <w:smallCaps w:val="false"/>
          <w:color w:val="auto"/>
          <w:sz w:val="22"/>
        </w:rPr>
      </w:pPr>
      <w:r>
        <w:rPr>
          <w:caps w:val="false"/>
          <w:smallCaps w:val="false"/>
          <w:color w:val="auto"/>
          <w:sz w:val="22"/>
        </w:rPr>
        <w:t>Spoluúčast pro porušení pracovněprávních předpisů</w:t>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2551"/>
        <w:gridCol w:w="6520"/>
      </w:tblGrid>
      <w:tr>
        <w:trPr/>
        <w:tc>
          <w:tcPr>
            <w:tcW w:w="2551" w:type="dxa"/>
            <w:tcBorders>
              <w:top w:val="single" w:sz="6" w:space="0" w:color="808080"/>
              <w:left w:val="single" w:sz="6" w:space="0" w:color="808080"/>
              <w:bottom w:val="single" w:sz="6" w:space="0" w:color="808080"/>
              <w:right w:val="single" w:sz="6" w:space="0" w:color="808080"/>
            </w:tcBorders>
            <w:shd w:color="auto" w:fill="auto" w:val="pct5"/>
          </w:tcPr>
          <w:p>
            <w:pPr>
              <w:pStyle w:val="Normal"/>
              <w:widowControl w:val="false"/>
              <w:spacing w:before="40" w:after="40"/>
              <w:ind w:right="111" w:hanging="0"/>
              <w:rPr>
                <w:sz w:val="18"/>
                <w:szCs w:val="18"/>
              </w:rPr>
            </w:pPr>
            <w:r>
              <w:rPr>
                <w:sz w:val="18"/>
                <w:szCs w:val="18"/>
                <w:lang w:eastAsia="en-US"/>
              </w:rPr>
              <w:t>z každé pojistné události</w:t>
            </w:r>
          </w:p>
        </w:tc>
        <w:tc>
          <w:tcPr>
            <w:tcW w:w="6520" w:type="dxa"/>
            <w:tcBorders>
              <w:top w:val="single" w:sz="6" w:space="0" w:color="808080"/>
              <w:left w:val="single" w:sz="6" w:space="0" w:color="808080"/>
              <w:bottom w:val="single" w:sz="6" w:space="0" w:color="808080"/>
              <w:right w:val="single" w:sz="6" w:space="0" w:color="808080"/>
            </w:tcBorders>
            <w:shd w:fill="auto" w:val="clear"/>
          </w:tcPr>
          <w:p>
            <w:pPr>
              <w:pStyle w:val="Normal"/>
              <w:widowControl w:val="false"/>
              <w:spacing w:before="40" w:after="40"/>
              <w:ind w:right="111" w:hanging="0"/>
              <w:rPr>
                <w:i/>
                <w:i/>
                <w:sz w:val="18"/>
                <w:szCs w:val="18"/>
                <w:lang w:eastAsia="en-US"/>
              </w:rPr>
            </w:pPr>
            <w:r>
              <w:rPr>
                <w:sz w:val="18"/>
                <w:szCs w:val="18"/>
                <w:lang w:eastAsia="en-US"/>
              </w:rPr>
              <w:t xml:space="preserve">0,- Kč </w:t>
            </w:r>
          </w:p>
        </w:tc>
      </w:tr>
    </w:tbl>
    <w:p>
      <w:pPr>
        <w:pStyle w:val="Nadpis2"/>
        <w:keepNext w:val="false"/>
        <w:keepLines w:val="false"/>
        <w:widowControl w:val="false"/>
        <w:spacing w:before="240" w:after="120"/>
        <w:jc w:val="left"/>
        <w:rPr>
          <w:caps w:val="false"/>
          <w:smallCaps w:val="false"/>
          <w:color w:val="auto"/>
          <w:sz w:val="22"/>
        </w:rPr>
      </w:pPr>
      <w:r>
        <w:rPr>
          <w:caps w:val="false"/>
          <w:smallCaps w:val="false"/>
          <w:color w:val="auto"/>
          <w:sz w:val="22"/>
        </w:rPr>
        <w:t>Pojistné</w:t>
      </w:r>
    </w:p>
    <w:tbl>
      <w:tblPr>
        <w:tblW w:w="9072" w:type="dxa"/>
        <w:jc w:val="left"/>
        <w:tblInd w:w="108" w:type="dxa"/>
        <w:tblCellMar>
          <w:top w:w="0" w:type="dxa"/>
          <w:left w:w="108" w:type="dxa"/>
          <w:bottom w:w="0" w:type="dxa"/>
          <w:right w:w="108" w:type="dxa"/>
        </w:tblCellMar>
        <w:tblLook w:firstRow="0" w:noVBand="0" w:lastRow="0" w:firstColumn="0" w:lastColumn="0" w:noHBand="0" w:val="0000"/>
      </w:tblPr>
      <w:tblGrid>
        <w:gridCol w:w="2551"/>
        <w:gridCol w:w="6520"/>
      </w:tblGrid>
      <w:tr>
        <w:trPr/>
        <w:tc>
          <w:tcPr>
            <w:tcW w:w="2551" w:type="dxa"/>
            <w:tcBorders>
              <w:top w:val="single" w:sz="4" w:space="0" w:color="808080"/>
              <w:left w:val="single" w:sz="4" w:space="0" w:color="808080"/>
              <w:bottom w:val="single" w:sz="4" w:space="0" w:color="808080"/>
              <w:right w:val="single" w:sz="4" w:space="0" w:color="808080"/>
            </w:tcBorders>
            <w:shd w:color="auto" w:fill="FFFFFF" w:val="pct5"/>
          </w:tcPr>
          <w:p>
            <w:pPr>
              <w:pStyle w:val="Nadpis5"/>
              <w:keepNext w:val="false"/>
              <w:widowControl w:val="false"/>
              <w:spacing w:before="60" w:after="60"/>
              <w:jc w:val="left"/>
              <w:rPr>
                <w:sz w:val="18"/>
                <w:szCs w:val="18"/>
              </w:rPr>
            </w:pPr>
            <w:r>
              <w:rPr>
                <w:sz w:val="18"/>
                <w:szCs w:val="18"/>
              </w:rPr>
              <w:t>Jednorázové pojistné</w:t>
            </w:r>
          </w:p>
        </w:tc>
        <w:tc>
          <w:tcPr>
            <w:tcW w:w="652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60" w:after="60"/>
              <w:jc w:val="left"/>
              <w:rPr>
                <w:sz w:val="18"/>
                <w:szCs w:val="18"/>
              </w:rPr>
            </w:pPr>
            <w:r>
              <w:rPr>
                <w:color w:val="FF0000"/>
                <w:sz w:val="18"/>
                <w:szCs w:val="18"/>
              </w:rPr>
              <w:t xml:space="preserve"> </w:t>
            </w:r>
            <w:bookmarkStart w:id="14" w:name="PREMIUM"/>
            <w:bookmarkEnd w:id="14"/>
            <w:r>
              <w:rPr>
                <w:sz w:val="18"/>
                <w:szCs w:val="18"/>
              </w:rPr>
              <w:t>40 000,- Kč</w:t>
            </w:r>
          </w:p>
        </w:tc>
      </w:tr>
      <w:tr>
        <w:trPr/>
        <w:tc>
          <w:tcPr>
            <w:tcW w:w="2551" w:type="dxa"/>
            <w:tcBorders>
              <w:top w:val="single" w:sz="4" w:space="0" w:color="808080"/>
              <w:left w:val="single" w:sz="4" w:space="0" w:color="808080"/>
              <w:bottom w:val="single" w:sz="4" w:space="0" w:color="808080"/>
              <w:right w:val="single" w:sz="4" w:space="0" w:color="808080"/>
            </w:tcBorders>
            <w:shd w:color="auto" w:fill="FFFFFF" w:val="pct5"/>
          </w:tcPr>
          <w:p>
            <w:pPr>
              <w:pStyle w:val="Nadpis5"/>
              <w:keepNext w:val="false"/>
              <w:widowControl w:val="false"/>
              <w:spacing w:before="60" w:after="60"/>
              <w:jc w:val="left"/>
              <w:rPr>
                <w:sz w:val="18"/>
                <w:szCs w:val="18"/>
              </w:rPr>
            </w:pPr>
            <w:r>
              <w:rPr>
                <w:sz w:val="18"/>
                <w:szCs w:val="18"/>
              </w:rPr>
            </w:r>
          </w:p>
        </w:tc>
        <w:tc>
          <w:tcPr>
            <w:tcW w:w="652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60" w:after="60"/>
              <w:jc w:val="left"/>
              <w:rPr>
                <w:color w:val="FF0000"/>
                <w:sz w:val="18"/>
                <w:szCs w:val="18"/>
              </w:rPr>
            </w:pPr>
            <w:r>
              <w:rPr>
                <w:color w:val="000000" w:themeColor="text1"/>
                <w:sz w:val="18"/>
                <w:szCs w:val="18"/>
              </w:rPr>
              <w:t>Toto pojistné se sníží o částku 27 726,- Kč, tj. nespotřebované pojistné dle pojistné smlouvy č. 2303 1890 20.</w:t>
            </w:r>
          </w:p>
        </w:tc>
      </w:tr>
      <w:tr>
        <w:trPr/>
        <w:tc>
          <w:tcPr>
            <w:tcW w:w="2551" w:type="dxa"/>
            <w:tcBorders>
              <w:top w:val="single" w:sz="4" w:space="0" w:color="808080"/>
              <w:left w:val="single" w:sz="4" w:space="0" w:color="808080"/>
              <w:bottom w:val="single" w:sz="4" w:space="0" w:color="808080"/>
              <w:right w:val="single" w:sz="4" w:space="0" w:color="808080"/>
            </w:tcBorders>
            <w:shd w:color="auto" w:fill="FFFFFF" w:val="pct5"/>
          </w:tcPr>
          <w:p>
            <w:pPr>
              <w:pStyle w:val="Nadpis5"/>
              <w:keepNext w:val="false"/>
              <w:widowControl w:val="false"/>
              <w:spacing w:before="60" w:after="60"/>
              <w:jc w:val="left"/>
              <w:rPr>
                <w:sz w:val="18"/>
                <w:szCs w:val="18"/>
              </w:rPr>
            </w:pPr>
            <w:r>
              <w:rPr>
                <w:sz w:val="18"/>
                <w:szCs w:val="18"/>
              </w:rPr>
              <w:t>Pojistné k úhradě</w:t>
            </w:r>
          </w:p>
        </w:tc>
        <w:tc>
          <w:tcPr>
            <w:tcW w:w="652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60" w:after="60"/>
              <w:jc w:val="left"/>
              <w:rPr>
                <w:b/>
                <w:b/>
                <w:color w:val="FF0000"/>
                <w:sz w:val="18"/>
                <w:szCs w:val="18"/>
              </w:rPr>
            </w:pPr>
            <w:r>
              <w:rPr>
                <w:b/>
                <w:color w:val="000000" w:themeColor="text1"/>
                <w:sz w:val="18"/>
                <w:szCs w:val="18"/>
              </w:rPr>
              <w:t>12 274,- Kč</w:t>
            </w:r>
          </w:p>
        </w:tc>
      </w:tr>
    </w:tbl>
    <w:p>
      <w:pPr>
        <w:pStyle w:val="Normal"/>
        <w:widowControl w:val="false"/>
        <w:rPr/>
      </w:pPr>
      <w:r>
        <w:rPr/>
      </w:r>
    </w:p>
    <w:tbl>
      <w:tblPr>
        <w:tblW w:w="9072" w:type="dxa"/>
        <w:jc w:val="left"/>
        <w:tblInd w:w="30" w:type="dxa"/>
        <w:tblCellMar>
          <w:top w:w="0" w:type="dxa"/>
          <w:left w:w="30" w:type="dxa"/>
          <w:bottom w:w="0" w:type="dxa"/>
          <w:right w:w="30" w:type="dxa"/>
        </w:tblCellMar>
        <w:tblLook w:firstRow="0" w:noVBand="0" w:lastRow="0" w:firstColumn="0" w:lastColumn="0" w:noHBand="0" w:val="0000"/>
      </w:tblPr>
      <w:tblGrid>
        <w:gridCol w:w="2551"/>
        <w:gridCol w:w="6520"/>
      </w:tblGrid>
      <w:tr>
        <w:trPr>
          <w:trHeight w:val="837" w:hRule="atLeast"/>
          <w:cantSplit w:val="true"/>
        </w:trPr>
        <w:tc>
          <w:tcPr>
            <w:tcW w:w="2551" w:type="dxa"/>
            <w:tcBorders>
              <w:top w:val="single" w:sz="4" w:space="0" w:color="808080"/>
              <w:left w:val="single" w:sz="4" w:space="0" w:color="808080"/>
              <w:bottom w:val="single" w:sz="4" w:space="0" w:color="808080"/>
              <w:right w:val="single" w:sz="4" w:space="0" w:color="808080"/>
            </w:tcBorders>
            <w:shd w:color="auto" w:fill="auto" w:val="pct5"/>
          </w:tcPr>
          <w:p>
            <w:pPr>
              <w:pStyle w:val="Normal"/>
              <w:tabs>
                <w:tab w:val="clear" w:pos="720"/>
                <w:tab w:val="left" w:pos="851" w:leader="none"/>
              </w:tabs>
              <w:spacing w:before="40" w:after="40"/>
              <w:rPr>
                <w:b/>
                <w:b/>
                <w:sz w:val="18"/>
                <w:szCs w:val="18"/>
                <w:lang w:eastAsia="en-US"/>
              </w:rPr>
            </w:pPr>
            <w:r>
              <w:rPr>
                <w:b/>
                <w:sz w:val="18"/>
                <w:szCs w:val="18"/>
                <w:lang w:eastAsia="en-US"/>
              </w:rPr>
              <w:t xml:space="preserve"> </w:t>
            </w:r>
            <w:r>
              <w:rPr>
                <w:b/>
                <w:sz w:val="18"/>
                <w:szCs w:val="18"/>
                <w:lang w:eastAsia="en-US"/>
              </w:rPr>
              <w:t>Splatnost pojistného</w:t>
            </w:r>
          </w:p>
          <w:p>
            <w:pPr>
              <w:pStyle w:val="Normal"/>
              <w:tabs>
                <w:tab w:val="clear" w:pos="720"/>
                <w:tab w:val="left" w:pos="851" w:leader="none"/>
              </w:tabs>
              <w:spacing w:before="40" w:after="40"/>
              <w:rPr>
                <w:b/>
                <w:b/>
                <w:sz w:val="18"/>
                <w:szCs w:val="18"/>
                <w:lang w:eastAsia="en-US"/>
              </w:rPr>
            </w:pPr>
            <w:r>
              <w:rPr>
                <w:b/>
                <w:sz w:val="18"/>
                <w:szCs w:val="18"/>
                <w:lang w:eastAsia="en-US"/>
              </w:rPr>
            </w:r>
          </w:p>
        </w:tc>
        <w:tc>
          <w:tcPr>
            <w:tcW w:w="6520" w:type="dxa"/>
            <w:tcBorders>
              <w:top w:val="single" w:sz="4" w:space="0" w:color="808080"/>
              <w:left w:val="single" w:sz="4" w:space="0" w:color="808080"/>
              <w:bottom w:val="single" w:sz="4" w:space="0" w:color="808080"/>
              <w:right w:val="single" w:sz="4" w:space="0" w:color="808080"/>
            </w:tcBorders>
            <w:shd w:fill="auto" w:val="clear"/>
          </w:tcPr>
          <w:p>
            <w:pPr>
              <w:pStyle w:val="Normal"/>
              <w:spacing w:before="40" w:after="0"/>
              <w:ind w:left="112" w:right="111" w:hanging="0"/>
              <w:rPr>
                <w:sz w:val="18"/>
                <w:szCs w:val="18"/>
              </w:rPr>
            </w:pPr>
            <w:r>
              <w:rPr>
                <w:sz w:val="18"/>
                <w:szCs w:val="18"/>
              </w:rPr>
              <w:t xml:space="preserve">Pojistné je splatné na účet zplnomocněného makléře v termínu splatnosti </w:t>
            </w:r>
          </w:p>
          <w:p>
            <w:pPr>
              <w:pStyle w:val="Normal"/>
              <w:spacing w:before="40" w:after="0"/>
              <w:ind w:left="112" w:right="111" w:hanging="0"/>
              <w:rPr>
                <w:sz w:val="18"/>
                <w:szCs w:val="18"/>
                <w:lang w:eastAsia="en-US"/>
              </w:rPr>
            </w:pPr>
            <w:r>
              <w:rPr>
                <w:sz w:val="18"/>
                <w:szCs w:val="18"/>
              </w:rPr>
              <w:t>do 31. 1. 2021.</w:t>
            </w:r>
          </w:p>
        </w:tc>
      </w:tr>
    </w:tbl>
    <w:p>
      <w:pPr>
        <w:pStyle w:val="Normal"/>
        <w:spacing w:before="0" w:after="120"/>
        <w:jc w:val="left"/>
        <w:rPr>
          <w:b/>
          <w:b/>
          <w:sz w:val="22"/>
        </w:rPr>
      </w:pPr>
      <w:r>
        <w:rPr>
          <w:b/>
          <w:sz w:val="22"/>
        </w:rPr>
      </w:r>
    </w:p>
    <w:p>
      <w:pPr>
        <w:pStyle w:val="Normal"/>
        <w:spacing w:before="0" w:after="120"/>
        <w:jc w:val="left"/>
        <w:rPr>
          <w:b/>
          <w:b/>
          <w:sz w:val="22"/>
        </w:rPr>
      </w:pPr>
      <w:bookmarkStart w:id="15" w:name="_GoBack"/>
      <w:bookmarkEnd w:id="15"/>
      <w:r>
        <w:rPr>
          <w:b/>
          <w:sz w:val="22"/>
        </w:rPr>
        <w:t xml:space="preserve">Upozornění </w:t>
      </w:r>
    </w:p>
    <w:tbl>
      <w:tblPr>
        <w:tblW w:w="9072" w:type="dxa"/>
        <w:jc w:val="left"/>
        <w:tblInd w:w="30" w:type="dxa"/>
        <w:tblCellMar>
          <w:top w:w="0" w:type="dxa"/>
          <w:left w:w="30" w:type="dxa"/>
          <w:bottom w:w="0" w:type="dxa"/>
          <w:right w:w="30" w:type="dxa"/>
        </w:tblCellMar>
        <w:tblLook w:firstRow="0" w:noVBand="0" w:lastRow="0" w:firstColumn="0" w:lastColumn="0" w:noHBand="0" w:val="0000"/>
      </w:tblPr>
      <w:tblGrid>
        <w:gridCol w:w="9072"/>
      </w:tblGrid>
      <w:tr>
        <w:trPr>
          <w:trHeight w:val="369" w:hRule="atLeast"/>
        </w:trPr>
        <w:tc>
          <w:tcPr>
            <w:tcW w:w="9072" w:type="dxa"/>
            <w:tcBorders/>
            <w:shd w:color="auto" w:fill="auto" w:val="pct5"/>
          </w:tcPr>
          <w:p>
            <w:pPr>
              <w:pStyle w:val="Normal"/>
              <w:widowControl w:val="false"/>
              <w:spacing w:before="60" w:after="60"/>
              <w:ind w:left="112" w:right="111" w:hanging="0"/>
              <w:rPr>
                <w:sz w:val="18"/>
                <w:szCs w:val="18"/>
              </w:rPr>
            </w:pPr>
            <w:r>
              <w:rPr>
                <w:sz w:val="18"/>
                <w:szCs w:val="18"/>
              </w:rPr>
              <w:t xml:space="preserve">Toto pojištění se vztahuje pouze na </w:t>
            </w:r>
            <w:r>
              <w:rPr>
                <w:b/>
                <w:sz w:val="18"/>
                <w:szCs w:val="18"/>
              </w:rPr>
              <w:t xml:space="preserve">nároky </w:t>
            </w:r>
            <w:r>
              <w:rPr>
                <w:sz w:val="18"/>
                <w:szCs w:val="18"/>
              </w:rPr>
              <w:t xml:space="preserve">poprvé vznesené proti </w:t>
            </w:r>
            <w:r>
              <w:rPr>
                <w:b/>
                <w:sz w:val="18"/>
                <w:szCs w:val="18"/>
              </w:rPr>
              <w:t xml:space="preserve">pojištěnému </w:t>
            </w:r>
            <w:r>
              <w:rPr>
                <w:sz w:val="18"/>
                <w:szCs w:val="18"/>
              </w:rPr>
              <w:t>během</w:t>
            </w:r>
            <w:r>
              <w:rPr>
                <w:b/>
                <w:sz w:val="18"/>
                <w:szCs w:val="18"/>
              </w:rPr>
              <w:t xml:space="preserve"> pojistné doby </w:t>
            </w:r>
            <w:r>
              <w:rPr>
                <w:sz w:val="18"/>
                <w:szCs w:val="18"/>
              </w:rPr>
              <w:t xml:space="preserve">(popř. během </w:t>
            </w:r>
            <w:r>
              <w:rPr>
                <w:b/>
                <w:sz w:val="18"/>
                <w:szCs w:val="18"/>
              </w:rPr>
              <w:t>lhůty pro zjištění a oznámení nároků</w:t>
            </w:r>
            <w:r>
              <w:rPr>
                <w:sz w:val="18"/>
                <w:szCs w:val="18"/>
              </w:rPr>
              <w:t>, je-li sjednána) nebo jiné</w:t>
            </w:r>
            <w:r>
              <w:rPr>
                <w:b/>
                <w:sz w:val="18"/>
                <w:szCs w:val="18"/>
              </w:rPr>
              <w:t xml:space="preserve"> události</w:t>
            </w:r>
            <w:r>
              <w:rPr>
                <w:sz w:val="18"/>
                <w:szCs w:val="18"/>
              </w:rPr>
              <w:t>, ke kterým došlo během</w:t>
            </w:r>
            <w:r>
              <w:rPr>
                <w:b/>
                <w:sz w:val="18"/>
                <w:szCs w:val="18"/>
              </w:rPr>
              <w:t xml:space="preserve"> pojistné doby </w:t>
            </w:r>
            <w:r>
              <w:rPr>
                <w:sz w:val="18"/>
                <w:szCs w:val="18"/>
              </w:rPr>
              <w:t xml:space="preserve">(popř. během </w:t>
            </w:r>
            <w:r>
              <w:rPr>
                <w:b/>
                <w:sz w:val="18"/>
                <w:szCs w:val="18"/>
              </w:rPr>
              <w:t>lhůty pro zjištění a oznámení nároků</w:t>
            </w:r>
            <w:r>
              <w:rPr>
                <w:sz w:val="18"/>
                <w:szCs w:val="18"/>
              </w:rPr>
              <w:t>, je-li sjednána)</w:t>
            </w:r>
            <w:r>
              <w:rPr>
                <w:b/>
                <w:sz w:val="18"/>
                <w:szCs w:val="18"/>
              </w:rPr>
              <w:t xml:space="preserve"> </w:t>
            </w:r>
            <w:r>
              <w:rPr>
                <w:sz w:val="18"/>
                <w:szCs w:val="18"/>
              </w:rPr>
              <w:t xml:space="preserve">a oznámené </w:t>
            </w:r>
            <w:r>
              <w:rPr>
                <w:b/>
                <w:sz w:val="18"/>
                <w:szCs w:val="18"/>
              </w:rPr>
              <w:t xml:space="preserve">pojistiteli </w:t>
            </w:r>
            <w:r>
              <w:rPr>
                <w:sz w:val="18"/>
                <w:szCs w:val="18"/>
              </w:rPr>
              <w:t>v souladu s touto </w:t>
            </w:r>
            <w:r>
              <w:rPr>
                <w:b/>
                <w:sz w:val="18"/>
                <w:szCs w:val="18"/>
              </w:rPr>
              <w:t>pojistnou smlouvou</w:t>
            </w:r>
            <w:r>
              <w:rPr>
                <w:sz w:val="18"/>
                <w:szCs w:val="18"/>
              </w:rPr>
              <w:t xml:space="preserve"> a pojistnými podmínkami. Nezaplacením pojistného se toto pojištění nepřerušuje.</w:t>
            </w:r>
          </w:p>
          <w:p>
            <w:pPr>
              <w:pStyle w:val="Normal"/>
              <w:widowControl w:val="false"/>
              <w:spacing w:before="60" w:after="60"/>
              <w:ind w:left="112" w:right="111" w:hanging="0"/>
              <w:rPr>
                <w:b/>
                <w:b/>
                <w:lang w:eastAsia="en-US"/>
              </w:rPr>
            </w:pPr>
            <w:r>
              <w:rPr>
                <w:sz w:val="18"/>
                <w:szCs w:val="18"/>
              </w:rPr>
              <w:t xml:space="preserve">Přečtěte si, prosím, pečlivě tuto </w:t>
            </w:r>
            <w:r>
              <w:rPr>
                <w:b/>
                <w:sz w:val="18"/>
                <w:szCs w:val="18"/>
              </w:rPr>
              <w:t>pojistnou smlouvu</w:t>
            </w:r>
            <w:r>
              <w:rPr>
                <w:sz w:val="18"/>
                <w:szCs w:val="18"/>
              </w:rPr>
              <w:t>, pojistné podmínky a zkontrolujte rozsah pojištění s Vaším pojišťovacím poradcem.</w:t>
            </w:r>
          </w:p>
        </w:tc>
      </w:tr>
    </w:tbl>
    <w:p>
      <w:pPr>
        <w:pStyle w:val="Nadpis2"/>
        <w:keepNext w:val="false"/>
        <w:keepLines w:val="false"/>
        <w:widowControl w:val="false"/>
        <w:spacing w:before="240" w:after="120"/>
        <w:jc w:val="left"/>
        <w:rPr>
          <w:caps w:val="false"/>
          <w:smallCaps w:val="false"/>
          <w:color w:val="auto"/>
          <w:sz w:val="22"/>
        </w:rPr>
      </w:pPr>
      <w:r>
        <w:rPr>
          <w:caps w:val="false"/>
          <w:smallCaps w:val="false"/>
          <w:color w:val="auto"/>
          <w:sz w:val="22"/>
        </w:rPr>
        <w:t>Přílohy pojistné smlouvy</w:t>
      </w:r>
    </w:p>
    <w:tbl>
      <w:tblPr>
        <w:tblW w:w="9072" w:type="dxa"/>
        <w:jc w:val="left"/>
        <w:tblInd w:w="30" w:type="dxa"/>
        <w:tblCellMar>
          <w:top w:w="0" w:type="dxa"/>
          <w:left w:w="30" w:type="dxa"/>
          <w:bottom w:w="0" w:type="dxa"/>
          <w:right w:w="30" w:type="dxa"/>
        </w:tblCellMar>
        <w:tblLook w:firstRow="0" w:noVBand="0" w:lastRow="0" w:firstColumn="0" w:lastColumn="0" w:noHBand="0" w:val="0000"/>
      </w:tblPr>
      <w:tblGrid>
        <w:gridCol w:w="1417"/>
        <w:gridCol w:w="7654"/>
      </w:tblGrid>
      <w:tr>
        <w:trPr>
          <w:trHeight w:val="254" w:hRule="atLeast"/>
        </w:trPr>
        <w:tc>
          <w:tcPr>
            <w:tcW w:w="1417" w:type="dxa"/>
            <w:tcBorders>
              <w:top w:val="single" w:sz="4" w:space="0" w:color="808080"/>
              <w:left w:val="single" w:sz="4" w:space="0" w:color="808080"/>
              <w:bottom w:val="single" w:sz="4" w:space="0" w:color="808080"/>
              <w:right w:val="single" w:sz="4" w:space="0" w:color="808080"/>
            </w:tcBorders>
            <w:shd w:color="auto" w:fill="auto" w:val="pct5"/>
          </w:tcPr>
          <w:p>
            <w:pPr>
              <w:pStyle w:val="Normal"/>
              <w:widowControl w:val="false"/>
              <w:spacing w:before="60" w:after="60"/>
              <w:ind w:left="113" w:hanging="0"/>
              <w:rPr>
                <w:sz w:val="18"/>
                <w:szCs w:val="18"/>
                <w:lang w:eastAsia="en-US"/>
              </w:rPr>
            </w:pPr>
            <w:r>
              <w:rPr>
                <w:b/>
                <w:sz w:val="18"/>
                <w:szCs w:val="18"/>
                <w:lang w:eastAsia="en-US"/>
              </w:rPr>
              <w:t xml:space="preserve">Příloha 1: </w:t>
            </w:r>
          </w:p>
        </w:tc>
        <w:tc>
          <w:tcPr>
            <w:tcW w:w="765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60" w:after="60"/>
              <w:ind w:left="113" w:right="112" w:hanging="0"/>
              <w:rPr>
                <w:sz w:val="18"/>
                <w:szCs w:val="18"/>
                <w:lang w:eastAsia="en-US"/>
              </w:rPr>
            </w:pPr>
            <w:r>
              <w:rPr>
                <w:sz w:val="18"/>
                <w:szCs w:val="18"/>
                <w:lang w:eastAsia="en-US"/>
              </w:rPr>
              <w:t>Pojistné podmínky pro pojištění odpovědnosti manažerů NDO 01-05/2019</w:t>
            </w:r>
          </w:p>
          <w:p>
            <w:pPr>
              <w:pStyle w:val="Normal"/>
              <w:widowControl w:val="false"/>
              <w:spacing w:before="60" w:after="60"/>
              <w:ind w:left="113" w:right="112" w:hanging="0"/>
              <w:rPr>
                <w:sz w:val="18"/>
                <w:szCs w:val="18"/>
                <w:lang w:eastAsia="en-US"/>
              </w:rPr>
            </w:pPr>
            <w:r>
              <w:rPr>
                <w:sz w:val="18"/>
                <w:szCs w:val="18"/>
                <w:lang w:eastAsia="en-US"/>
              </w:rPr>
              <w:t xml:space="preserve">Tyto pojistné podmínky jsou součástí </w:t>
            </w:r>
            <w:r>
              <w:rPr>
                <w:b/>
                <w:sz w:val="18"/>
                <w:szCs w:val="18"/>
                <w:lang w:eastAsia="en-US"/>
              </w:rPr>
              <w:t>pojistné smlouvy</w:t>
            </w:r>
            <w:r>
              <w:rPr>
                <w:sz w:val="18"/>
                <w:szCs w:val="18"/>
                <w:lang w:eastAsia="en-US"/>
              </w:rPr>
              <w:t xml:space="preserve"> a mají přednost před ustanoveními příslušných právních předpisů, od kterých se lze odchýlit. V případě rozporu mezi pojistnými podmínkami a touto </w:t>
            </w:r>
            <w:r>
              <w:rPr>
                <w:b/>
                <w:sz w:val="18"/>
                <w:szCs w:val="18"/>
                <w:lang w:eastAsia="en-US"/>
              </w:rPr>
              <w:t>pojistnou smlouvou</w:t>
            </w:r>
            <w:r>
              <w:rPr>
                <w:sz w:val="18"/>
                <w:szCs w:val="18"/>
                <w:lang w:eastAsia="en-US"/>
              </w:rPr>
              <w:t xml:space="preserve"> mají přednost ustanovení </w:t>
            </w:r>
            <w:r>
              <w:rPr>
                <w:b/>
                <w:sz w:val="18"/>
                <w:szCs w:val="18"/>
                <w:lang w:eastAsia="en-US"/>
              </w:rPr>
              <w:t>pojistné smlouvy</w:t>
            </w:r>
            <w:r>
              <w:rPr>
                <w:sz w:val="18"/>
                <w:szCs w:val="18"/>
                <w:lang w:eastAsia="en-US"/>
              </w:rPr>
              <w:t>.</w:t>
            </w:r>
          </w:p>
        </w:tc>
      </w:tr>
      <w:tr>
        <w:trPr>
          <w:trHeight w:val="254" w:hRule="atLeast"/>
        </w:trPr>
        <w:tc>
          <w:tcPr>
            <w:tcW w:w="1417" w:type="dxa"/>
            <w:tcBorders>
              <w:top w:val="single" w:sz="4" w:space="0" w:color="808080"/>
              <w:left w:val="single" w:sz="4" w:space="0" w:color="808080"/>
              <w:bottom w:val="single" w:sz="4" w:space="0" w:color="808080"/>
              <w:right w:val="single" w:sz="4" w:space="0" w:color="808080"/>
            </w:tcBorders>
            <w:shd w:color="auto" w:fill="auto" w:val="pct5"/>
          </w:tcPr>
          <w:p>
            <w:pPr>
              <w:pStyle w:val="Normal"/>
              <w:widowControl w:val="false"/>
              <w:spacing w:before="60" w:after="60"/>
              <w:ind w:left="113" w:hanging="0"/>
              <w:rPr>
                <w:sz w:val="18"/>
                <w:szCs w:val="18"/>
                <w:lang w:eastAsia="en-US"/>
              </w:rPr>
            </w:pPr>
            <w:r>
              <w:rPr>
                <w:b/>
                <w:sz w:val="18"/>
                <w:szCs w:val="18"/>
                <w:lang w:eastAsia="en-US"/>
              </w:rPr>
              <w:t xml:space="preserve">Příloha 2: </w:t>
            </w:r>
          </w:p>
        </w:tc>
        <w:tc>
          <w:tcPr>
            <w:tcW w:w="765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60" w:after="60"/>
              <w:ind w:left="113" w:hanging="0"/>
              <w:rPr>
                <w:sz w:val="18"/>
                <w:szCs w:val="18"/>
                <w:lang w:eastAsia="en-US"/>
              </w:rPr>
            </w:pPr>
            <w:r>
              <w:rPr>
                <w:sz w:val="18"/>
                <w:szCs w:val="18"/>
                <w:lang w:eastAsia="en-US"/>
              </w:rPr>
              <w:t xml:space="preserve">Výpis z obchodního rejstříku </w:t>
            </w:r>
            <w:r>
              <w:rPr>
                <w:b/>
                <w:sz w:val="18"/>
                <w:szCs w:val="18"/>
                <w:lang w:eastAsia="en-US"/>
              </w:rPr>
              <w:t>pojistníka</w:t>
            </w:r>
          </w:p>
        </w:tc>
      </w:tr>
      <w:tr>
        <w:trPr>
          <w:trHeight w:val="254" w:hRule="atLeast"/>
        </w:trPr>
        <w:tc>
          <w:tcPr>
            <w:tcW w:w="1417" w:type="dxa"/>
            <w:tcBorders>
              <w:top w:val="single" w:sz="4" w:space="0" w:color="808080"/>
              <w:left w:val="single" w:sz="4" w:space="0" w:color="808080"/>
              <w:bottom w:val="single" w:sz="4" w:space="0" w:color="808080"/>
              <w:right w:val="single" w:sz="4" w:space="0" w:color="808080"/>
            </w:tcBorders>
            <w:shd w:color="auto" w:fill="auto" w:val="pct5"/>
          </w:tcPr>
          <w:p>
            <w:pPr>
              <w:pStyle w:val="Normal"/>
              <w:widowControl w:val="false"/>
              <w:spacing w:before="60" w:after="60"/>
              <w:ind w:left="113" w:hanging="0"/>
              <w:rPr>
                <w:sz w:val="18"/>
                <w:szCs w:val="18"/>
                <w:lang w:eastAsia="en-US"/>
              </w:rPr>
            </w:pPr>
            <w:r>
              <w:rPr>
                <w:b/>
                <w:sz w:val="18"/>
                <w:szCs w:val="18"/>
                <w:lang w:eastAsia="en-US"/>
              </w:rPr>
              <w:t xml:space="preserve">Příloha 3: </w:t>
            </w:r>
          </w:p>
        </w:tc>
        <w:tc>
          <w:tcPr>
            <w:tcW w:w="765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60" w:after="60"/>
              <w:ind w:left="113" w:hanging="0"/>
              <w:rPr>
                <w:sz w:val="18"/>
                <w:szCs w:val="18"/>
                <w:lang w:eastAsia="en-US"/>
              </w:rPr>
            </w:pPr>
            <w:r>
              <w:rPr>
                <w:sz w:val="18"/>
                <w:szCs w:val="18"/>
                <w:lang w:eastAsia="en-US"/>
              </w:rPr>
              <w:t xml:space="preserve">Kopie vyplněného dotazníku </w:t>
            </w:r>
            <w:r>
              <w:rPr>
                <w:b/>
                <w:sz w:val="18"/>
                <w:szCs w:val="18"/>
                <w:lang w:eastAsia="en-US"/>
              </w:rPr>
              <w:t xml:space="preserve">pojistníka </w:t>
            </w:r>
          </w:p>
        </w:tc>
      </w:tr>
    </w:tbl>
    <w:p>
      <w:pPr>
        <w:pStyle w:val="Nadpis2"/>
        <w:keepNext w:val="false"/>
        <w:keepLines w:val="false"/>
        <w:widowControl w:val="false"/>
        <w:spacing w:before="0" w:after="0"/>
        <w:jc w:val="left"/>
        <w:rPr>
          <w:caps w:val="false"/>
          <w:smallCaps w:val="false"/>
          <w:color w:val="auto"/>
          <w:sz w:val="22"/>
          <w:u w:val="single"/>
        </w:rPr>
      </w:pPr>
      <w:r>
        <w:rPr>
          <w:caps w:val="false"/>
          <w:smallCaps w:val="false"/>
          <w:color w:val="auto"/>
          <w:sz w:val="22"/>
          <w:u w:val="single"/>
        </w:rPr>
      </w:r>
    </w:p>
    <w:p>
      <w:pPr>
        <w:pStyle w:val="Nadpis2"/>
        <w:keepNext w:val="false"/>
        <w:keepLines w:val="false"/>
        <w:widowControl w:val="false"/>
        <w:spacing w:before="0" w:after="0"/>
        <w:jc w:val="left"/>
        <w:rPr>
          <w:caps w:val="false"/>
          <w:smallCaps w:val="false"/>
          <w:color w:val="auto"/>
          <w:sz w:val="20"/>
          <w:u w:val="single"/>
        </w:rPr>
      </w:pPr>
      <w:r>
        <w:rPr>
          <w:caps w:val="false"/>
          <w:smallCaps w:val="false"/>
          <w:color w:val="auto"/>
          <w:sz w:val="20"/>
          <w:u w:val="single"/>
        </w:rPr>
      </w:r>
    </w:p>
    <w:p>
      <w:pPr>
        <w:pStyle w:val="Nadpis2"/>
        <w:keepNext w:val="false"/>
        <w:keepLines w:val="false"/>
        <w:widowControl w:val="false"/>
        <w:spacing w:before="0" w:after="0"/>
        <w:jc w:val="left"/>
        <w:rPr>
          <w:caps w:val="false"/>
          <w:smallCaps w:val="false"/>
          <w:color w:val="auto"/>
          <w:sz w:val="20"/>
          <w:u w:val="single"/>
        </w:rPr>
      </w:pPr>
      <w:r>
        <w:rPr>
          <w:caps w:val="false"/>
          <w:smallCaps w:val="false"/>
          <w:color w:val="auto"/>
          <w:sz w:val="20"/>
          <w:u w:val="single"/>
        </w:rPr>
        <w:t>Smluvní ujednání</w:t>
      </w:r>
    </w:p>
    <w:p>
      <w:pPr>
        <w:pStyle w:val="Normal"/>
        <w:rPr/>
      </w:pPr>
      <w:r>
        <w:rPr/>
      </w:r>
    </w:p>
    <w:p>
      <w:pPr>
        <w:pStyle w:val="Normal"/>
        <w:rPr>
          <w:sz w:val="18"/>
          <w:lang w:eastAsia="en-US"/>
        </w:rPr>
      </w:pPr>
      <w:r>
        <w:rPr>
          <w:sz w:val="18"/>
          <w:lang w:eastAsia="en-US"/>
        </w:rPr>
        <w:t xml:space="preserve">Tato smluvní ujednání jsou nedílnou součástí </w:t>
      </w:r>
      <w:r>
        <w:rPr>
          <w:b/>
          <w:sz w:val="18"/>
          <w:lang w:eastAsia="en-US"/>
        </w:rPr>
        <w:t>pojistné smlouvy</w:t>
      </w:r>
      <w:r>
        <w:rPr>
          <w:sz w:val="18"/>
          <w:lang w:eastAsia="en-US"/>
        </w:rPr>
        <w:t>. V případě rozporu mezi smluvními ujednáními a pojistnými podmínkami mají přednost tato smluvní ujednání.</w:t>
      </w:r>
    </w:p>
    <w:p>
      <w:pPr>
        <w:pStyle w:val="Normal"/>
        <w:rPr>
          <w:sz w:val="18"/>
          <w:lang w:eastAsia="en-US"/>
        </w:rPr>
      </w:pPr>
      <w:r>
        <w:rPr>
          <w:sz w:val="18"/>
          <w:lang w:eastAsia="en-US"/>
        </w:rPr>
      </w:r>
    </w:p>
    <w:p>
      <w:pPr>
        <w:pStyle w:val="Normal"/>
        <w:rPr>
          <w:sz w:val="18"/>
          <w:lang w:eastAsia="en-US"/>
        </w:rPr>
      </w:pPr>
      <w:r>
        <w:rPr>
          <w:sz w:val="18"/>
          <w:lang w:eastAsia="en-US"/>
        </w:rPr>
        <w:t>Pokud tato pojistná smlouva podléhá povinnosti uveřejnění v registru smluv (dále jen „registr“) ve smyslu zákona č. 340/2015 Sb., zavazuje se pojistník k jejímu uveřejnění v rozsahu, způsobem a ve lhůtách stanovených citovaným zákonem. Při vyplnění formuláře pro uveřejnění smlouvy v registru je pojistník povinen vyplnit údaje o pojistiteli (jako smluvní straně) a do pole „Datová schránka“ uvést: 33qanji.</w:t>
      </w:r>
    </w:p>
    <w:p>
      <w:pPr>
        <w:pStyle w:val="Normal"/>
        <w:rPr>
          <w:sz w:val="18"/>
          <w:lang w:eastAsia="en-US"/>
        </w:rPr>
      </w:pPr>
      <w:r>
        <w:rPr>
          <w:sz w:val="18"/>
          <w:lang w:eastAsia="en-US"/>
        </w:rPr>
      </w:r>
    </w:p>
    <w:p>
      <w:pPr>
        <w:pStyle w:val="Normal"/>
        <w:rPr>
          <w:sz w:val="18"/>
          <w:lang w:eastAsia="en-US"/>
        </w:rPr>
      </w:pPr>
      <w:r>
        <w:rPr>
          <w:sz w:val="18"/>
          <w:lang w:eastAsia="en-US"/>
        </w:rP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pPr>
        <w:pStyle w:val="Normal"/>
        <w:rPr>
          <w:sz w:val="18"/>
        </w:rPr>
      </w:pPr>
      <w:r>
        <w:rPr>
          <w:sz w:val="18"/>
        </w:rPr>
      </w:r>
    </w:p>
    <w:p>
      <w:pPr>
        <w:pStyle w:val="Normal"/>
        <w:rPr>
          <w:sz w:val="18"/>
        </w:rPr>
      </w:pPr>
      <w:r>
        <w:rPr>
          <w:sz w:val="18"/>
        </w:rPr>
      </w:r>
    </w:p>
    <w:p>
      <w:pPr>
        <w:pStyle w:val="Nadpis2"/>
        <w:keepNext w:val="false"/>
        <w:keepLines w:val="false"/>
        <w:numPr>
          <w:ilvl w:val="0"/>
          <w:numId w:val="4"/>
        </w:numPr>
        <w:spacing w:before="0" w:after="0"/>
        <w:ind w:left="0" w:firstLine="426"/>
        <w:jc w:val="both"/>
        <w:rPr>
          <w:bCs/>
          <w:caps w:val="false"/>
          <w:smallCaps w:val="false"/>
          <w:color w:val="auto"/>
          <w:sz w:val="18"/>
          <w:szCs w:val="18"/>
        </w:rPr>
      </w:pPr>
      <w:r>
        <w:rPr>
          <w:bCs/>
          <w:caps w:val="false"/>
          <w:smallCaps w:val="false"/>
          <w:color w:val="auto"/>
          <w:sz w:val="18"/>
          <w:szCs w:val="18"/>
        </w:rPr>
        <w:t>Oznámení nároku v případě zániku nebo neobnovení pojistné smlouvy (Lhůta pro zjištění a oznámení nároků 48 měsíců)</w:t>
      </w:r>
    </w:p>
    <w:p>
      <w:pPr>
        <w:pStyle w:val="Tlotextu"/>
        <w:spacing w:before="0" w:after="0"/>
        <w:ind w:right="1" w:hanging="0"/>
        <w:rPr>
          <w:rFonts w:eastAsia="Calibri" w:eastAsiaTheme="minorHAnsi"/>
          <w:sz w:val="18"/>
          <w:szCs w:val="18"/>
        </w:rPr>
      </w:pPr>
      <w:r>
        <w:rPr>
          <w:rFonts w:eastAsia="Calibri" w:eastAsiaTheme="minorHAnsi"/>
          <w:sz w:val="18"/>
          <w:szCs w:val="18"/>
        </w:rPr>
      </w:r>
    </w:p>
    <w:p>
      <w:pPr>
        <w:pStyle w:val="Tlotextu"/>
        <w:spacing w:before="0" w:after="0"/>
        <w:ind w:right="1" w:hanging="0"/>
        <w:rPr>
          <w:sz w:val="18"/>
          <w:szCs w:val="18"/>
        </w:rPr>
      </w:pPr>
      <w:r>
        <w:rPr>
          <w:sz w:val="18"/>
          <w:szCs w:val="18"/>
        </w:rPr>
        <w:t xml:space="preserve">Dodatečně k článku 3.2 odstavec (ii) pojistných podmínek se ujednává, že pokud tato </w:t>
      </w:r>
      <w:r>
        <w:rPr>
          <w:b/>
          <w:bCs/>
          <w:sz w:val="18"/>
          <w:szCs w:val="18"/>
        </w:rPr>
        <w:t>pojistná smlouva</w:t>
      </w:r>
      <w:r>
        <w:rPr>
          <w:sz w:val="18"/>
          <w:szCs w:val="18"/>
        </w:rPr>
        <w:t xml:space="preserve"> nebude obnovena či nahrazena jinou pojistnou smlouvou, a pokud nedojde k </w:t>
      </w:r>
      <w:r>
        <w:rPr>
          <w:b/>
          <w:bCs/>
          <w:sz w:val="18"/>
          <w:szCs w:val="18"/>
        </w:rPr>
        <w:t>transakci</w:t>
      </w:r>
      <w:r>
        <w:rPr>
          <w:sz w:val="18"/>
          <w:szCs w:val="18"/>
        </w:rPr>
        <w:t xml:space="preserve"> nebo k předčasnému ukončení pojištění ze strany </w:t>
      </w:r>
      <w:r>
        <w:rPr>
          <w:b/>
          <w:bCs/>
          <w:sz w:val="18"/>
          <w:szCs w:val="18"/>
        </w:rPr>
        <w:t>pojistitele</w:t>
      </w:r>
      <w:r>
        <w:rPr>
          <w:sz w:val="18"/>
          <w:szCs w:val="18"/>
        </w:rPr>
        <w:t xml:space="preserve"> včetně jeho ukončení z důvodu nezaplacení pojistného, má </w:t>
      </w:r>
      <w:r>
        <w:rPr>
          <w:b/>
          <w:bCs/>
          <w:sz w:val="18"/>
          <w:szCs w:val="18"/>
        </w:rPr>
        <w:t>pojistník</w:t>
      </w:r>
      <w:r>
        <w:rPr>
          <w:sz w:val="18"/>
          <w:szCs w:val="18"/>
        </w:rPr>
        <w:t xml:space="preserve"> právo sjednat dodatečnou </w:t>
      </w:r>
      <w:r>
        <w:rPr>
          <w:b/>
          <w:bCs/>
          <w:sz w:val="18"/>
          <w:szCs w:val="18"/>
        </w:rPr>
        <w:t>lhůtu pro zjištění a oznámení nároků</w:t>
      </w:r>
      <w:r>
        <w:rPr>
          <w:sz w:val="18"/>
          <w:szCs w:val="18"/>
        </w:rPr>
        <w:t xml:space="preserve"> v délce 48 měsíců, která bezprostředně následuje po uplynutí </w:t>
      </w:r>
      <w:r>
        <w:rPr>
          <w:b/>
          <w:bCs/>
          <w:sz w:val="18"/>
          <w:szCs w:val="18"/>
        </w:rPr>
        <w:t>pojistné doby</w:t>
      </w:r>
      <w:r>
        <w:rPr>
          <w:sz w:val="18"/>
          <w:szCs w:val="18"/>
        </w:rPr>
        <w:t>.   </w:t>
      </w:r>
    </w:p>
    <w:p>
      <w:pPr>
        <w:pStyle w:val="Tlotextu"/>
        <w:spacing w:before="0" w:after="0"/>
        <w:ind w:right="1" w:hanging="0"/>
        <w:rPr>
          <w:sz w:val="18"/>
          <w:szCs w:val="18"/>
        </w:rPr>
      </w:pPr>
      <w:r>
        <w:rPr>
          <w:sz w:val="18"/>
          <w:szCs w:val="18"/>
        </w:rPr>
      </w:r>
    </w:p>
    <w:p>
      <w:pPr>
        <w:pStyle w:val="Tlotextu"/>
        <w:spacing w:before="0" w:after="0"/>
        <w:ind w:right="1" w:hanging="0"/>
        <w:rPr>
          <w:sz w:val="18"/>
          <w:szCs w:val="18"/>
        </w:rPr>
      </w:pPr>
      <w:r>
        <w:rPr>
          <w:sz w:val="18"/>
          <w:szCs w:val="18"/>
        </w:rPr>
        <w:t xml:space="preserve">V případě sjednání </w:t>
      </w:r>
      <w:r>
        <w:rPr>
          <w:b/>
          <w:bCs/>
          <w:sz w:val="18"/>
          <w:szCs w:val="18"/>
        </w:rPr>
        <w:t xml:space="preserve">lhůty pro zjištění a oznámení nároků </w:t>
      </w:r>
      <w:r>
        <w:rPr>
          <w:sz w:val="18"/>
          <w:szCs w:val="18"/>
        </w:rPr>
        <w:t xml:space="preserve">vzniká </w:t>
      </w:r>
      <w:r>
        <w:rPr>
          <w:b/>
          <w:bCs/>
          <w:sz w:val="18"/>
          <w:szCs w:val="18"/>
        </w:rPr>
        <w:t xml:space="preserve">pojistníkovi </w:t>
      </w:r>
      <w:r>
        <w:rPr>
          <w:sz w:val="18"/>
          <w:szCs w:val="18"/>
        </w:rPr>
        <w:t xml:space="preserve">povinnost uhradit dodatečné pojistné, jehož výše odpovídá 140 % ročního pojistného neobnovené nebo zaniklé </w:t>
      </w:r>
      <w:r>
        <w:rPr>
          <w:b/>
          <w:bCs/>
          <w:sz w:val="18"/>
          <w:szCs w:val="18"/>
        </w:rPr>
        <w:t>pojistné smlouvy</w:t>
      </w:r>
      <w:r>
        <w:rPr>
          <w:sz w:val="18"/>
          <w:szCs w:val="18"/>
        </w:rPr>
        <w:t xml:space="preserve">. </w:t>
      </w:r>
      <w:r>
        <w:rPr>
          <w:b/>
          <w:bCs/>
          <w:sz w:val="18"/>
          <w:szCs w:val="18"/>
        </w:rPr>
        <w:t>Pojistník</w:t>
      </w:r>
      <w:r>
        <w:rPr>
          <w:sz w:val="18"/>
          <w:szCs w:val="18"/>
        </w:rPr>
        <w:t xml:space="preserve"> je povinen </w:t>
      </w:r>
      <w:r>
        <w:rPr>
          <w:b/>
          <w:bCs/>
          <w:sz w:val="18"/>
          <w:szCs w:val="18"/>
        </w:rPr>
        <w:t xml:space="preserve">pojistiteli </w:t>
      </w:r>
      <w:r>
        <w:rPr>
          <w:sz w:val="18"/>
          <w:szCs w:val="18"/>
        </w:rPr>
        <w:t xml:space="preserve">oznámit, že využívá právo sjednat dodatečnou </w:t>
      </w:r>
      <w:r>
        <w:rPr>
          <w:b/>
          <w:bCs/>
          <w:sz w:val="18"/>
          <w:szCs w:val="18"/>
        </w:rPr>
        <w:t xml:space="preserve">lhůtu pro zjištění a oznámení nároků </w:t>
      </w:r>
      <w:r>
        <w:rPr>
          <w:sz w:val="18"/>
          <w:szCs w:val="18"/>
        </w:rPr>
        <w:t xml:space="preserve">nejpozději do 30 dnů ode dne uplynutí </w:t>
      </w:r>
      <w:r>
        <w:rPr>
          <w:b/>
          <w:bCs/>
          <w:sz w:val="18"/>
          <w:szCs w:val="18"/>
        </w:rPr>
        <w:t>pojistné doby</w:t>
      </w:r>
      <w:r>
        <w:rPr>
          <w:i/>
          <w:iCs/>
          <w:sz w:val="18"/>
          <w:szCs w:val="18"/>
        </w:rPr>
        <w:t>.</w:t>
      </w:r>
      <w:r>
        <w:rPr>
          <w:sz w:val="18"/>
          <w:szCs w:val="18"/>
        </w:rPr>
        <w:t xml:space="preserve"> Dodatečná </w:t>
      </w:r>
      <w:r>
        <w:rPr>
          <w:b/>
          <w:bCs/>
          <w:sz w:val="18"/>
          <w:szCs w:val="18"/>
        </w:rPr>
        <w:t>lhůta pro zjištění a oznámení nároků</w:t>
      </w:r>
      <w:r>
        <w:rPr>
          <w:sz w:val="18"/>
          <w:szCs w:val="18"/>
        </w:rPr>
        <w:t>, včetně konkrétní výše pojistného a jeho splatnosti, musí být upravena dodatkem k </w:t>
      </w:r>
      <w:r>
        <w:rPr>
          <w:b/>
          <w:bCs/>
          <w:sz w:val="18"/>
          <w:szCs w:val="18"/>
        </w:rPr>
        <w:t xml:space="preserve">pojistné smlouvě </w:t>
      </w:r>
      <w:r>
        <w:rPr>
          <w:sz w:val="18"/>
          <w:szCs w:val="18"/>
        </w:rPr>
        <w:t xml:space="preserve">nejpozději do 30 dnů ode dne uplynutí </w:t>
      </w:r>
      <w:r>
        <w:rPr>
          <w:b/>
          <w:bCs/>
          <w:sz w:val="18"/>
          <w:szCs w:val="18"/>
        </w:rPr>
        <w:t>pojistné doby.</w:t>
      </w:r>
    </w:p>
    <w:p>
      <w:pPr>
        <w:pStyle w:val="Tlotextu"/>
        <w:spacing w:before="0" w:after="0"/>
        <w:ind w:right="1" w:hanging="0"/>
        <w:rPr>
          <w:sz w:val="18"/>
          <w:szCs w:val="18"/>
        </w:rPr>
      </w:pPr>
      <w:r>
        <w:rPr>
          <w:sz w:val="18"/>
          <w:szCs w:val="18"/>
        </w:rPr>
      </w:r>
    </w:p>
    <w:p>
      <w:pPr>
        <w:pStyle w:val="Tlotextu"/>
        <w:spacing w:before="0" w:after="0"/>
        <w:ind w:right="1" w:hanging="0"/>
        <w:rPr>
          <w:sz w:val="18"/>
          <w:szCs w:val="18"/>
        </w:rPr>
      </w:pPr>
      <w:r>
        <w:rPr>
          <w:sz w:val="18"/>
          <w:szCs w:val="18"/>
        </w:rPr>
        <w:t xml:space="preserve">Na škodné události, které nastanou v průběhu dodatečné </w:t>
      </w:r>
      <w:r>
        <w:rPr>
          <w:b/>
          <w:bCs/>
          <w:sz w:val="18"/>
          <w:szCs w:val="18"/>
        </w:rPr>
        <w:t>lhůty pro zjištění a oznámení nároků</w:t>
      </w:r>
      <w:r>
        <w:rPr>
          <w:sz w:val="18"/>
          <w:szCs w:val="18"/>
        </w:rPr>
        <w:t xml:space="preserve">, se vztahuje stejný </w:t>
      </w:r>
      <w:r>
        <w:rPr>
          <w:b/>
          <w:bCs/>
          <w:sz w:val="18"/>
          <w:szCs w:val="18"/>
        </w:rPr>
        <w:t>limit pojistného plnění</w:t>
      </w:r>
      <w:r>
        <w:rPr>
          <w:sz w:val="18"/>
          <w:szCs w:val="18"/>
        </w:rPr>
        <w:t xml:space="preserve">, který platil v okamžiku zániku nebo ukončení </w:t>
      </w:r>
      <w:r>
        <w:rPr>
          <w:b/>
          <w:bCs/>
          <w:sz w:val="18"/>
          <w:szCs w:val="18"/>
        </w:rPr>
        <w:t>pojistné smlouvy</w:t>
      </w:r>
      <w:r>
        <w:rPr>
          <w:sz w:val="18"/>
          <w:szCs w:val="18"/>
        </w:rPr>
        <w:t xml:space="preserve">. </w:t>
      </w:r>
    </w:p>
    <w:p>
      <w:pPr>
        <w:pStyle w:val="Tlotextu"/>
        <w:spacing w:before="0" w:after="0"/>
        <w:ind w:right="1" w:hanging="0"/>
        <w:rPr>
          <w:sz w:val="18"/>
          <w:szCs w:val="18"/>
        </w:rPr>
      </w:pPr>
      <w:r>
        <w:rPr>
          <w:sz w:val="18"/>
          <w:szCs w:val="18"/>
        </w:rPr>
      </w:r>
    </w:p>
    <w:p>
      <w:pPr>
        <w:pStyle w:val="Tlotextu"/>
        <w:spacing w:before="0" w:after="0"/>
        <w:ind w:right="1" w:hanging="0"/>
        <w:rPr>
          <w:sz w:val="18"/>
          <w:szCs w:val="18"/>
        </w:rPr>
      </w:pPr>
      <w:r>
        <w:rPr>
          <w:sz w:val="18"/>
          <w:szCs w:val="18"/>
        </w:rPr>
        <w:t xml:space="preserve">Pokud </w:t>
      </w:r>
      <w:r>
        <w:rPr>
          <w:b/>
          <w:bCs/>
          <w:sz w:val="18"/>
          <w:szCs w:val="18"/>
        </w:rPr>
        <w:t xml:space="preserve">pojistník </w:t>
      </w:r>
      <w:r>
        <w:rPr>
          <w:sz w:val="18"/>
          <w:szCs w:val="18"/>
        </w:rPr>
        <w:t xml:space="preserve">této možnosti nevyužije, pak platí ustanovení článku 6.1 pojistných podmínek v plném rozsahu. </w:t>
      </w:r>
    </w:p>
    <w:p>
      <w:pPr>
        <w:pStyle w:val="Normal"/>
        <w:spacing w:before="80" w:after="80"/>
        <w:rPr>
          <w:rFonts w:cs="Arial"/>
          <w:b/>
          <w:b/>
          <w:sz w:val="18"/>
          <w:szCs w:val="18"/>
        </w:rPr>
      </w:pPr>
      <w:r>
        <w:rPr>
          <w:rFonts w:cs="Arial"/>
          <w:b/>
          <w:sz w:val="18"/>
          <w:szCs w:val="18"/>
        </w:rPr>
      </w:r>
    </w:p>
    <w:p>
      <w:pPr>
        <w:pStyle w:val="ListParagraph"/>
        <w:numPr>
          <w:ilvl w:val="0"/>
          <w:numId w:val="4"/>
        </w:numPr>
        <w:spacing w:before="80" w:after="80"/>
        <w:contextualSpacing/>
        <w:rPr>
          <w:rFonts w:cs="Arial"/>
          <w:b/>
          <w:b/>
          <w:sz w:val="18"/>
          <w:szCs w:val="18"/>
        </w:rPr>
      </w:pPr>
      <w:r>
        <w:rPr>
          <w:rFonts w:cs="Arial"/>
          <w:b/>
          <w:sz w:val="18"/>
          <w:szCs w:val="18"/>
        </w:rPr>
        <w:t>Smluvní ujednání zvláštní povahy I.</w:t>
      </w:r>
    </w:p>
    <w:p>
      <w:pPr>
        <w:pStyle w:val="Normal"/>
        <w:spacing w:before="80" w:after="80"/>
        <w:rPr>
          <w:rFonts w:cs="Arial"/>
          <w:sz w:val="18"/>
          <w:szCs w:val="18"/>
        </w:rPr>
      </w:pPr>
      <w:r>
        <w:rPr>
          <w:rFonts w:cs="Arial"/>
          <w:sz w:val="18"/>
          <w:szCs w:val="18"/>
        </w:rPr>
      </w:r>
    </w:p>
    <w:p>
      <w:pPr>
        <w:pStyle w:val="Normal"/>
        <w:spacing w:before="80" w:after="80"/>
        <w:rPr>
          <w:rFonts w:cs="Arial"/>
          <w:sz w:val="18"/>
          <w:szCs w:val="18"/>
        </w:rPr>
      </w:pPr>
      <w:r>
        <w:rPr>
          <w:rFonts w:cs="Arial"/>
          <w:sz w:val="18"/>
          <w:szCs w:val="18"/>
        </w:rPr>
        <w:t xml:space="preserve">Pro vyloučení pochybností se ujednává, že datum retroaktivity není omezené. </w:t>
      </w:r>
    </w:p>
    <w:p>
      <w:pPr>
        <w:pStyle w:val="Normal"/>
        <w:rPr/>
      </w:pPr>
      <w:r>
        <w:rPr/>
      </w:r>
    </w:p>
    <w:p>
      <w:pPr>
        <w:pStyle w:val="ListParagraph"/>
        <w:numPr>
          <w:ilvl w:val="0"/>
          <w:numId w:val="5"/>
        </w:numPr>
        <w:spacing w:before="80" w:after="80"/>
        <w:contextualSpacing/>
        <w:rPr>
          <w:rFonts w:cs="Arial"/>
          <w:b/>
          <w:b/>
          <w:sz w:val="18"/>
          <w:szCs w:val="18"/>
        </w:rPr>
      </w:pPr>
      <w:r>
        <w:rPr>
          <w:rFonts w:cs="Arial"/>
          <w:b/>
          <w:sz w:val="18"/>
          <w:szCs w:val="18"/>
        </w:rPr>
        <w:t>Smluvní ujednání zvláštní povahy II.</w:t>
      </w:r>
    </w:p>
    <w:p>
      <w:pPr>
        <w:pStyle w:val="ListParagraph"/>
        <w:spacing w:before="80" w:after="80"/>
        <w:contextualSpacing/>
        <w:rPr>
          <w:rFonts w:cs="Arial"/>
          <w:b/>
          <w:b/>
          <w:sz w:val="18"/>
          <w:szCs w:val="18"/>
        </w:rPr>
      </w:pPr>
      <w:r>
        <w:rPr>
          <w:rFonts w:cs="Arial"/>
          <w:b/>
          <w:sz w:val="18"/>
          <w:szCs w:val="18"/>
        </w:rPr>
      </w:r>
    </w:p>
    <w:p>
      <w:pPr>
        <w:pStyle w:val="Normal"/>
        <w:rPr/>
      </w:pPr>
      <w:r>
        <w:rPr>
          <w:bCs/>
          <w:sz w:val="18"/>
          <w:szCs w:val="18"/>
          <w:lang w:eastAsia="en-US"/>
        </w:rPr>
        <w:t>Smluvní stany prohlašují, že tato smlouva nahrazuje smlouvu č. 2303 1890 20, která byla mezi nimi uzavřena dne 11.9.2020 na dobu neurčitou. Smluvní strany dále prohlašují, že ke dni uzavření této smlouvy nemají mezi sebou žádné sporné vztahy ani závazky a jejich vzájemná práva a závazky z předchozích smluvních vztahů jsou uzavřením této smlouvy ve smyslu ustanovení § 1903 zákona č. 89/2012 Sb., občanský zákoník v platném znění, narovnána.</w:t>
      </w:r>
    </w:p>
    <w:sectPr>
      <w:headerReference w:type="default" r:id="rId2"/>
      <w:headerReference w:type="first" r:id="rId3"/>
      <w:footerReference w:type="default" r:id="rId4"/>
      <w:type w:val="nextPage"/>
      <w:pgSz w:w="11906" w:h="16838"/>
      <w:pgMar w:left="1417" w:right="1417" w:header="851" w:top="1560" w:footer="557" w:bottom="1560"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G Times">
    <w:charset w:val="ee"/>
    <w:family w:val="roman"/>
    <w:pitch w:val="variable"/>
  </w:font>
  <w:font w:name="Tahoma">
    <w:charset w:val="ee"/>
    <w:family w:val="roman"/>
    <w:pitch w:val="variable"/>
  </w:font>
  <w:font w:name="Courier New">
    <w:charset w:val="ee"/>
    <w:family w:val="roman"/>
    <w:pitch w:val="variable"/>
  </w:font>
  <w:font w:name="Verdana">
    <w:charset w:val="ee"/>
    <w:family w:val="roman"/>
    <w:pitch w:val="variable"/>
  </w:font>
  <w:font w:name="Optima">
    <w:charset w:val="ee"/>
    <w:family w:val="roman"/>
    <w:pitch w:val="variable"/>
  </w:font>
  <w:font w:name="Free 3 of 9 Extended">
    <w:charset w:val="ee"/>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dpis"/>
      <w:jc w:val="left"/>
      <w:rPr>
        <w:rFonts w:ascii="Arial" w:hAnsi="Arial" w:cs="Arial"/>
        <w:color w:val="005984"/>
        <w:sz w:val="18"/>
        <w:szCs w:val="18"/>
        <w:lang w:val="cs-CZ"/>
      </w:rPr>
    </w:pPr>
    <w:r>
      <w:rPr>
        <w:rFonts w:cs="Arial" w:ascii="Arial" w:hAnsi="Arial"/>
        <w:sz w:val="18"/>
        <w:szCs w:val="18"/>
        <w:lang w:val="cs-CZ"/>
      </w:rPr>
      <w:t>Colonnade Insurance S.A. organizační složka</w:t>
    </w:r>
    <w:r>
      <w:rPr>
        <w:rFonts w:cs="Arial" w:ascii="Arial" w:hAnsi="Arial"/>
        <w:color w:val="005984"/>
        <w:sz w:val="18"/>
        <w:szCs w:val="18"/>
        <w:lang w:val="cs-CZ"/>
      </w:rPr>
      <w:t xml:space="preserve">               </w:t>
      <w:tab/>
      <w:tab/>
      <w:t xml:space="preserve">     </w:t>
    </w:r>
    <w:r>
      <w:rPr>
        <w:rFonts w:cs="Arial" w:ascii="Arial" w:hAnsi="Arial"/>
        <w:sz w:val="18"/>
        <w:szCs w:val="18"/>
      </w:rPr>
      <w:t>Pojistná smlouva  č.</w:t>
    </w:r>
    <w:r>
      <w:rPr>
        <w:rFonts w:cs="Arial" w:ascii="Arial" w:hAnsi="Arial"/>
        <w:sz w:val="18"/>
        <w:szCs w:val="18"/>
        <w:lang w:val="cs-CZ"/>
      </w:rPr>
      <w:t xml:space="preserve"> </w:t>
    </w:r>
    <w:r>
      <w:rPr>
        <w:rFonts w:cs="Arial" w:ascii="Arial" w:hAnsi="Arial"/>
        <w:sz w:val="18"/>
        <w:szCs w:val="18"/>
      </w:rPr>
      <w:t>2303 1890 21</w:t>
    </w:r>
  </w:p>
  <w:p>
    <w:pPr>
      <w:pStyle w:val="Address"/>
      <w:jc w:val="left"/>
      <w:rPr/>
    </w:pPr>
    <w:r>
      <w:rPr/>
      <w:t>Korespondenční adresa:  Na Pankráci 1683/127, 140 00 Praha 4</w:t>
    </w:r>
  </w:p>
  <w:p>
    <w:pPr>
      <w:pStyle w:val="Address"/>
      <w:jc w:val="both"/>
      <w:rPr/>
    </w:pPr>
    <w:r>
      <w:rPr/>
      <w:t xml:space="preserve">tel.: +420 234 108 311, </w:t>
    </w:r>
    <w:r>
      <w:rPr>
        <w:bCs/>
      </w:rPr>
      <w:t>fax: +420 234</w:t>
    </w:r>
    <w:r>
      <w:rPr/>
      <w:t xml:space="preserve"> 108 384</w:t>
    </w:r>
  </w:p>
  <w:p>
    <w:pPr>
      <w:pStyle w:val="Nadpis"/>
      <w:jc w:val="left"/>
      <w:rPr/>
    </w:pPr>
    <w:r>
      <w:rPr>
        <w:rFonts w:cs="Arial" w:ascii="Arial" w:hAnsi="Arial"/>
        <w:sz w:val="16"/>
        <w:szCs w:val="16"/>
        <w:lang w:val="en-US"/>
      </w:rPr>
      <w:t xml:space="preserve">e-mail: info@colonnade.cz , web: </w:t>
    </w:r>
    <w:hyperlink r:id="rId1">
      <w:r>
        <w:rPr>
          <w:rStyle w:val="Internetovodkaz"/>
          <w:rFonts w:cs="Arial" w:ascii="Arial" w:hAnsi="Arial"/>
          <w:sz w:val="16"/>
          <w:szCs w:val="16"/>
          <w:lang w:val="en-US"/>
        </w:rPr>
        <w:t>www.colonnade.cz</w:t>
      </w:r>
    </w:hyperlink>
    <w:r>
      <w:rPr>
        <w:rFonts w:cs="Arial" w:ascii="Arial" w:hAnsi="Arial"/>
        <w:sz w:val="16"/>
        <w:szCs w:val="16"/>
        <w:lang w:val="en-US"/>
      </w:rPr>
      <w:tab/>
      <w:tab/>
      <w:tab/>
      <w:tab/>
      <w:tab/>
    </w:r>
    <w:r>
      <w:rPr>
        <w:rFonts w:cs="Arial" w:ascii="Arial" w:hAnsi="Arial"/>
        <w:sz w:val="18"/>
        <w:szCs w:val="18"/>
      </w:rPr>
      <w:t xml:space="preserve">Strana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r>
      <w:rPr>
        <w:rFonts w:cs="Arial" w:ascii="Arial" w:hAnsi="Arial"/>
        <w:sz w:val="18"/>
        <w:szCs w:val="18"/>
      </w:rPr>
      <w:t xml:space="preserve"> (celkem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r>
      <w:rPr>
        <w:rFonts w:cs="Arial" w:ascii="Arial" w:hAnsi="Arial"/>
        <w:sz w:val="18"/>
        <w:szCs w:val="18"/>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left"/>
      <w:rPr>
        <w:rFonts w:ascii="Free 3 of 9 Extended" w:hAnsi="Free 3 of 9 Extended"/>
        <w:sz w:val="40"/>
      </w:rPr>
    </w:pPr>
    <w:bookmarkStart w:id="16" w:name="DOCUMENTID"/>
    <w:r>
      <w:rPr>
        <w:rFonts w:ascii="Free 3 of 9 Extended" w:hAnsi="Free 3 of 9 Extended"/>
        <w:sz w:val="40"/>
      </w:rPr>
      <w:t>*1439330551BCF8*</w:t>
    </w:r>
    <w:bookmarkEnd w:id="16"/>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67"/>
        </w:tabs>
        <w:ind w:left="567" w:hanging="567"/>
      </w:pPr>
      <w:rPr>
        <w:rFonts w:ascii="Wingdings" w:hAnsi="Wingdings" w:cs="Wingdings" w:hint="default"/>
      </w:rPr>
    </w:lvl>
    <w:lvl w:ilvl="1">
      <w:start w:val="1"/>
      <w:numFmt w:val="bullet"/>
      <w:lvlText w:val="o"/>
      <w:lvlJc w:val="left"/>
      <w:pPr>
        <w:tabs>
          <w:tab w:val="num" w:pos="873"/>
        </w:tabs>
        <w:ind w:left="873" w:hanging="360"/>
      </w:pPr>
      <w:rPr>
        <w:rFonts w:ascii="Courier New" w:hAnsi="Courier New" w:cs="Courier New" w:hint="default"/>
        <w:rFonts w:cs="Courier New"/>
      </w:rPr>
    </w:lvl>
    <w:lvl w:ilvl="2">
      <w:start w:val="1"/>
      <w:numFmt w:val="bullet"/>
      <w:lvlText w:val=""/>
      <w:lvlJc w:val="left"/>
      <w:pPr>
        <w:tabs>
          <w:tab w:val="num" w:pos="1593"/>
        </w:tabs>
        <w:ind w:left="1593" w:hanging="360"/>
      </w:pPr>
      <w:rPr>
        <w:rFonts w:ascii="Wingdings" w:hAnsi="Wingdings" w:cs="Wingdings" w:hint="default"/>
      </w:rPr>
    </w:lvl>
    <w:lvl w:ilvl="3">
      <w:start w:val="1"/>
      <w:numFmt w:val="bullet"/>
      <w:lvlText w:val=""/>
      <w:lvlJc w:val="left"/>
      <w:pPr>
        <w:tabs>
          <w:tab w:val="num" w:pos="2313"/>
        </w:tabs>
        <w:ind w:left="2313" w:hanging="360"/>
      </w:pPr>
      <w:rPr>
        <w:rFonts w:ascii="Symbol" w:hAnsi="Symbol" w:cs="Symbol" w:hint="default"/>
      </w:rPr>
    </w:lvl>
    <w:lvl w:ilvl="4">
      <w:start w:val="1"/>
      <w:numFmt w:val="bullet"/>
      <w:lvlText w:val="o"/>
      <w:lvlJc w:val="left"/>
      <w:pPr>
        <w:tabs>
          <w:tab w:val="num" w:pos="3033"/>
        </w:tabs>
        <w:ind w:left="3033" w:hanging="360"/>
      </w:pPr>
      <w:rPr>
        <w:rFonts w:ascii="Courier New" w:hAnsi="Courier New" w:cs="Courier New" w:hint="default"/>
        <w:rFonts w:cs="Courier New"/>
      </w:rPr>
    </w:lvl>
    <w:lvl w:ilvl="5">
      <w:start w:val="1"/>
      <w:numFmt w:val="bullet"/>
      <w:lvlText w:val=""/>
      <w:lvlJc w:val="left"/>
      <w:pPr>
        <w:tabs>
          <w:tab w:val="num" w:pos="3753"/>
        </w:tabs>
        <w:ind w:left="3753" w:hanging="360"/>
      </w:pPr>
      <w:rPr>
        <w:rFonts w:ascii="Wingdings" w:hAnsi="Wingdings" w:cs="Wingdings" w:hint="default"/>
      </w:rPr>
    </w:lvl>
    <w:lvl w:ilvl="6">
      <w:start w:val="1"/>
      <w:numFmt w:val="bullet"/>
      <w:lvlText w:val=""/>
      <w:lvlJc w:val="left"/>
      <w:pPr>
        <w:tabs>
          <w:tab w:val="num" w:pos="4473"/>
        </w:tabs>
        <w:ind w:left="4473" w:hanging="360"/>
      </w:pPr>
      <w:rPr>
        <w:rFonts w:ascii="Symbol" w:hAnsi="Symbol" w:cs="Symbol" w:hint="default"/>
      </w:rPr>
    </w:lvl>
    <w:lvl w:ilvl="7">
      <w:start w:val="1"/>
      <w:numFmt w:val="bullet"/>
      <w:lvlText w:val="o"/>
      <w:lvlJc w:val="left"/>
      <w:pPr>
        <w:tabs>
          <w:tab w:val="num" w:pos="5193"/>
        </w:tabs>
        <w:ind w:left="5193" w:hanging="360"/>
      </w:pPr>
      <w:rPr>
        <w:rFonts w:ascii="Courier New" w:hAnsi="Courier New" w:cs="Courier New" w:hint="default"/>
        <w:rFonts w:cs="Courier New"/>
      </w:rPr>
    </w:lvl>
    <w:lvl w:ilvl="8">
      <w:start w:val="1"/>
      <w:numFmt w:val="bullet"/>
      <w:lvlText w:val=""/>
      <w:lvlJc w:val="left"/>
      <w:pPr>
        <w:tabs>
          <w:tab w:val="num" w:pos="5913"/>
        </w:tabs>
        <w:ind w:left="5913" w:hanging="360"/>
      </w:pPr>
      <w:rPr>
        <w:rFonts w:ascii="Wingdings" w:hAnsi="Wingdings" w:cs="Wingdings" w:hint="default"/>
      </w:rPr>
    </w:lvl>
  </w:abstractNum>
  <w:abstractNum w:abstractNumId="2">
    <w:lvl w:ilvl="0">
      <w:start w:val="3"/>
      <w:numFmt w:val="bullet"/>
      <w:lvlText w:val="-"/>
      <w:lvlJc w:val="left"/>
      <w:pPr>
        <w:ind w:left="831" w:hanging="360"/>
      </w:pPr>
      <w:rPr>
        <w:rFonts w:ascii="Times New Roman" w:hAnsi="Times New Roman" w:cs="Times New Roman" w:hint="default"/>
      </w:rPr>
    </w:lvl>
    <w:lvl w:ilvl="1">
      <w:start w:val="1"/>
      <w:numFmt w:val="bullet"/>
      <w:lvlText w:val="o"/>
      <w:lvlJc w:val="left"/>
      <w:pPr>
        <w:ind w:left="1551" w:hanging="360"/>
      </w:pPr>
      <w:rPr>
        <w:rFonts w:ascii="Courier New" w:hAnsi="Courier New" w:cs="Courier New" w:hint="default"/>
        <w:rFonts w:cs="Courier New"/>
      </w:rPr>
    </w:lvl>
    <w:lvl w:ilvl="2">
      <w:start w:val="1"/>
      <w:numFmt w:val="bullet"/>
      <w:lvlText w:val=""/>
      <w:lvlJc w:val="left"/>
      <w:pPr>
        <w:ind w:left="2271" w:hanging="360"/>
      </w:pPr>
      <w:rPr>
        <w:rFonts w:ascii="Wingdings" w:hAnsi="Wingdings" w:cs="Wingdings" w:hint="default"/>
      </w:rPr>
    </w:lvl>
    <w:lvl w:ilvl="3">
      <w:start w:val="1"/>
      <w:numFmt w:val="bullet"/>
      <w:lvlText w:val=""/>
      <w:lvlJc w:val="left"/>
      <w:pPr>
        <w:ind w:left="2991" w:hanging="360"/>
      </w:pPr>
      <w:rPr>
        <w:rFonts w:ascii="Symbol" w:hAnsi="Symbol" w:cs="Symbol" w:hint="default"/>
      </w:rPr>
    </w:lvl>
    <w:lvl w:ilvl="4">
      <w:start w:val="1"/>
      <w:numFmt w:val="bullet"/>
      <w:lvlText w:val="o"/>
      <w:lvlJc w:val="left"/>
      <w:pPr>
        <w:ind w:left="3711" w:hanging="360"/>
      </w:pPr>
      <w:rPr>
        <w:rFonts w:ascii="Courier New" w:hAnsi="Courier New" w:cs="Courier New" w:hint="default"/>
        <w:rFonts w:cs="Courier New"/>
      </w:rPr>
    </w:lvl>
    <w:lvl w:ilvl="5">
      <w:start w:val="1"/>
      <w:numFmt w:val="bullet"/>
      <w:lvlText w:val=""/>
      <w:lvlJc w:val="left"/>
      <w:pPr>
        <w:ind w:left="4431" w:hanging="360"/>
      </w:pPr>
      <w:rPr>
        <w:rFonts w:ascii="Wingdings" w:hAnsi="Wingdings" w:cs="Wingdings" w:hint="default"/>
      </w:rPr>
    </w:lvl>
    <w:lvl w:ilvl="6">
      <w:start w:val="1"/>
      <w:numFmt w:val="bullet"/>
      <w:lvlText w:val=""/>
      <w:lvlJc w:val="left"/>
      <w:pPr>
        <w:ind w:left="5151" w:hanging="360"/>
      </w:pPr>
      <w:rPr>
        <w:rFonts w:ascii="Symbol" w:hAnsi="Symbol" w:cs="Symbol" w:hint="default"/>
      </w:rPr>
    </w:lvl>
    <w:lvl w:ilvl="7">
      <w:start w:val="1"/>
      <w:numFmt w:val="bullet"/>
      <w:lvlText w:val="o"/>
      <w:lvlJc w:val="left"/>
      <w:pPr>
        <w:ind w:left="5871" w:hanging="360"/>
      </w:pPr>
      <w:rPr>
        <w:rFonts w:ascii="Courier New" w:hAnsi="Courier New" w:cs="Courier New" w:hint="default"/>
        <w:rFonts w:cs="Courier New"/>
      </w:rPr>
    </w:lvl>
    <w:lvl w:ilvl="8">
      <w:start w:val="1"/>
      <w:numFmt w:val="bullet"/>
      <w:lvlText w:val=""/>
      <w:lvlJc w:val="left"/>
      <w:pPr>
        <w:ind w:left="6591" w:hanging="360"/>
      </w:pPr>
      <w:rPr>
        <w:rFonts w:ascii="Wingdings" w:hAnsi="Wingdings" w:cs="Wingdings" w:hint="default"/>
      </w:rPr>
    </w:lvl>
  </w:abstractNum>
  <w:abstractNum w:abstractNumId="3">
    <w:lvl w:ilvl="0">
      <w:start w:val="1"/>
      <w:numFmt w:val="lowerLetter"/>
      <w:lvlText w:val="(%1)"/>
      <w:lvlJc w:val="left"/>
      <w:pPr>
        <w:tabs>
          <w:tab w:val="num" w:pos="567"/>
        </w:tabs>
        <w:ind w:left="567" w:hanging="567"/>
      </w:pPr>
    </w:lvl>
    <w:lvl w:ilvl="1">
      <w:start w:val="1"/>
      <w:numFmt w:val="bullet"/>
      <w:lvlText w:val="o"/>
      <w:lvlJc w:val="left"/>
      <w:pPr>
        <w:tabs>
          <w:tab w:val="num" w:pos="873"/>
        </w:tabs>
        <w:ind w:left="873" w:hanging="360"/>
      </w:pPr>
      <w:rPr>
        <w:rFonts w:ascii="Courier New" w:hAnsi="Courier New" w:cs="Courier New" w:hint="default"/>
        <w:rFonts w:cs="Courier New"/>
      </w:rPr>
    </w:lvl>
    <w:lvl w:ilvl="2">
      <w:start w:val="1"/>
      <w:numFmt w:val="bullet"/>
      <w:lvlText w:val=""/>
      <w:lvlJc w:val="left"/>
      <w:pPr>
        <w:tabs>
          <w:tab w:val="num" w:pos="1593"/>
        </w:tabs>
        <w:ind w:left="1593" w:hanging="360"/>
      </w:pPr>
      <w:rPr>
        <w:rFonts w:ascii="Wingdings" w:hAnsi="Wingdings" w:cs="Wingdings" w:hint="default"/>
      </w:rPr>
    </w:lvl>
    <w:lvl w:ilvl="3">
      <w:start w:val="1"/>
      <w:numFmt w:val="bullet"/>
      <w:lvlText w:val=""/>
      <w:lvlJc w:val="left"/>
      <w:pPr>
        <w:tabs>
          <w:tab w:val="num" w:pos="2313"/>
        </w:tabs>
        <w:ind w:left="2313" w:hanging="360"/>
      </w:pPr>
      <w:rPr>
        <w:rFonts w:ascii="Symbol" w:hAnsi="Symbol" w:cs="Symbol" w:hint="default"/>
      </w:rPr>
    </w:lvl>
    <w:lvl w:ilvl="4">
      <w:start w:val="1"/>
      <w:numFmt w:val="bullet"/>
      <w:lvlText w:val="o"/>
      <w:lvlJc w:val="left"/>
      <w:pPr>
        <w:tabs>
          <w:tab w:val="num" w:pos="3033"/>
        </w:tabs>
        <w:ind w:left="3033" w:hanging="360"/>
      </w:pPr>
      <w:rPr>
        <w:rFonts w:ascii="Courier New" w:hAnsi="Courier New" w:cs="Courier New" w:hint="default"/>
        <w:rFonts w:cs="Courier New"/>
      </w:rPr>
    </w:lvl>
    <w:lvl w:ilvl="5">
      <w:start w:val="1"/>
      <w:numFmt w:val="bullet"/>
      <w:lvlText w:val=""/>
      <w:lvlJc w:val="left"/>
      <w:pPr>
        <w:tabs>
          <w:tab w:val="num" w:pos="3753"/>
        </w:tabs>
        <w:ind w:left="3753" w:hanging="360"/>
      </w:pPr>
      <w:rPr>
        <w:rFonts w:ascii="Wingdings" w:hAnsi="Wingdings" w:cs="Wingdings" w:hint="default"/>
      </w:rPr>
    </w:lvl>
    <w:lvl w:ilvl="6">
      <w:start w:val="1"/>
      <w:numFmt w:val="bullet"/>
      <w:lvlText w:val=""/>
      <w:lvlJc w:val="left"/>
      <w:pPr>
        <w:tabs>
          <w:tab w:val="num" w:pos="4473"/>
        </w:tabs>
        <w:ind w:left="4473" w:hanging="360"/>
      </w:pPr>
      <w:rPr>
        <w:rFonts w:ascii="Symbol" w:hAnsi="Symbol" w:cs="Symbol" w:hint="default"/>
      </w:rPr>
    </w:lvl>
    <w:lvl w:ilvl="7">
      <w:start w:val="1"/>
      <w:numFmt w:val="bullet"/>
      <w:lvlText w:val="o"/>
      <w:lvlJc w:val="left"/>
      <w:pPr>
        <w:tabs>
          <w:tab w:val="num" w:pos="5193"/>
        </w:tabs>
        <w:ind w:left="5193" w:hanging="360"/>
      </w:pPr>
      <w:rPr>
        <w:rFonts w:ascii="Courier New" w:hAnsi="Courier New" w:cs="Courier New" w:hint="default"/>
        <w:rFonts w:cs="Courier New"/>
      </w:rPr>
    </w:lvl>
    <w:lvl w:ilvl="8">
      <w:start w:val="1"/>
      <w:numFmt w:val="bullet"/>
      <w:lvlText w:val=""/>
      <w:lvlJc w:val="left"/>
      <w:pPr>
        <w:tabs>
          <w:tab w:val="num" w:pos="5913"/>
        </w:tabs>
        <w:ind w:left="5913"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cryptProviderType="rsaAES" w:cryptAlgorithmClass="hash" w:cryptAlgorithmType="typeAny" w:cryptAlgorithmSid="" w:cryptSpinCount="0" w:hash="" w:sal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jc w:val="both"/>
    </w:pPr>
    <w:rPr>
      <w:rFonts w:ascii="Arial" w:hAnsi="Arial" w:eastAsia="Times New Roman" w:cs="Times New Roman"/>
      <w:color w:val="auto"/>
      <w:kern w:val="0"/>
      <w:sz w:val="20"/>
      <w:szCs w:val="20"/>
      <w:lang w:val="cs-CZ" w:eastAsia="cs-CZ" w:bidi="ar-SA"/>
    </w:rPr>
  </w:style>
  <w:style w:type="paragraph" w:styleId="Nadpis1">
    <w:name w:val="Heading 1"/>
    <w:basedOn w:val="Normal"/>
    <w:next w:val="Normal"/>
    <w:qFormat/>
    <w:pPr>
      <w:keepNext w:val="true"/>
      <w:spacing w:before="0" w:after="240"/>
      <w:jc w:val="center"/>
      <w:outlineLvl w:val="0"/>
    </w:pPr>
    <w:rPr>
      <w:b/>
      <w:color w:val="000080"/>
      <w:sz w:val="32"/>
    </w:rPr>
  </w:style>
  <w:style w:type="paragraph" w:styleId="Nadpis2">
    <w:name w:val="Heading 2"/>
    <w:basedOn w:val="Normal"/>
    <w:next w:val="Normal"/>
    <w:qFormat/>
    <w:pPr>
      <w:keepNext w:val="true"/>
      <w:keepLines/>
      <w:spacing w:before="120" w:after="120"/>
      <w:jc w:val="center"/>
      <w:outlineLvl w:val="1"/>
    </w:pPr>
    <w:rPr>
      <w:b/>
      <w:caps/>
      <w:color w:val="000080"/>
      <w:sz w:val="24"/>
    </w:rPr>
  </w:style>
  <w:style w:type="paragraph" w:styleId="Nadpis3">
    <w:name w:val="Heading 3"/>
    <w:basedOn w:val="Normal"/>
    <w:next w:val="Normal"/>
    <w:qFormat/>
    <w:pPr>
      <w:keepNext w:val="true"/>
      <w:tabs>
        <w:tab w:val="clear" w:pos="720"/>
        <w:tab w:val="left" w:pos="4536" w:leader="none"/>
      </w:tabs>
      <w:ind w:right="-114" w:hanging="0"/>
      <w:jc w:val="center"/>
      <w:outlineLvl w:val="2"/>
    </w:pPr>
    <w:rPr>
      <w:b/>
      <w:color w:val="000080"/>
      <w:sz w:val="24"/>
    </w:rPr>
  </w:style>
  <w:style w:type="paragraph" w:styleId="Nadpis4">
    <w:name w:val="Heading 4"/>
    <w:basedOn w:val="Normal"/>
    <w:next w:val="Normal"/>
    <w:link w:val="Heading4Char"/>
    <w:qFormat/>
    <w:pPr>
      <w:keepNext w:val="true"/>
      <w:ind w:right="-114" w:hanging="0"/>
      <w:outlineLvl w:val="3"/>
    </w:pPr>
    <w:rPr>
      <w:b/>
      <w:color w:val="000080"/>
      <w:sz w:val="22"/>
    </w:rPr>
  </w:style>
  <w:style w:type="paragraph" w:styleId="Nadpis5">
    <w:name w:val="Heading 5"/>
    <w:basedOn w:val="Normal"/>
    <w:next w:val="Normal"/>
    <w:qFormat/>
    <w:pPr>
      <w:keepNext w:val="true"/>
      <w:spacing w:before="20" w:after="20"/>
      <w:outlineLvl w:val="4"/>
    </w:pPr>
    <w:rPr>
      <w:b/>
    </w:rPr>
  </w:style>
  <w:style w:type="paragraph" w:styleId="Nadpis6">
    <w:name w:val="Heading 6"/>
    <w:basedOn w:val="Normal"/>
    <w:next w:val="Normal"/>
    <w:qFormat/>
    <w:pPr>
      <w:keepNext w:val="true"/>
      <w:ind w:left="709" w:hanging="720"/>
      <w:jc w:val="center"/>
      <w:outlineLvl w:val="5"/>
    </w:pPr>
    <w:rPr>
      <w:b/>
    </w:rPr>
  </w:style>
  <w:style w:type="paragraph" w:styleId="Nadpis7">
    <w:name w:val="Heading 7"/>
    <w:basedOn w:val="Normal"/>
    <w:next w:val="Normal"/>
    <w:qFormat/>
    <w:pPr>
      <w:keepNext w:val="true"/>
      <w:tabs>
        <w:tab w:val="clear" w:pos="720"/>
        <w:tab w:val="left" w:pos="851" w:leader="none"/>
      </w:tabs>
      <w:spacing w:before="40" w:after="40"/>
      <w:ind w:right="-115" w:hanging="0"/>
      <w:outlineLvl w:val="6"/>
    </w:pPr>
    <w:rPr>
      <w:b/>
      <w:color w:val="000000"/>
      <w:lang w:eastAsia="en-US"/>
    </w:rPr>
  </w:style>
  <w:style w:type="paragraph" w:styleId="Nadpis8">
    <w:name w:val="Heading 8"/>
    <w:basedOn w:val="Normal"/>
    <w:next w:val="Normal"/>
    <w:qFormat/>
    <w:pPr>
      <w:keepNext w:val="true"/>
      <w:ind w:left="2835" w:right="-114" w:hanging="2835"/>
      <w:jc w:val="center"/>
      <w:outlineLvl w:val="7"/>
    </w:pPr>
    <w:rPr>
      <w:b/>
      <w:color w:val="000080"/>
      <w:sz w:val="24"/>
    </w:rPr>
  </w:style>
  <w:style w:type="paragraph" w:styleId="Nadpis9">
    <w:name w:val="Heading 9"/>
    <w:basedOn w:val="Normal"/>
    <w:next w:val="Normal"/>
    <w:qFormat/>
    <w:pPr>
      <w:keepNext w:val="true"/>
      <w:ind w:right="-114" w:hanging="0"/>
      <w:jc w:val="center"/>
      <w:outlineLvl w:val="8"/>
    </w:pPr>
    <w:rPr>
      <w:b/>
      <w:color w:val="000080"/>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Ukotvenpoznmkypodarou">
    <w:name w:val="Ukotvení poznámky pod čarou"/>
    <w:rPr>
      <w:vertAlign w:val="superscript"/>
    </w:rPr>
  </w:style>
  <w:style w:type="character" w:styleId="FootnoteCharacters">
    <w:name w:val="Footnote Characters"/>
    <w:semiHidden/>
    <w:qFormat/>
    <w:rPr>
      <w:vertAlign w:val="superscript"/>
    </w:rPr>
  </w:style>
  <w:style w:type="character" w:styleId="Strong">
    <w:name w:val="Strong"/>
    <w:qFormat/>
    <w:rPr>
      <w:b/>
    </w:rPr>
  </w:style>
  <w:style w:type="character" w:styleId="Platne1" w:customStyle="1">
    <w:name w:val="platne1"/>
    <w:basedOn w:val="DefaultParagraphFont"/>
    <w:qFormat/>
    <w:rsid w:val="00035903"/>
    <w:rPr/>
  </w:style>
  <w:style w:type="character" w:styleId="Internetovodkaz">
    <w:name w:val="Internetový odkaz"/>
    <w:rsid w:val="00c972e4"/>
    <w:rPr>
      <w:color w:val="0000FF"/>
      <w:u w:val="single"/>
    </w:rPr>
  </w:style>
  <w:style w:type="character" w:styleId="Platne" w:customStyle="1">
    <w:name w:val="platne"/>
    <w:basedOn w:val="DefaultParagraphFont"/>
    <w:qFormat/>
    <w:rsid w:val="00c6200b"/>
    <w:rPr/>
  </w:style>
  <w:style w:type="character" w:styleId="Heading4Char" w:customStyle="1">
    <w:name w:val="Heading 4 Char"/>
    <w:link w:val="Heading4"/>
    <w:qFormat/>
    <w:rsid w:val="006d2596"/>
    <w:rPr>
      <w:rFonts w:ascii="Arial" w:hAnsi="Arial"/>
      <w:b/>
      <w:color w:val="000080"/>
      <w:sz w:val="22"/>
      <w:lang w:val="cs-CZ" w:eastAsia="cs-CZ" w:bidi="ar-SA"/>
    </w:rPr>
  </w:style>
  <w:style w:type="character" w:styleId="Annotationreference">
    <w:name w:val="annotation reference"/>
    <w:semiHidden/>
    <w:qFormat/>
    <w:rsid w:val="004b3d2f"/>
    <w:rPr>
      <w:sz w:val="16"/>
      <w:szCs w:val="16"/>
    </w:rPr>
  </w:style>
  <w:style w:type="character" w:styleId="BodyTextChar" w:customStyle="1">
    <w:name w:val="Body Text Char"/>
    <w:link w:val="BodyText"/>
    <w:qFormat/>
    <w:rsid w:val="003a33c7"/>
    <w:rPr>
      <w:rFonts w:ascii="Arial" w:hAnsi="Arial"/>
    </w:rPr>
  </w:style>
  <w:style w:type="paragraph" w:styleId="Nadpis" w:customStyle="1">
    <w:name w:val="Nadpis"/>
    <w:basedOn w:val="Normal"/>
    <w:next w:val="Tlotextu"/>
    <w:qFormat/>
    <w:rsid w:val="00fe5dbb"/>
    <w:pPr/>
    <w:rPr>
      <w:rFonts w:ascii="CG Times" w:hAnsi="CG Times" w:cs="CG Times"/>
      <w:sz w:val="24"/>
      <w:szCs w:val="24"/>
      <w:lang w:val="en-GB"/>
    </w:rPr>
  </w:style>
  <w:style w:type="paragraph" w:styleId="Tlotextu">
    <w:name w:val="Body Text"/>
    <w:basedOn w:val="Normal"/>
    <w:link w:val="BodyTextChar"/>
    <w:pPr>
      <w:spacing w:before="60" w:after="6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odyText2">
    <w:name w:val="Body Text 2"/>
    <w:basedOn w:val="Normal"/>
    <w:qFormat/>
    <w:pPr>
      <w:pBdr>
        <w:top w:val="single" w:sz="6" w:space="1" w:color="000000"/>
        <w:left w:val="single" w:sz="6" w:space="1" w:color="000000"/>
        <w:right w:val="single" w:sz="6" w:space="1" w:color="000000"/>
      </w:pBdr>
      <w:shd w:val="pct10" w:color="auto" w:fill="auto"/>
      <w:tabs>
        <w:tab w:val="clear" w:pos="720"/>
        <w:tab w:val="left" w:pos="-720" w:leader="none"/>
      </w:tabs>
      <w:suppressAutoHyphens w:val="true"/>
      <w:ind w:right="-192" w:hanging="0"/>
    </w:pPr>
    <w:rPr>
      <w:rFonts w:ascii="Times New Roman" w:hAnsi="Times New Roman"/>
      <w:sz w:val="22"/>
    </w:rPr>
  </w:style>
  <w:style w:type="paragraph" w:styleId="Zhlavazpat">
    <w:name w:val="Záhlaví a zápatí"/>
    <w:basedOn w:val="Normal"/>
    <w:qFormat/>
    <w:pPr/>
    <w:rPr/>
  </w:style>
  <w:style w:type="paragraph" w:styleId="Zhlav">
    <w:name w:val="Header"/>
    <w:basedOn w:val="Normal"/>
    <w:pPr>
      <w:tabs>
        <w:tab w:val="clear" w:pos="720"/>
        <w:tab w:val="center" w:pos="4536" w:leader="none"/>
        <w:tab w:val="right" w:pos="9072" w:leader="none"/>
      </w:tabs>
    </w:pPr>
    <w:rPr>
      <w:sz w:val="16"/>
    </w:rPr>
  </w:style>
  <w:style w:type="paragraph" w:styleId="Zpat">
    <w:name w:val="Footer"/>
    <w:basedOn w:val="Normal"/>
    <w:pPr>
      <w:tabs>
        <w:tab w:val="clear" w:pos="720"/>
        <w:tab w:val="center" w:pos="4536" w:leader="none"/>
        <w:tab w:val="right" w:pos="9072" w:leader="none"/>
      </w:tabs>
    </w:pPr>
    <w:rPr>
      <w:sz w:val="16"/>
    </w:rPr>
  </w:style>
  <w:style w:type="paragraph" w:styleId="BodyText3">
    <w:name w:val="Body Text 3"/>
    <w:basedOn w:val="Normal"/>
    <w:qFormat/>
    <w:pPr/>
    <w:rPr>
      <w:rFonts w:ascii="Times New Roman" w:hAnsi="Times New Roman"/>
      <w:sz w:val="24"/>
    </w:rPr>
  </w:style>
  <w:style w:type="paragraph" w:styleId="BlockText">
    <w:name w:val="Block Text"/>
    <w:basedOn w:val="Normal"/>
    <w:qFormat/>
    <w:pPr>
      <w:tabs>
        <w:tab w:val="clear" w:pos="720"/>
        <w:tab w:val="left" w:pos="6491" w:leader="none"/>
      </w:tabs>
      <w:spacing w:before="40" w:after="0"/>
      <w:ind w:left="113" w:right="113" w:hanging="0"/>
    </w:pPr>
    <w:rPr>
      <w:sz w:val="16"/>
    </w:rPr>
  </w:style>
  <w:style w:type="paragraph" w:styleId="Headlevel2" w:customStyle="1">
    <w:name w:val="Headlevel2"/>
    <w:basedOn w:val="Normal"/>
    <w:autoRedefine/>
    <w:qFormat/>
    <w:pPr>
      <w:keepNext w:val="true"/>
      <w:spacing w:before="0" w:after="60"/>
      <w:ind w:right="-51" w:hanging="0"/>
    </w:pPr>
    <w:rPr>
      <w:u w:val="single"/>
    </w:rPr>
  </w:style>
  <w:style w:type="paragraph" w:styleId="Normalsmall" w:customStyle="1">
    <w:name w:val="normal small"/>
    <w:basedOn w:val="Normal"/>
    <w:qFormat/>
    <w:pPr/>
    <w:rPr>
      <w:sz w:val="16"/>
    </w:rPr>
  </w:style>
  <w:style w:type="paragraph" w:styleId="Indent1" w:customStyle="1">
    <w:name w:val="Indent1"/>
    <w:basedOn w:val="Normal"/>
    <w:qFormat/>
    <w:pPr>
      <w:tabs>
        <w:tab w:val="clear" w:pos="720"/>
        <w:tab w:val="left" w:pos="567" w:leader="none"/>
        <w:tab w:val="left" w:pos="1021" w:leader="none"/>
        <w:tab w:val="left" w:pos="1474" w:leader="none"/>
        <w:tab w:val="left" w:pos="1928" w:leader="none"/>
        <w:tab w:val="left" w:pos="2381" w:leader="none"/>
      </w:tabs>
      <w:ind w:left="567" w:hanging="567"/>
    </w:pPr>
    <w:rPr>
      <w:rFonts w:ascii="Times New Roman" w:hAnsi="Times New Roman"/>
      <w:lang w:val="en-GB"/>
    </w:rPr>
  </w:style>
  <w:style w:type="paragraph" w:styleId="Odsazentlatextu">
    <w:name w:val="Body Text Indent"/>
    <w:basedOn w:val="Normal"/>
    <w:pPr>
      <w:spacing w:lineRule="atLeast" w:line="240"/>
      <w:ind w:left="567" w:hanging="0"/>
    </w:pPr>
    <w:rPr/>
  </w:style>
  <w:style w:type="paragraph" w:styleId="Poznmkapodarou">
    <w:name w:val="Footnote Text"/>
    <w:basedOn w:val="Normal"/>
    <w:semiHidden/>
    <w:pPr/>
    <w:rPr>
      <w:sz w:val="16"/>
    </w:rPr>
  </w:style>
  <w:style w:type="paragraph" w:styleId="DocumentMap">
    <w:name w:val="Document Map"/>
    <w:basedOn w:val="Normal"/>
    <w:semiHidden/>
    <w:qFormat/>
    <w:rsid w:val="00c97e70"/>
    <w:pPr>
      <w:shd w:val="clear" w:color="auto" w:fill="000080"/>
    </w:pPr>
    <w:rPr>
      <w:rFonts w:ascii="Tahoma" w:hAnsi="Tahoma" w:cs="Tahoma"/>
    </w:rPr>
  </w:style>
  <w:style w:type="paragraph" w:styleId="BalloonText">
    <w:name w:val="Balloon Text"/>
    <w:basedOn w:val="Normal"/>
    <w:semiHidden/>
    <w:qFormat/>
    <w:rsid w:val="00ab3b05"/>
    <w:pPr/>
    <w:rPr>
      <w:rFonts w:ascii="Tahoma" w:hAnsi="Tahoma" w:cs="Tahoma"/>
      <w:sz w:val="16"/>
      <w:szCs w:val="16"/>
    </w:rPr>
  </w:style>
  <w:style w:type="paragraph" w:styleId="Annotationtext">
    <w:name w:val="annotation text"/>
    <w:basedOn w:val="Normal"/>
    <w:semiHidden/>
    <w:qFormat/>
    <w:rsid w:val="00035903"/>
    <w:pPr/>
    <w:rPr/>
  </w:style>
  <w:style w:type="paragraph" w:styleId="PlainText">
    <w:name w:val="Plain Text"/>
    <w:basedOn w:val="Normal"/>
    <w:qFormat/>
    <w:rsid w:val="00ca0671"/>
    <w:pPr>
      <w:jc w:val="left"/>
    </w:pPr>
    <w:rPr>
      <w:rFonts w:ascii="Courier New" w:hAnsi="Courier New" w:eastAsia="MS Mincho" w:cs="Courier New"/>
      <w:lang w:eastAsia="ja-JP"/>
    </w:rPr>
  </w:style>
  <w:style w:type="paragraph" w:styleId="Nadpis31" w:customStyle="1">
    <w:name w:val="nadpis 3"/>
    <w:basedOn w:val="Normal"/>
    <w:qFormat/>
    <w:rsid w:val="00291bbb"/>
    <w:pPr>
      <w:tabs>
        <w:tab w:val="clear" w:pos="720"/>
        <w:tab w:val="left" w:pos="2835" w:leader="none"/>
      </w:tabs>
      <w:jc w:val="left"/>
    </w:pPr>
    <w:rPr>
      <w:rFonts w:ascii="Times New Roman" w:hAnsi="Times New Roman"/>
      <w:b/>
      <w:caps/>
    </w:rPr>
  </w:style>
  <w:style w:type="paragraph" w:styleId="Default" w:customStyle="1">
    <w:name w:val="Default"/>
    <w:qFormat/>
    <w:rsid w:val="0010522d"/>
    <w:pPr>
      <w:widowControl/>
      <w:bidi w:val="0"/>
      <w:jc w:val="both"/>
    </w:pPr>
    <w:rPr>
      <w:rFonts w:ascii="Verdana" w:hAnsi="Verdana" w:eastAsia="Times New Roman" w:cs="Times New Roman"/>
      <w:color w:val="212120"/>
      <w:kern w:val="2"/>
      <w:sz w:val="24"/>
      <w:szCs w:val="24"/>
      <w:lang w:val="cs-CZ" w:eastAsia="cs-CZ" w:bidi="ar-SA"/>
    </w:rPr>
  </w:style>
  <w:style w:type="paragraph" w:styleId="Address" w:customStyle="1">
    <w:name w:val="Address"/>
    <w:basedOn w:val="Normal"/>
    <w:autoRedefine/>
    <w:qFormat/>
    <w:rsid w:val="000d768a"/>
    <w:pPr>
      <w:spacing w:before="20" w:after="20"/>
      <w:jc w:val="center"/>
    </w:pPr>
    <w:rPr>
      <w:rFonts w:cs="Arial"/>
      <w:sz w:val="16"/>
      <w:szCs w:val="16"/>
    </w:rPr>
  </w:style>
  <w:style w:type="paragraph" w:styleId="ABasic" w:customStyle="1">
    <w:name w:val="A-Basic"/>
    <w:basedOn w:val="Zpat"/>
    <w:qFormat/>
    <w:rsid w:val="00620135"/>
    <w:pPr>
      <w:tabs>
        <w:tab w:val="clear" w:pos="4536"/>
        <w:tab w:val="clear" w:pos="9072"/>
      </w:tabs>
      <w:jc w:val="left"/>
    </w:pPr>
    <w:rPr>
      <w:rFonts w:cs="Arial"/>
      <w:sz w:val="24"/>
      <w:szCs w:val="24"/>
    </w:rPr>
  </w:style>
  <w:style w:type="paragraph" w:styleId="Annotationsubject">
    <w:name w:val="annotation subject"/>
    <w:basedOn w:val="Annotationtext"/>
    <w:next w:val="Annotationtext"/>
    <w:semiHidden/>
    <w:qFormat/>
    <w:rsid w:val="004b3d2f"/>
    <w:pPr/>
    <w:rPr>
      <w:b/>
      <w:bCs/>
    </w:rPr>
  </w:style>
  <w:style w:type="paragraph" w:styleId="Indent11" w:customStyle="1">
    <w:name w:val="indent11"/>
    <w:basedOn w:val="Normal"/>
    <w:qFormat/>
    <w:rsid w:val="00167e36"/>
    <w:pPr>
      <w:spacing w:lineRule="atLeast" w:line="260" w:before="60" w:after="60"/>
      <w:ind w:left="567" w:right="142" w:hanging="567"/>
    </w:pPr>
    <w:rPr>
      <w:rFonts w:ascii="Optima" w:hAnsi="Optima"/>
      <w:sz w:val="22"/>
      <w:szCs w:val="22"/>
    </w:rPr>
  </w:style>
  <w:style w:type="paragraph" w:styleId="Revision">
    <w:name w:val="Revision"/>
    <w:uiPriority w:val="99"/>
    <w:semiHidden/>
    <w:qFormat/>
    <w:rsid w:val="00d015fb"/>
    <w:pPr>
      <w:widowControl/>
      <w:bidi w:val="0"/>
      <w:jc w:val="left"/>
    </w:pPr>
    <w:rPr>
      <w:rFonts w:ascii="Arial" w:hAnsi="Arial" w:eastAsia="Times New Roman" w:cs="Times New Roman"/>
      <w:color w:val="auto"/>
      <w:kern w:val="0"/>
      <w:sz w:val="20"/>
      <w:szCs w:val="20"/>
      <w:lang w:val="cs-CZ" w:eastAsia="cs-CZ" w:bidi="ar-SA"/>
    </w:rPr>
  </w:style>
  <w:style w:type="paragraph" w:styleId="ListParagraph">
    <w:name w:val="List Paragraph"/>
    <w:basedOn w:val="Normal"/>
    <w:uiPriority w:val="34"/>
    <w:qFormat/>
    <w:rsid w:val="000a1dd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4401c"/>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olonnade.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LibreOffice/6.3.2.2$Windows_X86_64 LibreOffice_project/98b30e735bda24bc04ab42594c85f7fd8be07b9c</Application>
  <Pages>5</Pages>
  <Words>1692</Words>
  <Characters>10078</Characters>
  <CharactersWithSpaces>11675</CharactersWithSpaces>
  <Paragraphs>138</Paragraphs>
  <Company>AIG CE&amp;CIS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2020-12-17T15:15:00Z</dcterms:created>
  <dc:creator>Marko Antic</dc:creator>
  <dc:description/>
  <dc:language>cs-CZ</dc:language>
  <cp:lastModifiedBy/>
  <cp:lastPrinted>2020-08-25T07:49:00Z</cp:lastPrinted>
  <dcterms:modified xsi:type="dcterms:W3CDTF">2021-01-04T15:53:13Z</dcterms:modified>
  <cp:revision>5</cp:revision>
  <dc:subject/>
  <dc:title>Policy_VZOR_300907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AIG CE&amp;CIS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