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6A" w:rsidRDefault="00655C0A">
      <w:pPr>
        <w:pStyle w:val="Nadpis1"/>
        <w:jc w:val="center"/>
        <w:rPr>
          <w:b/>
          <w:bCs/>
        </w:rPr>
      </w:pPr>
      <w:bookmarkStart w:id="0" w:name="_GoBack"/>
      <w:bookmarkEnd w:id="0"/>
      <w:r>
        <w:rPr>
          <w:b/>
          <w:bCs/>
        </w:rPr>
        <w:t>SMLOUVA</w:t>
      </w:r>
    </w:p>
    <w:p w:rsidR="00D5456A" w:rsidRDefault="00655C0A">
      <w:pPr>
        <w:pStyle w:val="Nadpis1"/>
        <w:jc w:val="center"/>
        <w:rPr>
          <w:b/>
          <w:bCs/>
        </w:rPr>
      </w:pPr>
      <w:r>
        <w:rPr>
          <w:b/>
          <w:bCs/>
        </w:rPr>
        <w:t>č. TN_20161101_MP</w:t>
      </w:r>
    </w:p>
    <w:p w:rsidR="00D5456A" w:rsidRDefault="00D5456A">
      <w:pPr>
        <w:rPr>
          <w:b/>
          <w:bCs/>
        </w:rPr>
      </w:pPr>
    </w:p>
    <w:p w:rsidR="00D5456A" w:rsidRDefault="00655C0A">
      <w:pPr>
        <w:pStyle w:val="Zkladntext"/>
        <w:jc w:val="center"/>
        <w:rPr>
          <w:b/>
          <w:bCs/>
        </w:rPr>
      </w:pPr>
      <w:r>
        <w:rPr>
          <w:b/>
          <w:bCs/>
        </w:rPr>
        <w:t xml:space="preserve">o poskytování služeb elektronických komunikací </w:t>
      </w:r>
    </w:p>
    <w:p w:rsidR="00D5456A" w:rsidRDefault="00655C0A">
      <w:pPr>
        <w:pStyle w:val="Zkladntext"/>
        <w:jc w:val="center"/>
        <w:rPr>
          <w:b/>
          <w:bCs/>
        </w:rPr>
      </w:pPr>
      <w:r>
        <w:rPr>
          <w:b/>
          <w:bCs/>
        </w:rPr>
        <w:t>– pronájem přenosové sítě</w:t>
      </w:r>
    </w:p>
    <w:p w:rsidR="00D5456A" w:rsidRDefault="00D5456A">
      <w:pPr>
        <w:rPr>
          <w:b/>
          <w:bCs/>
        </w:rPr>
      </w:pPr>
    </w:p>
    <w:p w:rsidR="00D5456A" w:rsidRDefault="00D5456A"/>
    <w:p w:rsidR="00D5456A" w:rsidRDefault="00655C0A">
      <w:pPr>
        <w:rPr>
          <w:b/>
          <w:bCs/>
          <w:sz w:val="28"/>
        </w:rPr>
      </w:pPr>
      <w:r>
        <w:rPr>
          <w:b/>
          <w:bCs/>
          <w:sz w:val="28"/>
        </w:rPr>
        <w:t xml:space="preserve">Statutární město Teplice – Městská policie </w:t>
      </w:r>
    </w:p>
    <w:p w:rsidR="00D5456A" w:rsidRDefault="00655C0A">
      <w:pPr>
        <w:rPr>
          <w:bCs/>
        </w:rPr>
      </w:pPr>
      <w:r>
        <w:rPr>
          <w:bCs/>
        </w:rPr>
        <w:t>se sídlem: Dvorská 195, 415 01 Teplice</w:t>
      </w:r>
    </w:p>
    <w:p w:rsidR="00D5456A" w:rsidRDefault="00655C0A">
      <w:r>
        <w:t>Zastoupená:  ředitelem MP Teplice Ing. Michalem Chrdlem</w:t>
      </w:r>
    </w:p>
    <w:p w:rsidR="00D5456A" w:rsidRDefault="00655C0A">
      <w:pPr>
        <w:rPr>
          <w:highlight w:val="yellow"/>
        </w:rPr>
      </w:pPr>
      <w:r>
        <w:t xml:space="preserve">IČO:  </w:t>
      </w:r>
      <w:r>
        <w:tab/>
      </w:r>
      <w:r>
        <w:tab/>
        <w:t xml:space="preserve">266621   </w:t>
      </w:r>
    </w:p>
    <w:p w:rsidR="00D5456A" w:rsidRDefault="00D5456A">
      <w:pPr>
        <w:rPr>
          <w:bCs/>
          <w:highlight w:val="yellow"/>
        </w:rPr>
      </w:pPr>
    </w:p>
    <w:p w:rsidR="00D5456A" w:rsidRDefault="00655C0A">
      <w:r>
        <w:t>(dále jen Odběratel)</w:t>
      </w:r>
    </w:p>
    <w:p w:rsidR="00D5456A" w:rsidRDefault="00D5456A"/>
    <w:p w:rsidR="00D5456A" w:rsidRDefault="00655C0A">
      <w:r>
        <w:t>a</w:t>
      </w:r>
    </w:p>
    <w:p w:rsidR="00D5456A" w:rsidRDefault="00D5456A"/>
    <w:p w:rsidR="00D5456A" w:rsidRDefault="00655C0A">
      <w:pPr>
        <w:rPr>
          <w:b/>
          <w:bCs/>
          <w:sz w:val="28"/>
        </w:rPr>
      </w:pPr>
      <w:r>
        <w:rPr>
          <w:b/>
          <w:bCs/>
          <w:sz w:val="28"/>
        </w:rPr>
        <w:t>TepNet a.s.</w:t>
      </w:r>
    </w:p>
    <w:p w:rsidR="00D5456A" w:rsidRDefault="00655C0A">
      <w:pPr>
        <w:rPr>
          <w:sz w:val="20"/>
          <w:szCs w:val="20"/>
        </w:rPr>
      </w:pPr>
      <w:r>
        <w:rPr>
          <w:sz w:val="20"/>
          <w:szCs w:val="20"/>
        </w:rPr>
        <w:t>zapsána v obchodním rejstříku vedeném u Krajského soudu v Ústí nad Labem, oddíl B, vložka 1345</w:t>
      </w:r>
    </w:p>
    <w:p w:rsidR="00D5456A" w:rsidRDefault="00D5456A">
      <w:pPr>
        <w:rPr>
          <w:sz w:val="20"/>
          <w:szCs w:val="20"/>
        </w:rPr>
      </w:pPr>
    </w:p>
    <w:p w:rsidR="00D5456A" w:rsidRDefault="00655C0A">
      <w:r>
        <w:t>zastoupená:</w:t>
      </w:r>
      <w:r>
        <w:tab/>
      </w:r>
      <w:r>
        <w:tab/>
        <w:t>Stanislav Veigert, statutární ředitel</w:t>
      </w:r>
    </w:p>
    <w:p w:rsidR="00D5456A" w:rsidRDefault="00D5456A"/>
    <w:p w:rsidR="00D5456A" w:rsidRDefault="00655C0A">
      <w:r>
        <w:t>sídlo:</w:t>
      </w:r>
      <w:r>
        <w:tab/>
      </w:r>
      <w:r>
        <w:tab/>
        <w:t xml:space="preserve"> </w:t>
      </w:r>
      <w:r>
        <w:tab/>
        <w:t>Revoluční 2876, 415 01 Teplice</w:t>
      </w:r>
    </w:p>
    <w:p w:rsidR="00D5456A" w:rsidRDefault="00655C0A">
      <w:r>
        <w:t>IČO:</w:t>
      </w:r>
      <w:r>
        <w:tab/>
      </w:r>
      <w:r>
        <w:tab/>
      </w:r>
      <w:r>
        <w:tab/>
        <w:t>25425153</w:t>
      </w:r>
    </w:p>
    <w:p w:rsidR="00D5456A" w:rsidRDefault="00655C0A">
      <w:r>
        <w:t>DIČ:</w:t>
      </w:r>
      <w:r>
        <w:tab/>
      </w:r>
      <w:r>
        <w:tab/>
      </w:r>
      <w:r>
        <w:tab/>
        <w:t>CZ25425153</w:t>
      </w:r>
    </w:p>
    <w:p w:rsidR="00D5456A" w:rsidRDefault="00655C0A">
      <w:r>
        <w:t>bankovní spojení:</w:t>
      </w:r>
      <w:r>
        <w:tab/>
      </w:r>
      <w:r w:rsidR="00EC3410">
        <w:t>XXX</w:t>
      </w:r>
    </w:p>
    <w:p w:rsidR="00D5456A" w:rsidRDefault="00655C0A">
      <w:r>
        <w:t>číslo účtu:</w:t>
      </w:r>
      <w:r>
        <w:tab/>
      </w:r>
      <w:r>
        <w:tab/>
      </w:r>
      <w:r w:rsidR="00EC3410">
        <w:t>XXX</w:t>
      </w:r>
    </w:p>
    <w:p w:rsidR="00D5456A" w:rsidRDefault="00D5456A"/>
    <w:p w:rsidR="00D5456A" w:rsidRDefault="00655C0A">
      <w:r>
        <w:t>(dále jen Poskytovatel)</w:t>
      </w:r>
    </w:p>
    <w:p w:rsidR="00D5456A" w:rsidRDefault="00D5456A">
      <w:pPr>
        <w:rPr>
          <w:b/>
          <w:bCs/>
        </w:rPr>
      </w:pPr>
    </w:p>
    <w:p w:rsidR="00D5456A" w:rsidRDefault="00655C0A">
      <w:pPr>
        <w:rPr>
          <w:b/>
          <w:bCs/>
        </w:rPr>
      </w:pPr>
      <w:r>
        <w:rPr>
          <w:b/>
          <w:bCs/>
        </w:rPr>
        <w:t>uzavírají dnešního dne tuto</w:t>
      </w:r>
    </w:p>
    <w:p w:rsidR="00D5456A" w:rsidRDefault="00D5456A">
      <w:pPr>
        <w:rPr>
          <w:b/>
          <w:bCs/>
        </w:rPr>
      </w:pPr>
    </w:p>
    <w:p w:rsidR="00D5456A" w:rsidRDefault="00655C0A">
      <w:pPr>
        <w:jc w:val="center"/>
      </w:pPr>
      <w:r>
        <w:rPr>
          <w:b/>
          <w:bCs/>
        </w:rPr>
        <w:t xml:space="preserve">s m l o u v u    o    p o s k y t o v á n í    s l u ž e b   </w:t>
      </w:r>
    </w:p>
    <w:p w:rsidR="00D5456A" w:rsidRDefault="00655C0A">
      <w:pPr>
        <w:jc w:val="center"/>
        <w:rPr>
          <w:b/>
          <w:bCs/>
        </w:rPr>
      </w:pPr>
      <w:r>
        <w:rPr>
          <w:b/>
          <w:bCs/>
        </w:rPr>
        <w:t>e l e k t r o n i c k ý c h   k o m u n i k a c í</w:t>
      </w:r>
    </w:p>
    <w:p w:rsidR="00D5456A" w:rsidRDefault="00D5456A">
      <w:pPr>
        <w:rPr>
          <w:b/>
          <w:bCs/>
        </w:rPr>
      </w:pPr>
    </w:p>
    <w:p w:rsidR="00D5456A" w:rsidRDefault="00D5456A"/>
    <w:p w:rsidR="00D5456A" w:rsidRDefault="00655C0A">
      <w:pPr>
        <w:pStyle w:val="Nadpis2"/>
        <w:numPr>
          <w:ilvl w:val="0"/>
          <w:numId w:val="7"/>
        </w:numPr>
        <w:rPr>
          <w:sz w:val="32"/>
        </w:rPr>
      </w:pPr>
      <w:r>
        <w:rPr>
          <w:sz w:val="32"/>
        </w:rPr>
        <w:t>Předmět smlouvy</w:t>
      </w:r>
    </w:p>
    <w:p w:rsidR="00D5456A" w:rsidRDefault="00D5456A">
      <w:pPr>
        <w:rPr>
          <w:sz w:val="32"/>
        </w:rPr>
      </w:pPr>
    </w:p>
    <w:p w:rsidR="00D5456A" w:rsidRDefault="00655C0A">
      <w:pPr>
        <w:jc w:val="both"/>
      </w:pPr>
      <w:r>
        <w:t>1.1. Poskytovatel se na základě této smlouvy o poskytování služeb elektronických komunikací - o pronájmu přenosové sítě (dále jen „smlouva“), zavazuje poskytnout Odběrateli následující služby:</w:t>
      </w:r>
    </w:p>
    <w:p w:rsidR="00D5456A" w:rsidRDefault="00D5456A">
      <w:pPr>
        <w:jc w:val="both"/>
      </w:pPr>
    </w:p>
    <w:p w:rsidR="00D5456A" w:rsidRDefault="00655C0A">
      <w:pPr>
        <w:ind w:left="1134"/>
        <w:rPr>
          <w:rFonts w:cs="Arial"/>
          <w:b/>
        </w:rPr>
      </w:pPr>
      <w:r>
        <w:rPr>
          <w:rFonts w:cs="Arial"/>
          <w:b/>
        </w:rPr>
        <w:t>Pronájem přenosové sítě o rychlosti 800 MB s 50 napojovacími body s rozhraním Ethernet 1 GB,</w:t>
      </w:r>
    </w:p>
    <w:p w:rsidR="00D5456A" w:rsidRDefault="00D5456A">
      <w:pPr>
        <w:ind w:left="1134"/>
        <w:rPr>
          <w:rFonts w:cs="Arial"/>
          <w:b/>
        </w:rPr>
      </w:pPr>
    </w:p>
    <w:p w:rsidR="00D5456A" w:rsidRDefault="00655C0A">
      <w:pPr>
        <w:ind w:left="709"/>
        <w:jc w:val="both"/>
        <w:rPr>
          <w:bCs/>
        </w:rPr>
      </w:pPr>
      <w:r>
        <w:rPr>
          <w:bCs/>
        </w:rPr>
        <w:t>Adresy napojovacích bodů jsou uvedeny v Příloze č. 1, která je nedílnou součástí této smlouvy.</w:t>
      </w:r>
    </w:p>
    <w:p w:rsidR="00D5456A" w:rsidRDefault="00655C0A">
      <w:pPr>
        <w:ind w:left="709" w:hanging="709"/>
        <w:jc w:val="both"/>
        <w:rPr>
          <w:bCs/>
        </w:rPr>
      </w:pPr>
      <w:r>
        <w:rPr>
          <w:bCs/>
        </w:rPr>
        <w:tab/>
      </w:r>
    </w:p>
    <w:p w:rsidR="00D5456A" w:rsidRDefault="00655C0A">
      <w:pPr>
        <w:ind w:left="709" w:hanging="709"/>
        <w:jc w:val="both"/>
      </w:pPr>
      <w:r>
        <w:rPr>
          <w:bCs/>
        </w:rPr>
        <w:t>1.2. Odběratel zaplatí za služby řádně poskytované Poskytovatelem dále dohodnutou cenu.</w:t>
      </w:r>
    </w:p>
    <w:p w:rsidR="00D5456A" w:rsidRDefault="00D5456A">
      <w:pPr>
        <w:rPr>
          <w:bCs/>
        </w:rPr>
      </w:pPr>
    </w:p>
    <w:p w:rsidR="00D5456A" w:rsidRDefault="00D5456A">
      <w:pPr>
        <w:rPr>
          <w:bCs/>
        </w:rPr>
      </w:pPr>
    </w:p>
    <w:p w:rsidR="00D5456A" w:rsidRDefault="00655C0A">
      <w:pPr>
        <w:pStyle w:val="Nadpis2"/>
        <w:numPr>
          <w:ilvl w:val="2"/>
          <w:numId w:val="4"/>
        </w:numPr>
        <w:ind w:left="360"/>
        <w:rPr>
          <w:sz w:val="32"/>
        </w:rPr>
      </w:pPr>
      <w:r>
        <w:rPr>
          <w:sz w:val="32"/>
        </w:rPr>
        <w:t>Cena</w:t>
      </w:r>
    </w:p>
    <w:p w:rsidR="00D5456A" w:rsidRDefault="00D5456A">
      <w:pPr>
        <w:rPr>
          <w:bCs/>
          <w:sz w:val="32"/>
        </w:rPr>
      </w:pPr>
    </w:p>
    <w:p w:rsidR="00D5456A" w:rsidRDefault="00655C0A">
      <w:pPr>
        <w:ind w:left="709" w:hanging="709"/>
        <w:jc w:val="both"/>
        <w:rPr>
          <w:bCs/>
        </w:rPr>
      </w:pPr>
      <w:r>
        <w:rPr>
          <w:bCs/>
        </w:rPr>
        <w:t xml:space="preserve">2.1. </w:t>
      </w:r>
      <w:r>
        <w:rPr>
          <w:bCs/>
        </w:rPr>
        <w:tab/>
        <w:t>Měsíční poplatek za poskytovanou službu údržby a zajištění provozu pevných okruhů dle bodu 1.1. činí Kč 26.750,- bez DPH. V případě poskytování služeb po dobu kratší než jeden měsíc bude poplatek v alikvotní výši počtu dní, za kterou jsou služby poskytovány.</w:t>
      </w:r>
    </w:p>
    <w:p w:rsidR="00D5456A" w:rsidRDefault="00D5456A">
      <w:pPr>
        <w:ind w:left="567" w:hanging="567"/>
        <w:jc w:val="both"/>
        <w:rPr>
          <w:bCs/>
        </w:rPr>
      </w:pPr>
    </w:p>
    <w:p w:rsidR="00D5456A" w:rsidRDefault="00655C0A">
      <w:pPr>
        <w:ind w:left="709" w:hanging="709"/>
        <w:jc w:val="both"/>
      </w:pPr>
      <w:r>
        <w:rPr>
          <w:bCs/>
        </w:rPr>
        <w:t xml:space="preserve">2.2.    </w:t>
      </w:r>
      <w:r>
        <w:rPr>
          <w:bCs/>
        </w:rPr>
        <w:tab/>
        <w:t>DPH bude připočteno k ceně dle platné právní úpravy.</w:t>
      </w:r>
    </w:p>
    <w:p w:rsidR="00D5456A" w:rsidRDefault="00D5456A">
      <w:pPr>
        <w:ind w:left="567" w:hanging="567"/>
        <w:jc w:val="both"/>
        <w:rPr>
          <w:bCs/>
        </w:rPr>
      </w:pPr>
    </w:p>
    <w:p w:rsidR="00D5456A" w:rsidRDefault="00655C0A">
      <w:pPr>
        <w:ind w:left="709" w:hanging="709"/>
        <w:jc w:val="both"/>
      </w:pPr>
      <w:r>
        <w:rPr>
          <w:bCs/>
        </w:rPr>
        <w:t xml:space="preserve">2.3.   </w:t>
      </w:r>
      <w:r>
        <w:rPr>
          <w:bCs/>
        </w:rPr>
        <w:tab/>
        <w:t>V případě dodatečného rozšiřování kapacity pevných okruhů bude výše platby upravena dodatkem ke smlouvě.</w:t>
      </w:r>
    </w:p>
    <w:p w:rsidR="00D5456A" w:rsidRDefault="00D5456A">
      <w:pPr>
        <w:ind w:left="567" w:hanging="567"/>
        <w:jc w:val="both"/>
        <w:rPr>
          <w:bCs/>
        </w:rPr>
      </w:pPr>
    </w:p>
    <w:p w:rsidR="00D5456A" w:rsidRDefault="00655C0A">
      <w:pPr>
        <w:ind w:left="709" w:hanging="709"/>
        <w:jc w:val="both"/>
        <w:rPr>
          <w:b/>
          <w:sz w:val="32"/>
          <w:u w:val="single"/>
        </w:rPr>
      </w:pPr>
      <w:r>
        <w:rPr>
          <w:bCs/>
        </w:rPr>
        <w:t xml:space="preserve">2.4. </w:t>
      </w:r>
      <w:r>
        <w:rPr>
          <w:bCs/>
        </w:rPr>
        <w:tab/>
        <w:t xml:space="preserve">Výše uvedené ceny jsou konečné a neměnné. Poskytovatel nebude požadovat po Odběrateli úhradu žádných dalších poplatků či nákladů, ledaže se smluvní strany dohodnou jinak. </w:t>
      </w:r>
    </w:p>
    <w:p w:rsidR="00D5456A" w:rsidRDefault="00D5456A">
      <w:pPr>
        <w:rPr>
          <w:b/>
          <w:sz w:val="32"/>
          <w:u w:val="single"/>
        </w:rPr>
      </w:pPr>
    </w:p>
    <w:p w:rsidR="00D5456A" w:rsidRDefault="00655C0A">
      <w:pPr>
        <w:pStyle w:val="Nadpis2"/>
        <w:numPr>
          <w:ilvl w:val="2"/>
          <w:numId w:val="4"/>
        </w:numPr>
        <w:ind w:left="360"/>
        <w:rPr>
          <w:sz w:val="32"/>
        </w:rPr>
      </w:pPr>
      <w:r>
        <w:rPr>
          <w:sz w:val="32"/>
        </w:rPr>
        <w:t>Platební podmínky</w:t>
      </w:r>
    </w:p>
    <w:p w:rsidR="00D5456A" w:rsidRDefault="00D5456A">
      <w:pPr>
        <w:rPr>
          <w:b/>
          <w:sz w:val="32"/>
        </w:rPr>
      </w:pPr>
    </w:p>
    <w:p w:rsidR="00D5456A" w:rsidRPr="00655C0A" w:rsidRDefault="00655C0A">
      <w:pPr>
        <w:numPr>
          <w:ilvl w:val="1"/>
          <w:numId w:val="12"/>
        </w:numPr>
        <w:tabs>
          <w:tab w:val="left" w:pos="709"/>
        </w:tabs>
        <w:ind w:left="709" w:hanging="709"/>
        <w:jc w:val="both"/>
      </w:pPr>
      <w:r w:rsidRPr="00655C0A">
        <w:t>První faktura bude obsahovat měsíční poplatek za poskytovanou službu dle bodu 2.1. v alikvotní výši počtu kalendářních dnů od vzniku zahájení do konce prvního kalendářního měsíce poskytování služeb. Faktura bude vystavena Poskytovatelem Odběrateli nejdříve k datu účinnosti smlouvy.</w:t>
      </w:r>
    </w:p>
    <w:p w:rsidR="00D5456A" w:rsidRPr="00655C0A" w:rsidRDefault="00D5456A">
      <w:pPr>
        <w:tabs>
          <w:tab w:val="left" w:pos="540"/>
        </w:tabs>
        <w:jc w:val="both"/>
      </w:pPr>
    </w:p>
    <w:p w:rsidR="00D5456A" w:rsidRPr="00655C0A" w:rsidRDefault="00655C0A">
      <w:pPr>
        <w:numPr>
          <w:ilvl w:val="1"/>
          <w:numId w:val="12"/>
        </w:numPr>
        <w:tabs>
          <w:tab w:val="left" w:pos="709"/>
        </w:tabs>
        <w:ind w:left="709" w:hanging="709"/>
        <w:jc w:val="both"/>
      </w:pPr>
      <w:r w:rsidRPr="00655C0A">
        <w:t>Měsíční poplatky za poskytovanou službu bude hradit Odběratel na účet Poskytovatele na základě faktur, vystavených vždy k poslednímu kalendářnímu dni v měsíci, v němž byly služby poskytovány. Faktury budou doručovány Poskytovatelem v listinné podobě na adresu Odběratele.  Splatnost faktur je 21 dnů ode dne jejího doručení Odběrateli.</w:t>
      </w:r>
    </w:p>
    <w:p w:rsidR="00D5456A" w:rsidRPr="00655C0A" w:rsidRDefault="00D5456A">
      <w:pPr>
        <w:ind w:left="540"/>
        <w:jc w:val="both"/>
      </w:pPr>
    </w:p>
    <w:p w:rsidR="00655C0A" w:rsidRPr="00655C0A" w:rsidRDefault="00655C0A" w:rsidP="00655C0A">
      <w:pPr>
        <w:numPr>
          <w:ilvl w:val="1"/>
          <w:numId w:val="12"/>
        </w:numPr>
        <w:tabs>
          <w:tab w:val="left" w:pos="709"/>
        </w:tabs>
        <w:ind w:left="709" w:hanging="709"/>
        <w:jc w:val="both"/>
      </w:pPr>
      <w:r w:rsidRPr="00655C0A">
        <w:t xml:space="preserve">Smluvní strany sjednávají bezhotovostní platby Odběratele na účet Poskytovatele uvedený v záhlaví této smlouvy. V případě prodlení s úhradou dle daňového dokladu se smluvní strany dohodly na úroku z prodlení ve výši stanovené obecně závazným předpisem. </w:t>
      </w:r>
    </w:p>
    <w:p w:rsidR="00D5456A" w:rsidRPr="00655C0A" w:rsidRDefault="00655C0A">
      <w:pPr>
        <w:numPr>
          <w:ilvl w:val="1"/>
          <w:numId w:val="12"/>
        </w:numPr>
        <w:tabs>
          <w:tab w:val="left" w:pos="709"/>
        </w:tabs>
        <w:jc w:val="both"/>
      </w:pPr>
      <w:r w:rsidRPr="00655C0A">
        <w:t xml:space="preserve">V případě, že faktura bude obsahovat chybné údaje nebo bude neúplná je Odběratel povinen ji vrátit Poskytovateli v době splatnosti s vyznačením vady a pro novou bezvadnou fakturu platí nová doba splatnosti. </w:t>
      </w:r>
    </w:p>
    <w:p w:rsidR="00D5456A" w:rsidRDefault="00D5456A">
      <w:pPr>
        <w:pStyle w:val="Odstavecseseznamem"/>
      </w:pPr>
    </w:p>
    <w:p w:rsidR="00D5456A" w:rsidRDefault="00655C0A">
      <w:pPr>
        <w:numPr>
          <w:ilvl w:val="1"/>
          <w:numId w:val="12"/>
        </w:numPr>
        <w:tabs>
          <w:tab w:val="left" w:pos="709"/>
        </w:tabs>
        <w:ind w:left="709" w:hanging="709"/>
        <w:jc w:val="both"/>
      </w:pPr>
      <w:r>
        <w:t xml:space="preserve">Poskytovatel prohlašuje, že ke dni uzavření této smlouvy není veden v registru nespolehlivých plátců daně z přidané hodnoty a ani mu nejsou známy žádné skutečnosti, na základě kterých by s ním mohl správce daně zahájit řízení o prohlášení za nespolehlivého plátce daně podle § 106a zákona č. 235/2004 Sb., o dani z přidané hodnoty („ZDPH“). Odběratel, jako příjemce zdanitelného plnění od Poskytovatele, je oprávněn uhradit za Poskytovatele daň z přidané hodnoty z takového zdanitelného plnění na účet správce daně v souladu s § 109 ZDPH, pokud je v okamžiku uskutečnění zdanitelného plnění o Poskytovateli zveřejněna způsobem umožňujícím dálkový přístup skutečnost, že je nespolehlivým plátcem. Toto ustanovení platí shodně (i) pro případ, kdy má být sjednaná cena podle této smlouvy poskytnuta zcela nebo zčásti bezhotovostním převodem na účet vedený poskytovatelem platebních služeb </w:t>
      </w:r>
      <w:r>
        <w:lastRenderedPageBreak/>
        <w:t xml:space="preserve">mimo tuzemsko, (ii) pro případ, kdy má být cena poskytnuta zcela nebo zčásti bezhotovostním převodem na jiný účet než účet Poskytovatele, který je správcem daně zveřejněn způsobem umožňujícím dálkový přístup, (iii) pro ostatní případy ručení příjemce podle § 109 ZDPH. Uhrazení daně z přidané hodnoty na účet správce daně za Poskytovatele, bude považováno v tomto rozsahu za splnění závazku Odběratele uhradit sjednanou cenu Poskytovateli. V případě, že správce daně zahájí s Poskytovatelem řízení o prohlášení za nespolehlivého plátce daně podle ZDPH, je Poskytovatel povinen tuto skutečnost oznámit Odběrateli, a to nejpozději do 5 dnů ode dne, kdy se o zahájení řízení dozvěděl nebo měl dozvědět. Za porušení této povinnosti zaplatí Poskytovatel Odběrateli smluvní pokutu ve výši 100 000,- Kč. V případě, že správce daně rozhodl o prohlášení Poskytovatele za nespolehlivého plátce daně podle ZDPH, je Poskytovatel povinen tuto skutečnost nejpozději do 3 dnů oznámit Odběrateli. </w:t>
      </w:r>
    </w:p>
    <w:p w:rsidR="00D5456A" w:rsidRDefault="00D5456A">
      <w:pPr>
        <w:ind w:left="1068"/>
        <w:rPr>
          <w:bCs/>
          <w:u w:val="single"/>
        </w:rPr>
      </w:pPr>
    </w:p>
    <w:p w:rsidR="00D5456A" w:rsidRDefault="00655C0A">
      <w:pPr>
        <w:pStyle w:val="Nadpis2"/>
        <w:numPr>
          <w:ilvl w:val="0"/>
          <w:numId w:val="3"/>
        </w:numPr>
        <w:rPr>
          <w:sz w:val="32"/>
        </w:rPr>
      </w:pPr>
      <w:r>
        <w:rPr>
          <w:sz w:val="32"/>
        </w:rPr>
        <w:t>Rozsah služeb</w:t>
      </w:r>
    </w:p>
    <w:p w:rsidR="00D5456A" w:rsidRDefault="00D5456A">
      <w:pPr>
        <w:rPr>
          <w:sz w:val="32"/>
        </w:rPr>
      </w:pPr>
    </w:p>
    <w:p w:rsidR="00D5456A" w:rsidRDefault="00655C0A">
      <w:pPr>
        <w:numPr>
          <w:ilvl w:val="1"/>
          <w:numId w:val="3"/>
        </w:numPr>
        <w:tabs>
          <w:tab w:val="left" w:pos="709"/>
        </w:tabs>
        <w:ind w:left="709" w:hanging="709"/>
      </w:pPr>
      <w:r>
        <w:rPr>
          <w:bCs/>
        </w:rPr>
        <w:t>Zařízení bude umístěno a provozováno na adresách uvedených v Příloze č. 1 této smlouvy.</w:t>
      </w:r>
    </w:p>
    <w:p w:rsidR="00D5456A" w:rsidRDefault="00D5456A">
      <w:pPr>
        <w:ind w:left="360"/>
        <w:rPr>
          <w:bCs/>
        </w:rPr>
      </w:pPr>
    </w:p>
    <w:p w:rsidR="00D5456A" w:rsidRDefault="00655C0A">
      <w:pPr>
        <w:numPr>
          <w:ilvl w:val="1"/>
          <w:numId w:val="3"/>
        </w:numPr>
        <w:tabs>
          <w:tab w:val="left" w:pos="709"/>
        </w:tabs>
        <w:ind w:left="709" w:hanging="709"/>
        <w:rPr>
          <w:bCs/>
        </w:rPr>
      </w:pPr>
      <w:r>
        <w:rPr>
          <w:bCs/>
        </w:rPr>
        <w:t>Služby Poskytovatele zahrnuté v podmínkách této smlouvy:</w:t>
      </w:r>
    </w:p>
    <w:p w:rsidR="00D5456A" w:rsidRDefault="00655C0A">
      <w:pPr>
        <w:numPr>
          <w:ilvl w:val="0"/>
          <w:numId w:val="13"/>
        </w:numPr>
        <w:rPr>
          <w:bCs/>
        </w:rPr>
      </w:pPr>
      <w:r>
        <w:rPr>
          <w:bCs/>
        </w:rPr>
        <w:t>zajištění provozu zařízení,</w:t>
      </w:r>
    </w:p>
    <w:p w:rsidR="00D5456A" w:rsidRDefault="00655C0A">
      <w:pPr>
        <w:numPr>
          <w:ilvl w:val="0"/>
          <w:numId w:val="13"/>
        </w:numPr>
        <w:rPr>
          <w:bCs/>
        </w:rPr>
      </w:pPr>
      <w:r>
        <w:rPr>
          <w:bCs/>
        </w:rPr>
        <w:t>odstraňování poruch na zařízení,</w:t>
      </w:r>
    </w:p>
    <w:p w:rsidR="00D5456A" w:rsidRDefault="00655C0A">
      <w:pPr>
        <w:numPr>
          <w:ilvl w:val="0"/>
          <w:numId w:val="13"/>
        </w:numPr>
        <w:rPr>
          <w:bCs/>
        </w:rPr>
      </w:pPr>
      <w:r>
        <w:rPr>
          <w:bCs/>
        </w:rPr>
        <w:t>údržba zařízení.</w:t>
      </w:r>
    </w:p>
    <w:p w:rsidR="00D5456A" w:rsidRDefault="00D5456A">
      <w:pPr>
        <w:ind w:left="708"/>
        <w:rPr>
          <w:bCs/>
        </w:rPr>
      </w:pPr>
    </w:p>
    <w:p w:rsidR="00D5456A" w:rsidRDefault="00655C0A">
      <w:pPr>
        <w:numPr>
          <w:ilvl w:val="1"/>
          <w:numId w:val="3"/>
        </w:numPr>
        <w:tabs>
          <w:tab w:val="left" w:pos="709"/>
        </w:tabs>
        <w:ind w:left="709" w:hanging="709"/>
      </w:pPr>
      <w:r>
        <w:rPr>
          <w:bCs/>
        </w:rPr>
        <w:t>Ze služeb ve znění bodu 4.2. jsou vyloučeny:</w:t>
      </w:r>
    </w:p>
    <w:p w:rsidR="00D5456A" w:rsidRDefault="00655C0A">
      <w:pPr>
        <w:numPr>
          <w:ilvl w:val="0"/>
          <w:numId w:val="9"/>
        </w:numPr>
        <w:jc w:val="both"/>
        <w:rPr>
          <w:bCs/>
        </w:rPr>
      </w:pPr>
      <w:r>
        <w:rPr>
          <w:bCs/>
        </w:rPr>
        <w:t>poruchy zařízení Odběratele,</w:t>
      </w:r>
    </w:p>
    <w:p w:rsidR="00D5456A" w:rsidRDefault="00655C0A">
      <w:pPr>
        <w:numPr>
          <w:ilvl w:val="0"/>
          <w:numId w:val="9"/>
        </w:numPr>
        <w:jc w:val="both"/>
        <w:rPr>
          <w:bCs/>
        </w:rPr>
      </w:pPr>
      <w:r>
        <w:rPr>
          <w:bCs/>
        </w:rPr>
        <w:t xml:space="preserve">ztráty, zničení či poškození zařízení Odběratele nebo jeho části </w:t>
      </w:r>
    </w:p>
    <w:p w:rsidR="00D5456A" w:rsidRDefault="00655C0A">
      <w:pPr>
        <w:numPr>
          <w:ilvl w:val="0"/>
          <w:numId w:val="9"/>
        </w:numPr>
        <w:jc w:val="both"/>
        <w:rPr>
          <w:bCs/>
        </w:rPr>
      </w:pPr>
      <w:r>
        <w:rPr>
          <w:bCs/>
        </w:rPr>
        <w:t>datové sítě Odběratele.</w:t>
      </w:r>
    </w:p>
    <w:p w:rsidR="00D5456A" w:rsidRDefault="00D5456A">
      <w:pPr>
        <w:ind w:left="708"/>
        <w:jc w:val="both"/>
        <w:rPr>
          <w:bCs/>
        </w:rPr>
      </w:pPr>
    </w:p>
    <w:p w:rsidR="00D5456A" w:rsidRDefault="00655C0A">
      <w:pPr>
        <w:numPr>
          <w:ilvl w:val="1"/>
          <w:numId w:val="3"/>
        </w:numPr>
        <w:tabs>
          <w:tab w:val="left" w:pos="709"/>
        </w:tabs>
        <w:ind w:left="709" w:hanging="709"/>
        <w:jc w:val="both"/>
      </w:pPr>
      <w:r>
        <w:rPr>
          <w:bCs/>
        </w:rPr>
        <w:t xml:space="preserve">Činnosti uvedené v bodě 4.3. budou poskytovány </w:t>
      </w:r>
      <w:r w:rsidRPr="00655C0A">
        <w:rPr>
          <w:bCs/>
        </w:rPr>
        <w:t xml:space="preserve">na základě zvláštních dohod </w:t>
      </w:r>
      <w:r>
        <w:rPr>
          <w:bCs/>
        </w:rPr>
        <w:t>a účtovány samostatně dle obvyklých cen náhradních dílů platných v době odstraňování závady a hodinové sazby práce techniků Poskytovatele.</w:t>
      </w:r>
    </w:p>
    <w:p w:rsidR="00D5456A" w:rsidRDefault="00D5456A">
      <w:pPr>
        <w:tabs>
          <w:tab w:val="left" w:pos="360"/>
        </w:tabs>
        <w:ind w:left="360" w:hanging="360"/>
        <w:rPr>
          <w:bCs/>
        </w:rPr>
      </w:pPr>
    </w:p>
    <w:p w:rsidR="00D5456A" w:rsidRDefault="00D5456A">
      <w:pPr>
        <w:tabs>
          <w:tab w:val="left" w:pos="360"/>
        </w:tabs>
        <w:ind w:left="360" w:hanging="360"/>
        <w:rPr>
          <w:bCs/>
        </w:rPr>
      </w:pPr>
    </w:p>
    <w:p w:rsidR="00D5456A" w:rsidRDefault="00655C0A">
      <w:pPr>
        <w:pStyle w:val="Nadpis2"/>
        <w:numPr>
          <w:ilvl w:val="0"/>
          <w:numId w:val="3"/>
        </w:numPr>
        <w:rPr>
          <w:sz w:val="32"/>
        </w:rPr>
      </w:pPr>
      <w:r>
        <w:rPr>
          <w:sz w:val="32"/>
        </w:rPr>
        <w:t>Povinnosti Odběratele</w:t>
      </w:r>
    </w:p>
    <w:p w:rsidR="00D5456A" w:rsidRDefault="00D5456A">
      <w:pPr>
        <w:ind w:left="540" w:hanging="540"/>
        <w:rPr>
          <w:b/>
          <w:sz w:val="32"/>
        </w:rPr>
      </w:pPr>
    </w:p>
    <w:p w:rsidR="00D5456A" w:rsidRDefault="00655C0A">
      <w:pPr>
        <w:pStyle w:val="Zkladntextodsazen2"/>
        <w:ind w:left="709" w:hanging="709"/>
      </w:pPr>
      <w:r>
        <w:t xml:space="preserve">5.1. </w:t>
      </w:r>
      <w:r>
        <w:tab/>
        <w:t>Odběratel po zjištění poruchy provozu služby neprodleně nahlásí telefonicky v době od 8:00 hod. do 16:30 hod. na tel. č.</w:t>
      </w:r>
      <w:r w:rsidR="00401263">
        <w:t xml:space="preserve"> XXXXXXXXX</w:t>
      </w:r>
      <w:r>
        <w:t xml:space="preserve">, v mimopracovní době na tel. č. </w:t>
      </w:r>
      <w:r w:rsidR="00401263">
        <w:t>XXXXXXXXX</w:t>
      </w:r>
      <w:r>
        <w:t xml:space="preserve">, Poskytovateli zjištěnou závadu na zařízení. Při nahlášení poruchy je třeba uvést její bezprostřední projev, počátek projevu a popsat další důležité okolnosti, při nichž k závadě došlo nebo dochází. Nahlašovat poruchy zařízení za Odběratele jsou oprávněni pracovníci:   </w:t>
      </w:r>
    </w:p>
    <w:p w:rsidR="00D5456A" w:rsidRDefault="00655C0A">
      <w:r>
        <w:tab/>
      </w:r>
      <w:r>
        <w:tab/>
      </w:r>
      <w:r>
        <w:tab/>
      </w:r>
      <w:r>
        <w:tab/>
      </w:r>
      <w:r w:rsidR="00401263">
        <w:rPr>
          <w:bCs/>
        </w:rPr>
        <w:t>XXX, tel.  XXXXXXXXX</w:t>
      </w:r>
    </w:p>
    <w:p w:rsidR="00D5456A" w:rsidRDefault="00655C0A">
      <w:r>
        <w:rPr>
          <w:bCs/>
        </w:rPr>
        <w:t xml:space="preserve">                        </w:t>
      </w:r>
      <w:r w:rsidR="00401263">
        <w:rPr>
          <w:bCs/>
        </w:rPr>
        <w:t xml:space="preserve">           </w:t>
      </w:r>
      <w:r w:rsidR="00401263">
        <w:rPr>
          <w:bCs/>
        </w:rPr>
        <w:tab/>
      </w:r>
      <w:r w:rsidR="00401263">
        <w:rPr>
          <w:bCs/>
        </w:rPr>
        <w:tab/>
        <w:t>XXX, tel.  XXXXXXXXX, mobil  XXXXXXXXX</w:t>
      </w:r>
    </w:p>
    <w:p w:rsidR="00D5456A" w:rsidRDefault="00655C0A">
      <w:r>
        <w:rPr>
          <w:bCs/>
        </w:rPr>
        <w:t xml:space="preserve">                          </w:t>
      </w:r>
      <w:r>
        <w:rPr>
          <w:bCs/>
        </w:rPr>
        <w:tab/>
      </w:r>
      <w:r>
        <w:rPr>
          <w:bCs/>
        </w:rPr>
        <w:tab/>
        <w:t>Michal Chrdle</w:t>
      </w:r>
      <w:r w:rsidR="00401263">
        <w:rPr>
          <w:bCs/>
        </w:rPr>
        <w:t>, XXX</w:t>
      </w:r>
      <w:r>
        <w:rPr>
          <w:bCs/>
        </w:rPr>
        <w:t xml:space="preserve">       </w:t>
      </w:r>
    </w:p>
    <w:p w:rsidR="00D5456A" w:rsidRDefault="00655C0A">
      <w:pPr>
        <w:pStyle w:val="Zkladntextodsazen2"/>
        <w:ind w:left="540"/>
      </w:pPr>
      <w:r>
        <w:tab/>
      </w:r>
    </w:p>
    <w:p w:rsidR="00D5456A" w:rsidRDefault="00655C0A">
      <w:pPr>
        <w:pStyle w:val="Zkladntextodsazen2"/>
        <w:ind w:left="709" w:hanging="709"/>
      </w:pPr>
      <w:r>
        <w:tab/>
        <w:t>Odběratel je oprávněn na základě písemného oznámení zaslaného Poskytovateli okruh oprávněných pracovníků měnit.</w:t>
      </w:r>
      <w:r>
        <w:tab/>
      </w:r>
    </w:p>
    <w:p w:rsidR="00D5456A" w:rsidRDefault="00655C0A">
      <w:pPr>
        <w:pStyle w:val="Zkladntextodsazen2"/>
        <w:ind w:left="540"/>
        <w:rPr>
          <w:bCs w:val="0"/>
        </w:rPr>
      </w:pPr>
      <w:r>
        <w:tab/>
      </w:r>
      <w:r>
        <w:tab/>
      </w:r>
      <w:r>
        <w:tab/>
      </w:r>
    </w:p>
    <w:p w:rsidR="00D5456A" w:rsidRDefault="00655C0A">
      <w:pPr>
        <w:pStyle w:val="Zkladntextodsazen2"/>
        <w:ind w:left="709" w:hanging="709"/>
      </w:pPr>
      <w:r>
        <w:lastRenderedPageBreak/>
        <w:t xml:space="preserve">5.2. </w:t>
      </w:r>
      <w:r>
        <w:tab/>
        <w:t>Odběratel je po předchozí žádosti povinen umožnit technikům Poskytovatele přístup k zařízení i mimo obvyklou pracovní dobu Odběratele.</w:t>
      </w:r>
    </w:p>
    <w:p w:rsidR="00D5456A" w:rsidRDefault="00D5456A">
      <w:pPr>
        <w:pStyle w:val="Zkladntextodsazen2"/>
        <w:ind w:left="540"/>
      </w:pPr>
    </w:p>
    <w:p w:rsidR="00D5456A" w:rsidRDefault="00655C0A">
      <w:pPr>
        <w:pStyle w:val="Zkladntextodsazen2"/>
        <w:ind w:left="709" w:hanging="709"/>
      </w:pPr>
      <w:r>
        <w:t>5.3.</w:t>
      </w:r>
      <w:r>
        <w:tab/>
        <w:t>Odběratel se zavazuje zajistit Poskytovateli součinnost potřebnou pro plnění předmětu uzavřené smlouvy, v rozsahu v jakém byla mezi stranami dohodnuta v této smlouvě.</w:t>
      </w:r>
    </w:p>
    <w:p w:rsidR="00D5456A" w:rsidRDefault="00D5456A">
      <w:pPr>
        <w:ind w:left="540" w:hanging="540"/>
        <w:rPr>
          <w:bCs/>
        </w:rPr>
      </w:pPr>
    </w:p>
    <w:p w:rsidR="00D5456A" w:rsidRDefault="00D5456A">
      <w:pPr>
        <w:ind w:left="540" w:hanging="540"/>
        <w:rPr>
          <w:bCs/>
        </w:rPr>
      </w:pPr>
    </w:p>
    <w:p w:rsidR="00D5456A" w:rsidRDefault="00655C0A">
      <w:pPr>
        <w:pStyle w:val="Nadpis2"/>
        <w:numPr>
          <w:ilvl w:val="0"/>
          <w:numId w:val="3"/>
        </w:numPr>
        <w:rPr>
          <w:sz w:val="32"/>
        </w:rPr>
      </w:pPr>
      <w:r>
        <w:rPr>
          <w:sz w:val="32"/>
        </w:rPr>
        <w:t>Povinnosti Poskytovatele</w:t>
      </w:r>
    </w:p>
    <w:p w:rsidR="00D5456A" w:rsidRDefault="00D5456A">
      <w:pPr>
        <w:ind w:left="540" w:hanging="540"/>
        <w:rPr>
          <w:sz w:val="32"/>
        </w:rPr>
      </w:pPr>
    </w:p>
    <w:p w:rsidR="00D5456A" w:rsidRDefault="00655C0A">
      <w:pPr>
        <w:pStyle w:val="Zkladntextodsazen"/>
        <w:ind w:left="709" w:hanging="709"/>
      </w:pPr>
      <w:r>
        <w:t xml:space="preserve">6.1. </w:t>
      </w:r>
      <w:r>
        <w:tab/>
        <w:t>Poskytovatel je povinen zajistit provoz zařízení tak, aby výpadek provozu zařízení způsobený jeho poruchou (dále jen výpadek) byl:</w:t>
      </w:r>
    </w:p>
    <w:p w:rsidR="00D5456A" w:rsidRDefault="00655C0A">
      <w:pPr>
        <w:numPr>
          <w:ilvl w:val="0"/>
          <w:numId w:val="10"/>
        </w:numPr>
        <w:spacing w:before="60"/>
        <w:ind w:left="1276" w:hanging="539"/>
      </w:pPr>
      <w:r>
        <w:rPr>
          <w:bCs/>
        </w:rPr>
        <w:t xml:space="preserve">v pracovních dnech od 8.00 hod. do 16:30 hod. odstraněn v co nejkratší možné době, nejdéle však do 48 hodin od zjištění nebo nahlášení závady zařízení, </w:t>
      </w:r>
    </w:p>
    <w:p w:rsidR="00D5456A" w:rsidRDefault="00655C0A">
      <w:pPr>
        <w:numPr>
          <w:ilvl w:val="0"/>
          <w:numId w:val="10"/>
        </w:numPr>
        <w:tabs>
          <w:tab w:val="left" w:pos="720"/>
        </w:tabs>
        <w:ind w:left="1276" w:hanging="540"/>
        <w:rPr>
          <w:bCs/>
        </w:rPr>
      </w:pPr>
      <w:r>
        <w:rPr>
          <w:bCs/>
        </w:rPr>
        <w:t>v pracovních dnech od 16.30 hod. do 8.00 hod. a v mimopracovních dnech odstraněn v co nejkratší možné době, nejdéle však do 48 hodin od zjištění nebo nahlášení závady zařízení.</w:t>
      </w:r>
    </w:p>
    <w:p w:rsidR="00D5456A" w:rsidRDefault="00D5456A">
      <w:pPr>
        <w:ind w:left="540" w:hanging="540"/>
        <w:rPr>
          <w:bCs/>
        </w:rPr>
      </w:pPr>
    </w:p>
    <w:p w:rsidR="00D5456A" w:rsidRDefault="00655C0A">
      <w:pPr>
        <w:ind w:left="709" w:hanging="709"/>
        <w:jc w:val="both"/>
      </w:pPr>
      <w:r>
        <w:t xml:space="preserve">6.2. </w:t>
      </w:r>
      <w:r>
        <w:tab/>
        <w:t xml:space="preserve">Poskytovatel nese z hlediska poskytování služeb zodpovědnost za funkčnost a kvalitu sítě a zajistí, že funkčnost sítě Poskytovatele (dostupnost provozovaného pevného okruhu) bude vyšší než 99,6 % měsíčně. Do této dostupnosti se nezapočítává nezbytně nutná doba výpadků způsobených zásahem vyšší moci nebo omezením služeb na příkaz oprávněných státních orgánů v době mimořádných opatření či jiného důležitého obecného zájmu. </w:t>
      </w:r>
    </w:p>
    <w:p w:rsidR="00D5456A" w:rsidRDefault="00D5456A">
      <w:pPr>
        <w:pStyle w:val="Zkladntextodsazen2"/>
        <w:ind w:left="0" w:firstLine="0"/>
        <w:rPr>
          <w:bCs w:val="0"/>
        </w:rPr>
      </w:pPr>
    </w:p>
    <w:p w:rsidR="00D5456A" w:rsidRDefault="00655C0A">
      <w:pPr>
        <w:pStyle w:val="Zkladntextodsazen2"/>
        <w:ind w:left="709" w:hanging="709"/>
      </w:pPr>
      <w:r>
        <w:t xml:space="preserve">6.3. </w:t>
      </w:r>
      <w:r>
        <w:tab/>
        <w:t xml:space="preserve">Pokud je příčina závady mimo zařízení a takového druhu, že ji proto nelze běžným zásahem odstranit (poškození hrubým násilím, požárem, promočením, zásahem blesku apod.), odstraní ji Poskytovatel na vlastní náklady co nejrychleji tak, jak to okolnosti a rozsah poškození umožní. Znění odstavce 6.1. a 6.2. zde neplatí, ledaže závadu způsobil Poskytovatel. </w:t>
      </w:r>
    </w:p>
    <w:p w:rsidR="00D5456A" w:rsidRDefault="00D5456A">
      <w:pPr>
        <w:pStyle w:val="Zkladntextodsazen2"/>
        <w:ind w:left="709" w:hanging="709"/>
      </w:pPr>
    </w:p>
    <w:p w:rsidR="00D5456A" w:rsidRDefault="00655C0A">
      <w:pPr>
        <w:pStyle w:val="Zkladntextodsazen2"/>
        <w:ind w:left="709" w:hanging="709"/>
      </w:pPr>
      <w:r>
        <w:t>6.4.</w:t>
      </w:r>
      <w:r>
        <w:tab/>
        <w:t>Odběratel má, bez ohledu na příčinu výpadků/nefunkčnosti sítě, právo tuto smlouvu vypovědět, pokud celková doba výpadků/nefunkčnosti sítě v kterémkoli kalendářním měsíci bude vyšší než 96 hodin, to neplatí pokud nedostupnost sítě v daném rozsahu způsobil Odběratel nebo je závada způsobena zásahem vyšší moci. Výpovědní lhůta činí 60 dní a počíná běžet dnem doručení oznámení o výpovědi.</w:t>
      </w:r>
    </w:p>
    <w:p w:rsidR="00D5456A" w:rsidRDefault="00D5456A">
      <w:pPr>
        <w:ind w:left="540" w:hanging="540"/>
        <w:jc w:val="both"/>
        <w:rPr>
          <w:bCs/>
        </w:rPr>
      </w:pPr>
    </w:p>
    <w:p w:rsidR="00D5456A" w:rsidRDefault="00655C0A">
      <w:pPr>
        <w:pStyle w:val="Zkladntextodsazen2"/>
        <w:ind w:left="709" w:hanging="709"/>
      </w:pPr>
      <w:r>
        <w:rPr>
          <w:bCs w:val="0"/>
        </w:rPr>
        <w:t xml:space="preserve">6.5. </w:t>
      </w:r>
      <w:r>
        <w:rPr>
          <w:bCs w:val="0"/>
        </w:rPr>
        <w:tab/>
        <w:t>V případě, že součet trvání výpadků během jednoho kalendářního měsíce přesáhne 36 hodin, náleží Odběrateli sleva z měsíčních poplatků, která se určí podle následujícího vzorce:</w:t>
      </w:r>
    </w:p>
    <w:p w:rsidR="00D5456A" w:rsidRDefault="00655C0A">
      <w:pPr>
        <w:ind w:left="2664" w:firstLine="168"/>
      </w:pPr>
      <w:r>
        <w:rPr>
          <w:bCs/>
        </w:rPr>
        <w:t>S</w:t>
      </w:r>
      <w:r>
        <w:rPr>
          <w:bCs/>
          <w:vertAlign w:val="subscript"/>
        </w:rPr>
        <w:t>m</w:t>
      </w:r>
      <w:r>
        <w:rPr>
          <w:bCs/>
        </w:rPr>
        <w:t xml:space="preserve"> = 2 x M x ( (</w:t>
      </w:r>
      <w:r>
        <w:rPr>
          <w:rFonts w:ascii="Symbol" w:eastAsia="Symbol" w:hAnsi="Symbol" w:cs="Symbol"/>
          <w:bCs/>
        </w:rPr>
        <w:t></w:t>
      </w:r>
      <w:r>
        <w:rPr>
          <w:rFonts w:eastAsia="Symbol" w:cs="Symbol"/>
          <w:bCs/>
        </w:rPr>
        <w:t>V</w:t>
      </w:r>
      <w:r>
        <w:rPr>
          <w:rFonts w:eastAsia="Symbol" w:cs="Symbol"/>
          <w:bCs/>
          <w:vertAlign w:val="subscript"/>
        </w:rPr>
        <w:t>m</w:t>
      </w:r>
      <w:r>
        <w:rPr>
          <w:rFonts w:eastAsia="Symbol" w:cs="Symbol"/>
          <w:bCs/>
        </w:rPr>
        <w:t>) / 720 )</w:t>
      </w:r>
    </w:p>
    <w:p w:rsidR="00D5456A" w:rsidRDefault="00655C0A">
      <w:pPr>
        <w:ind w:left="540" w:hanging="540"/>
        <w:rPr>
          <w:rFonts w:eastAsia="Symbol" w:cs="Symbol"/>
          <w:bCs/>
        </w:rPr>
      </w:pPr>
      <w:r>
        <w:rPr>
          <w:rFonts w:eastAsia="Symbol" w:cs="Symbol"/>
          <w:bCs/>
        </w:rPr>
        <w:tab/>
      </w:r>
      <w:r>
        <w:rPr>
          <w:rFonts w:eastAsia="Symbol" w:cs="Symbol"/>
          <w:bCs/>
        </w:rPr>
        <w:tab/>
        <w:t>kde:</w:t>
      </w:r>
    </w:p>
    <w:p w:rsidR="00D5456A" w:rsidRDefault="00655C0A">
      <w:pPr>
        <w:numPr>
          <w:ilvl w:val="1"/>
          <w:numId w:val="10"/>
        </w:numPr>
        <w:tabs>
          <w:tab w:val="left" w:pos="1080"/>
        </w:tabs>
        <w:ind w:left="1800" w:hanging="540"/>
        <w:rPr>
          <w:rFonts w:eastAsia="Symbol" w:cs="Symbol"/>
        </w:rPr>
      </w:pPr>
      <w:r>
        <w:rPr>
          <w:rFonts w:eastAsia="Symbol" w:cs="Symbol"/>
          <w:bCs/>
        </w:rPr>
        <w:t>S</w:t>
      </w:r>
      <w:r>
        <w:rPr>
          <w:rFonts w:eastAsia="Symbol" w:cs="Symbol"/>
          <w:bCs/>
          <w:vertAlign w:val="subscript"/>
        </w:rPr>
        <w:t xml:space="preserve">m </w:t>
      </w:r>
      <w:r>
        <w:rPr>
          <w:rFonts w:eastAsia="Symbol" w:cs="Symbol"/>
          <w:bCs/>
        </w:rPr>
        <w:t xml:space="preserve"> je sleva v daném měsíci</w:t>
      </w:r>
    </w:p>
    <w:p w:rsidR="00D5456A" w:rsidRDefault="00655C0A">
      <w:pPr>
        <w:numPr>
          <w:ilvl w:val="1"/>
          <w:numId w:val="10"/>
        </w:numPr>
        <w:tabs>
          <w:tab w:val="left" w:pos="1080"/>
        </w:tabs>
        <w:ind w:left="1800" w:hanging="540"/>
        <w:rPr>
          <w:rFonts w:eastAsia="Symbol" w:cs="Symbol"/>
          <w:bCs/>
        </w:rPr>
      </w:pPr>
      <w:r>
        <w:rPr>
          <w:rFonts w:eastAsia="Symbol" w:cs="Symbol"/>
          <w:bCs/>
        </w:rPr>
        <w:t>M je měsíční paušál</w:t>
      </w:r>
    </w:p>
    <w:p w:rsidR="00D5456A" w:rsidRDefault="00655C0A">
      <w:pPr>
        <w:numPr>
          <w:ilvl w:val="1"/>
          <w:numId w:val="10"/>
        </w:numPr>
        <w:tabs>
          <w:tab w:val="left" w:pos="1080"/>
        </w:tabs>
        <w:ind w:left="1440" w:hanging="180"/>
        <w:rPr>
          <w:rFonts w:eastAsia="Symbol" w:cs="Symbol"/>
        </w:rPr>
      </w:pPr>
      <w:r>
        <w:rPr>
          <w:rFonts w:ascii="Symbol" w:eastAsia="Symbol" w:hAnsi="Symbol" w:cs="Symbol"/>
          <w:bCs/>
        </w:rPr>
        <w:t></w:t>
      </w:r>
      <w:r>
        <w:rPr>
          <w:rFonts w:eastAsia="Symbol" w:cs="Symbol"/>
          <w:bCs/>
        </w:rPr>
        <w:t>V</w:t>
      </w:r>
      <w:r>
        <w:rPr>
          <w:rFonts w:eastAsia="Symbol" w:cs="Symbol"/>
          <w:bCs/>
          <w:vertAlign w:val="subscript"/>
        </w:rPr>
        <w:t>m</w:t>
      </w:r>
      <w:r>
        <w:rPr>
          <w:rFonts w:eastAsia="Symbol" w:cs="Symbol"/>
          <w:bCs/>
        </w:rPr>
        <w:t xml:space="preserve"> je součet všech výpadků v daném měsíci (každý samostatný výpadek se počítá v celých hodinách, přičemž i započatá hodina se považuje za celou)</w:t>
      </w:r>
    </w:p>
    <w:p w:rsidR="00D5456A" w:rsidRDefault="00655C0A">
      <w:pPr>
        <w:numPr>
          <w:ilvl w:val="1"/>
          <w:numId w:val="10"/>
        </w:numPr>
        <w:tabs>
          <w:tab w:val="left" w:pos="1080"/>
        </w:tabs>
        <w:ind w:left="1800" w:hanging="540"/>
        <w:rPr>
          <w:rFonts w:eastAsia="Symbol" w:cs="Symbol"/>
          <w:bCs/>
        </w:rPr>
      </w:pPr>
      <w:r>
        <w:rPr>
          <w:rFonts w:eastAsia="Symbol" w:cs="Symbol"/>
          <w:bCs/>
        </w:rPr>
        <w:t>720 je počet hodin za měsíc (30 dnů za průměrný měsíc)</w:t>
      </w:r>
    </w:p>
    <w:p w:rsidR="00D5456A" w:rsidRDefault="00D5456A">
      <w:pPr>
        <w:ind w:left="540" w:hanging="540"/>
        <w:rPr>
          <w:rFonts w:eastAsia="Symbol" w:cs="Symbol"/>
          <w:bCs/>
        </w:rPr>
      </w:pPr>
    </w:p>
    <w:p w:rsidR="00D5456A" w:rsidRDefault="00655C0A">
      <w:pPr>
        <w:pStyle w:val="Nadpis2"/>
        <w:numPr>
          <w:ilvl w:val="0"/>
          <w:numId w:val="3"/>
        </w:numPr>
        <w:rPr>
          <w:rFonts w:eastAsia="Symbol" w:cs="Symbol"/>
          <w:sz w:val="32"/>
        </w:rPr>
      </w:pPr>
      <w:r>
        <w:rPr>
          <w:rFonts w:eastAsia="Symbol" w:cs="Symbol"/>
          <w:sz w:val="32"/>
        </w:rPr>
        <w:lastRenderedPageBreak/>
        <w:t>Ukončení smlouvy</w:t>
      </w:r>
    </w:p>
    <w:p w:rsidR="00D5456A" w:rsidRDefault="00D5456A">
      <w:pPr>
        <w:keepNext/>
        <w:ind w:left="540" w:hanging="540"/>
        <w:rPr>
          <w:rFonts w:eastAsia="Symbol" w:cs="Symbol"/>
          <w:sz w:val="32"/>
        </w:rPr>
      </w:pPr>
    </w:p>
    <w:p w:rsidR="00D5456A" w:rsidRDefault="00655C0A">
      <w:pPr>
        <w:ind w:left="709" w:hanging="709"/>
        <w:jc w:val="both"/>
        <w:rPr>
          <w:bCs/>
        </w:rPr>
      </w:pPr>
      <w:r>
        <w:rPr>
          <w:rFonts w:eastAsia="Symbol" w:cs="Symbol"/>
          <w:bCs/>
        </w:rPr>
        <w:t xml:space="preserve">7.1. </w:t>
      </w:r>
      <w:r>
        <w:rPr>
          <w:rFonts w:eastAsia="Symbol" w:cs="Symbol"/>
          <w:bCs/>
        </w:rPr>
        <w:tab/>
        <w:t>Smlouva je sjednána na dobu určitou v délce trvání od 30.11.2016 do 31.1.2028.</w:t>
      </w:r>
    </w:p>
    <w:p w:rsidR="00D5456A" w:rsidRDefault="00D5456A">
      <w:pPr>
        <w:ind w:left="540" w:hanging="540"/>
        <w:jc w:val="both"/>
        <w:rPr>
          <w:rFonts w:eastAsia="Symbol" w:cs="Symbol"/>
          <w:bCs/>
        </w:rPr>
      </w:pPr>
    </w:p>
    <w:p w:rsidR="00D5456A" w:rsidRDefault="00655C0A">
      <w:pPr>
        <w:ind w:left="709" w:hanging="709"/>
        <w:jc w:val="both"/>
        <w:rPr>
          <w:rFonts w:eastAsia="Symbol" w:cs="Symbol"/>
        </w:rPr>
      </w:pPr>
      <w:r>
        <w:rPr>
          <w:rFonts w:eastAsia="Symbol" w:cs="Symbol"/>
        </w:rPr>
        <w:t>7.2</w:t>
      </w:r>
      <w:r>
        <w:rPr>
          <w:rFonts w:eastAsia="Symbol" w:cs="Symbol"/>
        </w:rPr>
        <w:tab/>
        <w:t>Není-li stanoveno v této smlouvě jinak, má Odběratel právo vypovědět tuto smlouvu v případě závažného nedodržení smlouvy Poskytovatelem, a to s výpovědní lhůtou 120 dní. Výpovědní lhůta počíná běžet prvním dnem následujícího měsíce po doručení výpovědi. Závažným nedodržením smlouvy Poskytovatelem se rozumí též opakované porušení smluvní povinnosti anebo porušení smluvní povinnosti a nezjednání nápravy ani do 45 dnů po obdržení písemné výzvy Odběratele k nápravě.</w:t>
      </w:r>
    </w:p>
    <w:p w:rsidR="00D5456A" w:rsidRDefault="00D5456A">
      <w:pPr>
        <w:ind w:left="540" w:hanging="540"/>
        <w:jc w:val="both"/>
        <w:rPr>
          <w:rFonts w:eastAsia="Symbol" w:cs="Symbol"/>
          <w:bCs/>
        </w:rPr>
      </w:pPr>
    </w:p>
    <w:p w:rsidR="00D5456A" w:rsidRDefault="00655C0A">
      <w:pPr>
        <w:ind w:left="709" w:hanging="709"/>
        <w:jc w:val="both"/>
        <w:rPr>
          <w:rFonts w:eastAsia="Symbol" w:cs="Symbol"/>
        </w:rPr>
      </w:pPr>
      <w:r>
        <w:rPr>
          <w:rFonts w:eastAsia="Symbol" w:cs="Symbol"/>
          <w:bCs/>
        </w:rPr>
        <w:t xml:space="preserve">7.3. </w:t>
      </w:r>
      <w:r>
        <w:rPr>
          <w:rFonts w:eastAsia="Symbol" w:cs="Symbol"/>
          <w:bCs/>
        </w:rPr>
        <w:tab/>
        <w:t>Smlouva může být ukončena dohodou obou smluvních stran.</w:t>
      </w:r>
    </w:p>
    <w:p w:rsidR="00D5456A" w:rsidRDefault="00D5456A">
      <w:pPr>
        <w:ind w:left="540" w:hanging="540"/>
        <w:jc w:val="both"/>
        <w:rPr>
          <w:rFonts w:eastAsia="Symbol" w:cs="Symbol"/>
          <w:bCs/>
        </w:rPr>
      </w:pPr>
    </w:p>
    <w:p w:rsidR="00D5456A" w:rsidRDefault="00655C0A">
      <w:pPr>
        <w:ind w:left="709" w:hanging="709"/>
        <w:jc w:val="both"/>
        <w:rPr>
          <w:rFonts w:eastAsia="Symbol" w:cs="Symbol"/>
        </w:rPr>
      </w:pPr>
      <w:r>
        <w:rPr>
          <w:rFonts w:eastAsia="Symbol" w:cs="Symbol"/>
          <w:bCs/>
        </w:rPr>
        <w:t>7.4.</w:t>
      </w:r>
      <w:r>
        <w:rPr>
          <w:rFonts w:eastAsia="Symbol" w:cs="Symbol"/>
          <w:bCs/>
        </w:rPr>
        <w:tab/>
        <w:t>Výpověď, odstoupení nebo dohodu o ukončení  této smlouvy je možné učinit pouze  písemnou formou.</w:t>
      </w:r>
    </w:p>
    <w:p w:rsidR="00D5456A" w:rsidRDefault="00D5456A">
      <w:pPr>
        <w:ind w:left="540" w:hanging="540"/>
        <w:jc w:val="both"/>
        <w:rPr>
          <w:rFonts w:eastAsia="Symbol" w:cs="Symbol"/>
          <w:bCs/>
        </w:rPr>
      </w:pPr>
    </w:p>
    <w:p w:rsidR="00D5456A" w:rsidRDefault="00D5456A">
      <w:pPr>
        <w:ind w:left="540" w:hanging="540"/>
        <w:jc w:val="both"/>
        <w:rPr>
          <w:rFonts w:eastAsia="Symbol" w:cs="Symbol"/>
          <w:bCs/>
        </w:rPr>
      </w:pPr>
    </w:p>
    <w:p w:rsidR="00D5456A" w:rsidRDefault="00655C0A">
      <w:pPr>
        <w:pStyle w:val="Nadpis2"/>
        <w:numPr>
          <w:ilvl w:val="0"/>
          <w:numId w:val="11"/>
        </w:numPr>
        <w:rPr>
          <w:rFonts w:eastAsia="Symbol" w:cs="Symbol"/>
          <w:sz w:val="32"/>
        </w:rPr>
      </w:pPr>
      <w:r>
        <w:rPr>
          <w:rFonts w:eastAsia="Symbol" w:cs="Symbol"/>
          <w:sz w:val="32"/>
        </w:rPr>
        <w:t>Kontaktní údaje</w:t>
      </w:r>
    </w:p>
    <w:p w:rsidR="00D5456A" w:rsidRDefault="00D5456A">
      <w:pPr>
        <w:ind w:left="540" w:hanging="540"/>
        <w:jc w:val="both"/>
        <w:rPr>
          <w:rFonts w:eastAsia="Symbol" w:cs="Symbol"/>
          <w:b/>
          <w:sz w:val="32"/>
        </w:rPr>
      </w:pPr>
    </w:p>
    <w:p w:rsidR="00D5456A" w:rsidRDefault="00655C0A">
      <w:pPr>
        <w:numPr>
          <w:ilvl w:val="1"/>
          <w:numId w:val="11"/>
        </w:numPr>
        <w:ind w:left="709" w:hanging="709"/>
        <w:rPr>
          <w:rFonts w:eastAsia="Symbol" w:cs="Symbol"/>
        </w:rPr>
      </w:pPr>
      <w:r>
        <w:rPr>
          <w:rFonts w:eastAsia="Symbol" w:cs="Symbol"/>
          <w:bCs/>
        </w:rPr>
        <w:t>Poskytovatel pro účel této smlouvy, především pak jejího bodu 5.1. uvádí následující spojení:</w:t>
      </w:r>
    </w:p>
    <w:p w:rsidR="00D5456A" w:rsidRDefault="00655C0A">
      <w:pPr>
        <w:ind w:left="1440" w:hanging="720"/>
        <w:rPr>
          <w:bCs/>
        </w:rPr>
      </w:pPr>
      <w:r>
        <w:rPr>
          <w:rFonts w:eastAsia="Symbol" w:cs="Symbol"/>
          <w:bCs/>
        </w:rPr>
        <w:t>TepNet a.s.</w:t>
      </w:r>
    </w:p>
    <w:p w:rsidR="00D5456A" w:rsidRDefault="00655C0A">
      <w:pPr>
        <w:ind w:left="1440" w:hanging="720"/>
        <w:rPr>
          <w:rFonts w:eastAsia="Symbol" w:cs="Symbol"/>
          <w:bCs/>
        </w:rPr>
      </w:pPr>
      <w:r>
        <w:rPr>
          <w:rFonts w:eastAsia="Symbol" w:cs="Symbol"/>
          <w:bCs/>
        </w:rPr>
        <w:t>Revoluční 2876/5</w:t>
      </w:r>
    </w:p>
    <w:p w:rsidR="00D5456A" w:rsidRDefault="00655C0A">
      <w:pPr>
        <w:ind w:left="1440" w:hanging="720"/>
        <w:rPr>
          <w:rFonts w:eastAsia="Symbol" w:cs="Symbol"/>
          <w:bCs/>
        </w:rPr>
      </w:pPr>
      <w:r>
        <w:rPr>
          <w:rFonts w:eastAsia="Symbol" w:cs="Symbol"/>
          <w:bCs/>
        </w:rPr>
        <w:t>415 01  Teplice</w:t>
      </w:r>
    </w:p>
    <w:p w:rsidR="00D5456A" w:rsidRDefault="00D5456A">
      <w:pPr>
        <w:ind w:left="1440" w:hanging="720"/>
        <w:rPr>
          <w:rFonts w:eastAsia="Symbol" w:cs="Symbol"/>
          <w:bCs/>
        </w:rPr>
      </w:pPr>
    </w:p>
    <w:p w:rsidR="00D5456A" w:rsidRDefault="00655C0A">
      <w:pPr>
        <w:ind w:left="1440" w:hanging="720"/>
        <w:rPr>
          <w:bCs/>
        </w:rPr>
      </w:pPr>
      <w:r>
        <w:rPr>
          <w:rFonts w:eastAsia="Symbol" w:cs="Symbol"/>
          <w:bCs/>
        </w:rPr>
        <w:t xml:space="preserve">Obchodní problematika:       Stanislav Veigert, tel. č. </w:t>
      </w:r>
      <w:r w:rsidR="00401263">
        <w:rPr>
          <w:rFonts w:eastAsia="Symbol" w:cs="Symbol"/>
          <w:bCs/>
        </w:rPr>
        <w:t>XXXXXXXXX</w:t>
      </w:r>
    </w:p>
    <w:p w:rsidR="00D5456A" w:rsidRDefault="00655C0A">
      <w:pPr>
        <w:ind w:left="1440" w:hanging="720"/>
        <w:rPr>
          <w:rFonts w:eastAsia="Symbol" w:cs="Symbol"/>
        </w:rPr>
      </w:pPr>
      <w:r>
        <w:rPr>
          <w:rFonts w:eastAsia="Symbol" w:cs="Symbol"/>
          <w:bCs/>
        </w:rPr>
        <w:t>Technická problematika (nahlašov</w:t>
      </w:r>
      <w:r w:rsidR="00401263">
        <w:rPr>
          <w:rFonts w:eastAsia="Symbol" w:cs="Symbol"/>
          <w:bCs/>
        </w:rPr>
        <w:t>ání poruch): tel. č. XXXXXXXXX</w:t>
      </w:r>
    </w:p>
    <w:p w:rsidR="00D5456A" w:rsidRDefault="00D5456A">
      <w:pPr>
        <w:ind w:left="540" w:hanging="540"/>
        <w:rPr>
          <w:rFonts w:eastAsia="Symbol" w:cs="Symbol"/>
          <w:bCs/>
        </w:rPr>
      </w:pPr>
    </w:p>
    <w:p w:rsidR="00D5456A" w:rsidRDefault="00655C0A">
      <w:pPr>
        <w:numPr>
          <w:ilvl w:val="1"/>
          <w:numId w:val="11"/>
        </w:numPr>
        <w:ind w:left="709" w:hanging="709"/>
        <w:rPr>
          <w:rFonts w:eastAsia="Symbol" w:cs="Symbol"/>
          <w:bCs/>
        </w:rPr>
      </w:pPr>
      <w:r>
        <w:rPr>
          <w:rFonts w:eastAsia="Symbol" w:cs="Symbol"/>
          <w:bCs/>
        </w:rPr>
        <w:t>Odběratel uvádí pro účel této smlouvy následující spojení:</w:t>
      </w:r>
    </w:p>
    <w:p w:rsidR="00D5456A" w:rsidRDefault="00D5456A">
      <w:pPr>
        <w:ind w:left="1260" w:hanging="540"/>
        <w:rPr>
          <w:rFonts w:eastAsia="Symbol" w:cs="Symbol"/>
          <w:bCs/>
        </w:rPr>
      </w:pPr>
    </w:p>
    <w:p w:rsidR="00D5456A" w:rsidRDefault="00655C0A">
      <w:pPr>
        <w:rPr>
          <w:rFonts w:eastAsia="Symbol"/>
        </w:rPr>
      </w:pPr>
      <w:r>
        <w:rPr>
          <w:rFonts w:ascii="Arial" w:eastAsia="Symbol" w:hAnsi="Arial" w:cs="Arial"/>
          <w:bCs/>
          <w:sz w:val="22"/>
        </w:rPr>
        <w:tab/>
      </w:r>
      <w:r>
        <w:rPr>
          <w:rFonts w:eastAsia="Symbol"/>
          <w:bCs/>
        </w:rPr>
        <w:t>Statutární město Teplice – Městská policie</w:t>
      </w:r>
    </w:p>
    <w:p w:rsidR="00D5456A" w:rsidRDefault="00655C0A">
      <w:pPr>
        <w:rPr>
          <w:rFonts w:eastAsia="Symbol"/>
          <w:bCs/>
        </w:rPr>
      </w:pPr>
      <w:r>
        <w:rPr>
          <w:rFonts w:eastAsia="Symbol"/>
          <w:bCs/>
        </w:rPr>
        <w:tab/>
        <w:t>Dvorská 195, 415 01 Teplice</w:t>
      </w:r>
    </w:p>
    <w:p w:rsidR="00D5456A" w:rsidRDefault="00655C0A">
      <w:pPr>
        <w:rPr>
          <w:bCs/>
        </w:rPr>
      </w:pPr>
      <w:r>
        <w:rPr>
          <w:rFonts w:eastAsia="Symbol"/>
          <w:bCs/>
        </w:rPr>
        <w:tab/>
      </w:r>
    </w:p>
    <w:p w:rsidR="00D5456A" w:rsidRDefault="00655C0A">
      <w:pPr>
        <w:ind w:firstLine="708"/>
        <w:rPr>
          <w:rFonts w:eastAsia="Symbol"/>
          <w:bCs/>
        </w:rPr>
      </w:pPr>
      <w:r>
        <w:rPr>
          <w:rFonts w:eastAsia="Symbol"/>
          <w:bCs/>
        </w:rPr>
        <w:t xml:space="preserve">Obchodní problematika: </w:t>
      </w:r>
      <w:r w:rsidR="006127D8">
        <w:rPr>
          <w:rFonts w:eastAsia="Symbol"/>
          <w:bCs/>
        </w:rPr>
        <w:tab/>
        <w:t>Michal Chrdle, tel. XXXXXXXXX, mobil XXXXXXX</w:t>
      </w:r>
    </w:p>
    <w:p w:rsidR="00D5456A" w:rsidRDefault="00655C0A">
      <w:pPr>
        <w:rPr>
          <w:rFonts w:eastAsia="Symbol"/>
          <w:bCs/>
        </w:rPr>
      </w:pPr>
      <w:r>
        <w:rPr>
          <w:rFonts w:eastAsia="Symbol"/>
          <w:bCs/>
        </w:rPr>
        <w:tab/>
        <w:t>Technická pr</w:t>
      </w:r>
      <w:r w:rsidR="006127D8">
        <w:rPr>
          <w:rFonts w:eastAsia="Symbol"/>
          <w:bCs/>
        </w:rPr>
        <w:t>oblematika:       XXX, tel. XXXXXXXXX</w:t>
      </w:r>
    </w:p>
    <w:p w:rsidR="00D5456A" w:rsidRDefault="00655C0A">
      <w:pPr>
        <w:rPr>
          <w:bCs/>
        </w:rPr>
      </w:pPr>
      <w:r>
        <w:rPr>
          <w:bCs/>
        </w:rPr>
        <w:t xml:space="preserve">            </w:t>
      </w:r>
      <w:r>
        <w:rPr>
          <w:rFonts w:eastAsia="Symbol"/>
          <w:bCs/>
        </w:rPr>
        <w:t>Nahlašování poru</w:t>
      </w:r>
      <w:r w:rsidR="006127D8">
        <w:rPr>
          <w:rFonts w:eastAsia="Symbol"/>
          <w:bCs/>
        </w:rPr>
        <w:t>ch:             XXX</w:t>
      </w:r>
      <w:r>
        <w:rPr>
          <w:rFonts w:eastAsia="Symbol"/>
          <w:bCs/>
        </w:rPr>
        <w:t xml:space="preserve">, tel.  </w:t>
      </w:r>
      <w:r w:rsidR="006127D8">
        <w:rPr>
          <w:rFonts w:eastAsia="Symbol"/>
          <w:bCs/>
        </w:rPr>
        <w:t>XXXXXXXXX</w:t>
      </w:r>
    </w:p>
    <w:p w:rsidR="00D5456A" w:rsidRDefault="00655C0A">
      <w:pPr>
        <w:rPr>
          <w:bCs/>
        </w:rPr>
      </w:pPr>
      <w:r>
        <w:rPr>
          <w:bCs/>
        </w:rPr>
        <w:t xml:space="preserve">                                                          </w:t>
      </w:r>
      <w:r w:rsidR="006127D8">
        <w:rPr>
          <w:rFonts w:eastAsia="Symbol"/>
          <w:bCs/>
        </w:rPr>
        <w:t>XXX, tel.  XXXXXXXXX, mobil  XXXXXXXXX</w:t>
      </w:r>
    </w:p>
    <w:p w:rsidR="00D5456A" w:rsidRDefault="00655C0A">
      <w:r>
        <w:rPr>
          <w:bCs/>
        </w:rPr>
        <w:t xml:space="preserve">                                                          </w:t>
      </w:r>
      <w:r w:rsidR="006127D8">
        <w:rPr>
          <w:rFonts w:eastAsia="Symbol"/>
          <w:bCs/>
        </w:rPr>
        <w:t>Michal Chrdle, XXX</w:t>
      </w:r>
      <w:r>
        <w:rPr>
          <w:rFonts w:eastAsia="Symbol"/>
          <w:bCs/>
        </w:rPr>
        <w:t xml:space="preserve">           </w:t>
      </w:r>
    </w:p>
    <w:p w:rsidR="00D5456A" w:rsidRDefault="00D5456A">
      <w:pPr>
        <w:ind w:left="540" w:hanging="540"/>
        <w:rPr>
          <w:rFonts w:eastAsia="Symbol"/>
          <w:bCs/>
        </w:rPr>
      </w:pPr>
    </w:p>
    <w:p w:rsidR="00D5456A" w:rsidRDefault="00655C0A">
      <w:pPr>
        <w:numPr>
          <w:ilvl w:val="1"/>
          <w:numId w:val="11"/>
        </w:numPr>
        <w:ind w:left="709" w:hanging="709"/>
        <w:rPr>
          <w:rFonts w:eastAsia="Symbol"/>
        </w:rPr>
      </w:pPr>
      <w:r>
        <w:rPr>
          <w:rFonts w:eastAsia="Symbol"/>
          <w:bCs/>
        </w:rPr>
        <w:t>Poskytovatel i Odběratel jsou v oboustranném zájmu povinni si navzájem sdělit případnou změnu údajů dle bodů 8.1. a 8.2.</w:t>
      </w:r>
    </w:p>
    <w:p w:rsidR="00D5456A" w:rsidRDefault="00D5456A">
      <w:pPr>
        <w:ind w:left="540" w:hanging="540"/>
        <w:rPr>
          <w:rFonts w:eastAsia="Symbol"/>
          <w:bCs/>
        </w:rPr>
      </w:pPr>
    </w:p>
    <w:p w:rsidR="00D5456A" w:rsidRDefault="00655C0A">
      <w:pPr>
        <w:tabs>
          <w:tab w:val="left" w:pos="5295"/>
        </w:tabs>
        <w:ind w:left="540" w:hanging="540"/>
        <w:rPr>
          <w:rFonts w:eastAsia="Symbol"/>
          <w:bCs/>
        </w:rPr>
      </w:pPr>
      <w:r>
        <w:rPr>
          <w:rFonts w:eastAsia="Symbol"/>
          <w:bCs/>
        </w:rPr>
        <w:tab/>
      </w:r>
      <w:r>
        <w:rPr>
          <w:rFonts w:eastAsia="Symbol"/>
          <w:bCs/>
        </w:rPr>
        <w:tab/>
      </w:r>
    </w:p>
    <w:p w:rsidR="00D5456A" w:rsidRDefault="00655C0A">
      <w:pPr>
        <w:pStyle w:val="Nadpis2"/>
        <w:numPr>
          <w:ilvl w:val="0"/>
          <w:numId w:val="2"/>
        </w:numPr>
        <w:rPr>
          <w:rFonts w:eastAsia="Symbol"/>
          <w:sz w:val="32"/>
        </w:rPr>
      </w:pPr>
      <w:r>
        <w:rPr>
          <w:rFonts w:eastAsia="Symbol"/>
          <w:sz w:val="32"/>
        </w:rPr>
        <w:t>Ochrana obchodního tajemství a důvěrných informací</w:t>
      </w:r>
    </w:p>
    <w:p w:rsidR="00D5456A" w:rsidRDefault="00D5456A">
      <w:pPr>
        <w:ind w:left="540" w:hanging="540"/>
        <w:rPr>
          <w:rFonts w:eastAsia="Symbol"/>
          <w:bCs/>
          <w:sz w:val="32"/>
        </w:rPr>
      </w:pPr>
    </w:p>
    <w:p w:rsidR="00D5456A" w:rsidRDefault="00655C0A">
      <w:pPr>
        <w:numPr>
          <w:ilvl w:val="1"/>
          <w:numId w:val="2"/>
        </w:numPr>
        <w:jc w:val="both"/>
      </w:pPr>
      <w:r>
        <w:rPr>
          <w:rFonts w:eastAsia="Symbol"/>
        </w:rPr>
        <w:t xml:space="preserve">Obě smluvní strany berou na vědomí, že tato Smlouva a veškerá práva, povinnosti a závazky z ní vyplývající, zejména ustanovení o ceně a službách, tvoří předmět obchodního tajemství  a jedná se o informace důvěrné. Za důvěrné informace se dále </w:t>
      </w:r>
      <w:r>
        <w:rPr>
          <w:rFonts w:eastAsia="Symbol"/>
        </w:rPr>
        <w:lastRenderedPageBreak/>
        <w:t xml:space="preserve">považují informace o vnitřním organizačním členění smluvních stran, know-how, informace o metodách a pracovních </w:t>
      </w:r>
      <w:r>
        <w:rPr>
          <w:rFonts w:eastAsia="Symbol"/>
        </w:rPr>
        <w:tab/>
        <w:t xml:space="preserve">postupech smluvních stran, o technologiích a pracovních nástrojích, osobní údaje o zaměstnancích smluvních stran a o finančním stavu obou smluvních stran. </w:t>
      </w:r>
      <w:r>
        <w:rPr>
          <w:rStyle w:val="platne"/>
          <w:rFonts w:eastAsia="Symbol"/>
        </w:rPr>
        <w:t xml:space="preserve">Povinnost mlčenlivosti se týká především skutečností </w:t>
      </w:r>
      <w:r>
        <w:rPr>
          <w:rStyle w:val="platne"/>
          <w:rFonts w:eastAsia="Symbol"/>
        </w:rPr>
        <w:tab/>
        <w:t xml:space="preserve">obchodní povahy, zejména informací o vnitřních a hospodářských poměrech společnosti, obsahu smluvních a jiných dokumentů a dokladů, skutečností technické a provozní povahy, a dalších skutečností vyplývajících z dokladů, informací nebo jiných sdělení označených společností za důvěrné. </w:t>
      </w:r>
      <w:r>
        <w:rPr>
          <w:rFonts w:eastAsia="Symbol"/>
        </w:rPr>
        <w:t>Rovněž se za důvěrné informace považují veškeré informace o trasách a uložení komunikačních sítí vč. použitých technologií a souvisejících zařízení Odběratele. Za důvěrné informace se považují rovněž veškerá data, která jsou přenášena prostřednictvím pevného datového okruhu.</w:t>
      </w:r>
    </w:p>
    <w:p w:rsidR="00D5456A" w:rsidRPr="00655C0A" w:rsidRDefault="00655C0A" w:rsidP="00655C0A">
      <w:pPr>
        <w:ind w:left="709"/>
        <w:jc w:val="both"/>
        <w:rPr>
          <w:rFonts w:eastAsia="Symbol"/>
        </w:rPr>
      </w:pPr>
      <w:r>
        <w:rPr>
          <w:rFonts w:eastAsia="Symbol"/>
        </w:rPr>
        <w:t xml:space="preserve">Poskytovatel bere na vědomí, že samotná smlouva a její obsah nejsou považovány ve smyslu o svobodném přístupu k informacím za obchodní tajemství. Smlouva samotná podlého zveřejnění dle zákona o registru smluv. </w:t>
      </w:r>
    </w:p>
    <w:p w:rsidR="00D5456A" w:rsidRDefault="00655C0A" w:rsidP="00655C0A">
      <w:pPr>
        <w:pStyle w:val="TSTextlnkuslovan"/>
        <w:spacing w:after="0" w:line="240" w:lineRule="auto"/>
        <w:ind w:left="709"/>
        <w:rPr>
          <w:rFonts w:eastAsia="Symbol"/>
        </w:rPr>
      </w:pPr>
      <w:r>
        <w:rPr>
          <w:rFonts w:ascii="Times New Roman" w:eastAsia="Symbol" w:hAnsi="Times New Roman" w:cs="Times New Roman"/>
        </w:rPr>
        <w:t xml:space="preserve">Smluvní strany tímto souhlasně prohlašují, že nepovažují za porušení ochrany obchodního tajemství, pokud smluvní strana poskytne v rozsahu nezbytně nutném důvěrné informace dle této </w:t>
      </w:r>
      <w:r>
        <w:rPr>
          <w:rFonts w:ascii="Times New Roman" w:eastAsia="Symbol" w:hAnsi="Times New Roman" w:cs="Times New Roman"/>
        </w:rPr>
        <w:tab/>
        <w:t xml:space="preserve">Smlouvy svým právním, účetním nebo daňovým poradcům, nebo osobě podílející se </w:t>
      </w:r>
      <w:r>
        <w:rPr>
          <w:rFonts w:ascii="Times New Roman" w:eastAsia="Symbol" w:hAnsi="Times New Roman" w:cs="Times New Roman"/>
        </w:rPr>
        <w:tab/>
        <w:t xml:space="preserve">na plnění závazků z této Smlouvy, za předpokladu, že jsou tyto osoby vázány zákonnou nebo smluvní povinností mlčenlivosti alespoň v rozsahu stanoveném v této </w:t>
      </w:r>
      <w:r>
        <w:rPr>
          <w:rFonts w:ascii="Times New Roman" w:eastAsia="Symbol" w:hAnsi="Times New Roman" w:cs="Times New Roman"/>
        </w:rPr>
        <w:tab/>
        <w:t>Smlouvě.</w:t>
      </w:r>
    </w:p>
    <w:p w:rsidR="00D5456A" w:rsidRDefault="00D5456A">
      <w:pPr>
        <w:pStyle w:val="TSTextlnkuslovan"/>
        <w:spacing w:after="0" w:line="240" w:lineRule="auto"/>
        <w:rPr>
          <w:rFonts w:ascii="Times New Roman" w:hAnsi="Times New Roman" w:cs="Times New Roman"/>
        </w:rPr>
      </w:pPr>
    </w:p>
    <w:p w:rsidR="00D5456A" w:rsidRDefault="00D5456A">
      <w:pPr>
        <w:pStyle w:val="TSTextlnkuslovan"/>
        <w:spacing w:after="0" w:line="240" w:lineRule="auto"/>
        <w:ind w:left="420"/>
        <w:rPr>
          <w:rFonts w:ascii="Times New Roman" w:eastAsia="Symbol" w:hAnsi="Times New Roman" w:cs="Times New Roman"/>
        </w:rPr>
      </w:pPr>
    </w:p>
    <w:p w:rsidR="00D5456A" w:rsidRDefault="00D5456A">
      <w:pPr>
        <w:pStyle w:val="TSTextlnkuslovan"/>
        <w:spacing w:after="0" w:line="240" w:lineRule="auto"/>
        <w:ind w:left="420"/>
        <w:rPr>
          <w:rFonts w:ascii="Times New Roman" w:eastAsia="Symbol" w:hAnsi="Times New Roman" w:cs="Times New Roman"/>
        </w:rPr>
      </w:pPr>
    </w:p>
    <w:p w:rsidR="00D5456A" w:rsidRDefault="00655C0A">
      <w:pPr>
        <w:pStyle w:val="Nadpis2"/>
        <w:numPr>
          <w:ilvl w:val="0"/>
          <w:numId w:val="2"/>
        </w:numPr>
        <w:rPr>
          <w:rFonts w:eastAsia="Symbol"/>
          <w:sz w:val="32"/>
        </w:rPr>
      </w:pPr>
      <w:r>
        <w:rPr>
          <w:rFonts w:eastAsia="Symbol"/>
          <w:sz w:val="32"/>
        </w:rPr>
        <w:t>Sankční ujednání</w:t>
      </w:r>
    </w:p>
    <w:p w:rsidR="00D5456A" w:rsidRDefault="00D5456A">
      <w:pPr>
        <w:pStyle w:val="TSTextlnkuslovan"/>
        <w:rPr>
          <w:rFonts w:eastAsia="Symbol"/>
          <w:color w:val="0000FF"/>
          <w:sz w:val="32"/>
        </w:rPr>
      </w:pPr>
    </w:p>
    <w:p w:rsidR="00D5456A" w:rsidRDefault="00655C0A">
      <w:pPr>
        <w:pStyle w:val="TSTextlnkuslovan"/>
        <w:ind w:left="700" w:hanging="700"/>
        <w:rPr>
          <w:rFonts w:eastAsia="Symbol"/>
        </w:rPr>
      </w:pPr>
      <w:bookmarkStart w:id="1" w:name="_Ref224730501"/>
      <w:bookmarkEnd w:id="1"/>
      <w:r>
        <w:rPr>
          <w:rFonts w:ascii="Times New Roman" w:eastAsia="Symbol" w:hAnsi="Times New Roman" w:cs="Times New Roman"/>
        </w:rPr>
        <w:t>10.1.</w:t>
      </w:r>
      <w:r>
        <w:rPr>
          <w:rFonts w:ascii="Times New Roman" w:eastAsia="Symbol" w:hAnsi="Times New Roman" w:cs="Times New Roman"/>
        </w:rPr>
        <w:tab/>
        <w:t xml:space="preserve">Poruší-li Poskytovatel povinnosti vyplývající z této Smlouvy ohledně ochrany </w:t>
      </w:r>
      <w:r>
        <w:rPr>
          <w:rFonts w:ascii="Times New Roman" w:eastAsia="Symbol" w:hAnsi="Times New Roman" w:cs="Times New Roman"/>
        </w:rPr>
        <w:tab/>
        <w:t>obchodního tajemství a důvěrných informací je povinen zaplatit Odběrateli smluvní pokutu ve výši 50.000,- Kč za každé porušení takové povinnosti.</w:t>
      </w:r>
    </w:p>
    <w:p w:rsidR="00D5456A" w:rsidRDefault="00D5456A">
      <w:pPr>
        <w:ind w:left="540" w:hanging="540"/>
        <w:rPr>
          <w:rFonts w:eastAsia="Symbol"/>
          <w:bCs/>
        </w:rPr>
      </w:pPr>
    </w:p>
    <w:p w:rsidR="00D5456A" w:rsidRDefault="00D5456A">
      <w:pPr>
        <w:ind w:left="540" w:hanging="540"/>
        <w:rPr>
          <w:rFonts w:eastAsia="Symbol"/>
          <w:bCs/>
        </w:rPr>
      </w:pPr>
    </w:p>
    <w:p w:rsidR="00D5456A" w:rsidRDefault="00D5456A">
      <w:pPr>
        <w:ind w:left="540" w:hanging="540"/>
        <w:rPr>
          <w:rFonts w:eastAsia="Symbol"/>
          <w:bCs/>
        </w:rPr>
      </w:pPr>
    </w:p>
    <w:p w:rsidR="00D5456A" w:rsidRDefault="00655C0A">
      <w:pPr>
        <w:pStyle w:val="Nadpis2"/>
        <w:numPr>
          <w:ilvl w:val="0"/>
          <w:numId w:val="2"/>
        </w:numPr>
        <w:rPr>
          <w:rFonts w:eastAsia="Symbol"/>
          <w:sz w:val="32"/>
        </w:rPr>
      </w:pPr>
      <w:r>
        <w:rPr>
          <w:rFonts w:eastAsia="Symbol"/>
          <w:sz w:val="32"/>
        </w:rPr>
        <w:t>Ostatní ustanovení</w:t>
      </w:r>
    </w:p>
    <w:p w:rsidR="00D5456A" w:rsidRDefault="00D5456A">
      <w:pPr>
        <w:ind w:left="540" w:hanging="540"/>
        <w:jc w:val="both"/>
        <w:rPr>
          <w:rFonts w:eastAsia="Symbol"/>
          <w:b/>
          <w:sz w:val="32"/>
        </w:rPr>
      </w:pPr>
    </w:p>
    <w:p w:rsidR="00D5456A" w:rsidRDefault="00D5456A">
      <w:pPr>
        <w:ind w:left="540" w:hanging="540"/>
        <w:jc w:val="both"/>
        <w:rPr>
          <w:rFonts w:eastAsia="Symbol"/>
          <w:b/>
        </w:rPr>
      </w:pPr>
    </w:p>
    <w:p w:rsidR="00D5456A" w:rsidRDefault="00655C0A">
      <w:pPr>
        <w:pStyle w:val="Zkladntextodsazen"/>
        <w:ind w:left="709" w:hanging="709"/>
        <w:jc w:val="both"/>
        <w:rPr>
          <w:bCs w:val="0"/>
        </w:rPr>
      </w:pPr>
      <w:r>
        <w:rPr>
          <w:rFonts w:eastAsia="Symbol"/>
        </w:rPr>
        <w:t xml:space="preserve">11.1. </w:t>
      </w:r>
      <w:r>
        <w:rPr>
          <w:rFonts w:eastAsia="Symbol"/>
        </w:rPr>
        <w:tab/>
        <w:t>Smlouva vstupuje v platnost dnem podpisu oprávněnými zástupci obou smluvních stran.</w:t>
      </w:r>
    </w:p>
    <w:p w:rsidR="00D5456A" w:rsidRDefault="00D5456A">
      <w:pPr>
        <w:pStyle w:val="Zkladntextodsazen"/>
        <w:ind w:left="540" w:hanging="540"/>
        <w:jc w:val="both"/>
        <w:rPr>
          <w:rFonts w:eastAsia="Symbol"/>
          <w:bCs w:val="0"/>
        </w:rPr>
      </w:pPr>
    </w:p>
    <w:p w:rsidR="00D5456A" w:rsidRDefault="00655C0A">
      <w:pPr>
        <w:pStyle w:val="Zkladntextodsazen"/>
        <w:ind w:left="709" w:hanging="709"/>
        <w:jc w:val="both"/>
        <w:rPr>
          <w:rFonts w:eastAsia="Symbol"/>
        </w:rPr>
      </w:pPr>
      <w:r>
        <w:rPr>
          <w:rFonts w:eastAsia="Symbol"/>
        </w:rPr>
        <w:t xml:space="preserve">11.2. </w:t>
      </w:r>
      <w:r>
        <w:rPr>
          <w:rFonts w:eastAsia="Symbol"/>
        </w:rPr>
        <w:tab/>
        <w:t>Tato smlouva nabývá účinnosti dnem 01.03.2017, pokud bude do té doby zveřejněna dle zákona o registru smluv.</w:t>
      </w:r>
    </w:p>
    <w:p w:rsidR="00D5456A" w:rsidRDefault="00D5456A">
      <w:pPr>
        <w:pStyle w:val="Zkladntextodsazen"/>
        <w:ind w:left="540" w:hanging="540"/>
        <w:jc w:val="both"/>
        <w:rPr>
          <w:rFonts w:eastAsia="Symbol"/>
          <w:bCs w:val="0"/>
        </w:rPr>
      </w:pPr>
    </w:p>
    <w:p w:rsidR="00D5456A" w:rsidRDefault="00655C0A">
      <w:pPr>
        <w:pStyle w:val="Zkladntextodsazen"/>
        <w:ind w:left="709" w:hanging="709"/>
        <w:jc w:val="both"/>
        <w:rPr>
          <w:bCs w:val="0"/>
        </w:rPr>
      </w:pPr>
      <w:r>
        <w:rPr>
          <w:rFonts w:eastAsia="Symbol"/>
        </w:rPr>
        <w:t xml:space="preserve">11.3. </w:t>
      </w:r>
      <w:r>
        <w:rPr>
          <w:rFonts w:eastAsia="Symbol"/>
        </w:rPr>
        <w:tab/>
        <w:t>Plnění dle této smlouvy bude poskytovat přímo Poskytovatel (resp. jeho zaměstnanci)</w:t>
      </w:r>
      <w:r>
        <w:rPr>
          <w:rFonts w:ascii="Symbol" w:eastAsia="Symbol" w:hAnsi="Symbol" w:cs="Symbol"/>
        </w:rPr>
        <w:t></w:t>
      </w:r>
      <w:r>
        <w:rPr>
          <w:rFonts w:eastAsia="Symbol" w:cs="Symbol"/>
        </w:rPr>
        <w:t xml:space="preserve"> nebude poskytováno prostřednictvím jiných třetích osob, které by Poskytovatel pověřil.</w:t>
      </w:r>
    </w:p>
    <w:p w:rsidR="00D5456A" w:rsidRDefault="00D5456A">
      <w:pPr>
        <w:pStyle w:val="Zkladntextodsazen"/>
        <w:ind w:left="540" w:hanging="540"/>
        <w:jc w:val="both"/>
        <w:rPr>
          <w:rFonts w:eastAsia="Symbol" w:cs="Symbol"/>
          <w:bCs w:val="0"/>
        </w:rPr>
      </w:pPr>
    </w:p>
    <w:p w:rsidR="00D5456A" w:rsidRDefault="00655C0A">
      <w:pPr>
        <w:pStyle w:val="Zkladntextodsazen"/>
        <w:numPr>
          <w:ilvl w:val="1"/>
          <w:numId w:val="6"/>
        </w:numPr>
        <w:ind w:left="709" w:hanging="709"/>
        <w:jc w:val="both"/>
        <w:rPr>
          <w:bCs w:val="0"/>
        </w:rPr>
      </w:pPr>
      <w:r>
        <w:rPr>
          <w:rFonts w:eastAsia="Symbol" w:cs="Symbol"/>
        </w:rPr>
        <w:t>Poskytovatel (resp. jím vyslané fyzické osoby) se zavazují dodržovat jim známá interní pravidla a pokyny platné v prostorách a areálech Odběratele (zejména bezpečnostní, protipožární apod.).</w:t>
      </w:r>
    </w:p>
    <w:p w:rsidR="00D5456A" w:rsidRDefault="00D5456A">
      <w:pPr>
        <w:pStyle w:val="Zkladntextodsazen"/>
        <w:ind w:left="540" w:hanging="540"/>
        <w:jc w:val="both"/>
        <w:rPr>
          <w:rFonts w:eastAsia="Symbol" w:cs="Symbol"/>
          <w:bCs w:val="0"/>
        </w:rPr>
      </w:pPr>
    </w:p>
    <w:p w:rsidR="00D5456A" w:rsidRDefault="00655C0A">
      <w:pPr>
        <w:pStyle w:val="Zkladntextodsazen"/>
        <w:numPr>
          <w:ilvl w:val="1"/>
          <w:numId w:val="6"/>
        </w:numPr>
        <w:ind w:left="709" w:hanging="709"/>
        <w:jc w:val="both"/>
        <w:rPr>
          <w:bCs w:val="0"/>
        </w:rPr>
      </w:pPr>
      <w:r>
        <w:rPr>
          <w:rFonts w:eastAsia="Symbol" w:cs="Symbol"/>
        </w:rPr>
        <w:lastRenderedPageBreak/>
        <w:t>Tuto smlouvu lze měnit, doplňovat nebo rušit pouze dohodou smluvních stran v písemné formě</w:t>
      </w:r>
      <w:r>
        <w:rPr>
          <w:rFonts w:ascii="Symbol" w:eastAsia="Symbol" w:hAnsi="Symbol" w:cs="Symbol"/>
        </w:rPr>
        <w:t></w:t>
      </w:r>
      <w:r>
        <w:rPr>
          <w:rFonts w:eastAsia="Symbol" w:cs="Symbol"/>
        </w:rPr>
        <w:t xml:space="preserve"> to platí i pro vzdání se požadavku písemné formy.</w:t>
      </w:r>
    </w:p>
    <w:p w:rsidR="00D5456A" w:rsidRDefault="00D5456A">
      <w:pPr>
        <w:pStyle w:val="Zkladntextodsazen"/>
        <w:ind w:left="540" w:hanging="540"/>
        <w:jc w:val="both"/>
        <w:rPr>
          <w:rFonts w:eastAsia="Symbol" w:cs="Symbol"/>
          <w:bCs w:val="0"/>
        </w:rPr>
      </w:pPr>
    </w:p>
    <w:p w:rsidR="00D5456A" w:rsidRDefault="00655C0A">
      <w:pPr>
        <w:pStyle w:val="Zkladntextodsazen"/>
        <w:numPr>
          <w:ilvl w:val="1"/>
          <w:numId w:val="6"/>
        </w:numPr>
        <w:ind w:left="709" w:hanging="709"/>
        <w:jc w:val="both"/>
        <w:rPr>
          <w:bCs w:val="0"/>
        </w:rPr>
      </w:pPr>
      <w:r>
        <w:rPr>
          <w:rFonts w:eastAsia="Symbol" w:cs="Symbol"/>
        </w:rPr>
        <w:t>Smlouva je vyhotovena ve čtyřech (4) ekvivalentních vyhotoveních s platností originálu, po dvou (2) pro každou ze smluvních stran.</w:t>
      </w:r>
    </w:p>
    <w:p w:rsidR="00D5456A" w:rsidRDefault="00D5456A">
      <w:pPr>
        <w:pStyle w:val="Zkladntextodsazen"/>
        <w:ind w:left="540" w:hanging="540"/>
        <w:jc w:val="both"/>
        <w:rPr>
          <w:rFonts w:eastAsia="Symbol" w:cs="Symbol"/>
          <w:bCs w:val="0"/>
        </w:rPr>
      </w:pPr>
    </w:p>
    <w:p w:rsidR="00D5456A" w:rsidRDefault="00655C0A">
      <w:pPr>
        <w:pStyle w:val="Zkladntextodsazen"/>
        <w:numPr>
          <w:ilvl w:val="1"/>
          <w:numId w:val="6"/>
        </w:numPr>
        <w:ind w:left="709" w:hanging="709"/>
        <w:jc w:val="both"/>
        <w:rPr>
          <w:bCs w:val="0"/>
        </w:rPr>
      </w:pPr>
      <w:r>
        <w:rPr>
          <w:rFonts w:eastAsia="Symbol" w:cs="Symbol"/>
        </w:rPr>
        <w:t>Právní vztahy výslovně neupravené touto smlouvou se řídí ustanoveními z. č. 89/2012 Sb., občanským zákoníkem v platném znění.</w:t>
      </w:r>
    </w:p>
    <w:p w:rsidR="00D5456A" w:rsidRDefault="00D5456A">
      <w:pPr>
        <w:pStyle w:val="Zkladntextodsazen"/>
        <w:ind w:left="2835" w:hanging="540"/>
        <w:jc w:val="both"/>
        <w:rPr>
          <w:rFonts w:eastAsia="Symbol" w:cs="Symbol"/>
          <w:bCs w:val="0"/>
        </w:rPr>
      </w:pPr>
    </w:p>
    <w:p w:rsidR="00D5456A" w:rsidRDefault="00655C0A">
      <w:pPr>
        <w:pStyle w:val="Zkladntextodsazen"/>
        <w:numPr>
          <w:ilvl w:val="1"/>
          <w:numId w:val="6"/>
        </w:numPr>
        <w:ind w:left="709" w:hanging="709"/>
        <w:jc w:val="both"/>
        <w:rPr>
          <w:bCs w:val="0"/>
        </w:rPr>
      </w:pPr>
      <w:r>
        <w:rPr>
          <w:rFonts w:eastAsia="Symbol" w:cs="Symbol"/>
        </w:rPr>
        <w:t>Smluvní strany potvrzují, že jsou s obsahem smlouvy seznámeny a že smlouvu uzavírají na základě své svobodné a vážné vůle, nikoliv v tísni za nápadně nevýhodných podmínek. Na důkaz těchto skutečností připojují své podpisy.</w:t>
      </w:r>
    </w:p>
    <w:p w:rsidR="00D5456A" w:rsidRPr="00655C0A" w:rsidRDefault="00D5456A">
      <w:pPr>
        <w:pStyle w:val="Odstavecseseznamem"/>
        <w:rPr>
          <w:rFonts w:eastAsia="Symbol" w:cs="Symbol"/>
          <w:bCs/>
        </w:rPr>
      </w:pPr>
    </w:p>
    <w:p w:rsidR="00D5456A" w:rsidRPr="00655C0A" w:rsidRDefault="00655C0A">
      <w:pPr>
        <w:pStyle w:val="Zkladntextodsazen"/>
        <w:numPr>
          <w:ilvl w:val="1"/>
          <w:numId w:val="6"/>
        </w:numPr>
        <w:ind w:left="709" w:hanging="709"/>
        <w:jc w:val="both"/>
        <w:rPr>
          <w:rFonts w:eastAsia="Symbol" w:cs="Symbol"/>
        </w:rPr>
      </w:pPr>
      <w:r w:rsidRPr="00655C0A">
        <w:rPr>
          <w:rFonts w:eastAsia="Symbol" w:cs="Symbol"/>
          <w:bCs w:val="0"/>
        </w:rPr>
        <w:t>Uzavření smlouvy bylo schváleno usnesením Rady města dne 22. 1.2016 číslo usnesení 053/16.</w:t>
      </w:r>
    </w:p>
    <w:p w:rsidR="00D5456A" w:rsidRDefault="00D5456A">
      <w:pPr>
        <w:ind w:left="540" w:hanging="540"/>
        <w:rPr>
          <w:rFonts w:eastAsia="Symbol" w:cs="Symbol"/>
          <w:b/>
          <w:bCs/>
          <w:u w:val="single"/>
        </w:rPr>
      </w:pPr>
    </w:p>
    <w:p w:rsidR="00D5456A" w:rsidRDefault="00D5456A">
      <w:pPr>
        <w:rPr>
          <w:rFonts w:eastAsia="Symbol" w:cs="Symbol"/>
          <w:b/>
          <w:u w:val="single"/>
        </w:rPr>
      </w:pPr>
    </w:p>
    <w:p w:rsidR="00D5456A" w:rsidRDefault="00655C0A">
      <w:pPr>
        <w:rPr>
          <w:bCs/>
        </w:rPr>
      </w:pPr>
      <w:r>
        <w:rPr>
          <w:rFonts w:eastAsia="Symbol" w:cs="Symbol"/>
          <w:bCs/>
        </w:rPr>
        <w:t>V …………… dne ……………</w:t>
      </w:r>
      <w:r>
        <w:rPr>
          <w:rFonts w:eastAsia="Symbol" w:cs="Symbol"/>
          <w:bCs/>
        </w:rPr>
        <w:tab/>
      </w:r>
      <w:r>
        <w:rPr>
          <w:rFonts w:eastAsia="Symbol" w:cs="Symbol"/>
          <w:bCs/>
        </w:rPr>
        <w:tab/>
        <w:t>V ……………… dne …………</w:t>
      </w:r>
    </w:p>
    <w:p w:rsidR="00D5456A" w:rsidRDefault="00D5456A">
      <w:pPr>
        <w:rPr>
          <w:rFonts w:eastAsia="Symbol" w:cs="Symbol"/>
          <w:bCs/>
        </w:rPr>
      </w:pPr>
    </w:p>
    <w:p w:rsidR="00D5456A" w:rsidRDefault="00D5456A">
      <w:pPr>
        <w:rPr>
          <w:rFonts w:eastAsia="Symbol" w:cs="Symbol"/>
          <w:bCs/>
        </w:rPr>
      </w:pPr>
    </w:p>
    <w:p w:rsidR="00D5456A" w:rsidRDefault="00D5456A">
      <w:pPr>
        <w:rPr>
          <w:rFonts w:eastAsia="Symbol" w:cs="Symbol"/>
          <w:bCs/>
        </w:rPr>
      </w:pPr>
    </w:p>
    <w:p w:rsidR="00D5456A" w:rsidRDefault="00D5456A">
      <w:pPr>
        <w:rPr>
          <w:rFonts w:eastAsia="Symbol" w:cs="Symbol"/>
          <w:bCs/>
        </w:rPr>
      </w:pPr>
    </w:p>
    <w:p w:rsidR="00D5456A" w:rsidRDefault="00655C0A">
      <w:pPr>
        <w:rPr>
          <w:bCs/>
        </w:rPr>
      </w:pPr>
      <w:r>
        <w:rPr>
          <w:bCs/>
        </w:rPr>
        <w:t>………………………………</w:t>
      </w:r>
      <w:r>
        <w:rPr>
          <w:rFonts w:eastAsia="Symbol" w:cs="Symbol"/>
          <w:bCs/>
        </w:rPr>
        <w:tab/>
      </w:r>
      <w:r>
        <w:rPr>
          <w:rFonts w:eastAsia="Symbol" w:cs="Symbol"/>
          <w:bCs/>
        </w:rPr>
        <w:tab/>
        <w:t>………………………………</w:t>
      </w:r>
    </w:p>
    <w:p w:rsidR="00D5456A" w:rsidRDefault="00655C0A">
      <w:pPr>
        <w:rPr>
          <w:rFonts w:eastAsia="Symbol" w:cs="Symbol"/>
          <w:bCs/>
        </w:rPr>
      </w:pPr>
      <w:r>
        <w:rPr>
          <w:rFonts w:eastAsia="Symbol" w:cs="Symbol"/>
          <w:bCs/>
        </w:rPr>
        <w:t>Poskytovatel</w:t>
      </w:r>
      <w:r>
        <w:rPr>
          <w:rFonts w:eastAsia="Symbol" w:cs="Symbol"/>
          <w:bCs/>
        </w:rPr>
        <w:tab/>
      </w:r>
      <w:r>
        <w:rPr>
          <w:rFonts w:eastAsia="Symbol" w:cs="Symbol"/>
          <w:bCs/>
        </w:rPr>
        <w:tab/>
      </w:r>
      <w:r>
        <w:rPr>
          <w:rFonts w:eastAsia="Symbol" w:cs="Symbol"/>
          <w:bCs/>
        </w:rPr>
        <w:tab/>
      </w:r>
      <w:r>
        <w:rPr>
          <w:rFonts w:eastAsia="Symbol" w:cs="Symbol"/>
          <w:bCs/>
        </w:rPr>
        <w:tab/>
      </w:r>
      <w:r>
        <w:rPr>
          <w:rFonts w:eastAsia="Symbol" w:cs="Symbol"/>
          <w:bCs/>
        </w:rPr>
        <w:tab/>
        <w:t>Odběratel</w:t>
      </w:r>
    </w:p>
    <w:p w:rsidR="00D5456A" w:rsidRDefault="00655C0A">
      <w:pPr>
        <w:rPr>
          <w:bCs/>
        </w:rPr>
      </w:pPr>
      <w:r>
        <w:rPr>
          <w:rFonts w:eastAsia="Symbol" w:cs="Symbol"/>
          <w:bCs/>
        </w:rPr>
        <w:t>TepNet a.s.</w:t>
      </w:r>
      <w:r>
        <w:rPr>
          <w:rFonts w:eastAsia="Symbol" w:cs="Symbol"/>
          <w:bCs/>
        </w:rPr>
        <w:tab/>
      </w:r>
      <w:r>
        <w:rPr>
          <w:rFonts w:eastAsia="Symbol" w:cs="Symbol"/>
          <w:bCs/>
        </w:rPr>
        <w:tab/>
      </w:r>
      <w:r>
        <w:rPr>
          <w:rFonts w:eastAsia="Symbol" w:cs="Symbol"/>
          <w:bCs/>
        </w:rPr>
        <w:tab/>
      </w:r>
      <w:r>
        <w:rPr>
          <w:rFonts w:eastAsia="Symbol" w:cs="Symbol"/>
          <w:bCs/>
        </w:rPr>
        <w:tab/>
      </w:r>
      <w:r>
        <w:rPr>
          <w:rFonts w:eastAsia="Symbol" w:cs="Symbol"/>
          <w:bCs/>
        </w:rPr>
        <w:tab/>
        <w:t xml:space="preserve">Statutární město Teplice                     </w:t>
      </w:r>
    </w:p>
    <w:p w:rsidR="00D5456A" w:rsidRDefault="00D5456A">
      <w:pPr>
        <w:rPr>
          <w:rFonts w:eastAsia="Symbol" w:cs="Symbol"/>
          <w:bCs/>
        </w:rPr>
      </w:pPr>
    </w:p>
    <w:p w:rsidR="00D5456A" w:rsidRDefault="00D5456A">
      <w:pPr>
        <w:rPr>
          <w:rFonts w:eastAsia="Symbol" w:cs="Symbol"/>
          <w:bCs/>
        </w:rPr>
      </w:pPr>
    </w:p>
    <w:p w:rsidR="00D5456A" w:rsidRDefault="00655C0A">
      <w:pPr>
        <w:tabs>
          <w:tab w:val="left" w:pos="1418"/>
        </w:tabs>
        <w:ind w:left="2832" w:hanging="2832"/>
        <w:rPr>
          <w:bCs/>
        </w:rPr>
      </w:pPr>
      <w:r>
        <w:rPr>
          <w:rFonts w:eastAsia="Symbol" w:cs="Symbol"/>
          <w:bCs/>
        </w:rPr>
        <w:t>Přílohy:</w:t>
      </w:r>
      <w:r>
        <w:rPr>
          <w:rFonts w:eastAsia="Symbol" w:cs="Symbol"/>
          <w:bCs/>
        </w:rPr>
        <w:tab/>
        <w:t xml:space="preserve">Příloha č. 1 </w:t>
      </w:r>
      <w:r>
        <w:rPr>
          <w:rFonts w:eastAsia="Symbol" w:cs="Symbol"/>
          <w:bCs/>
        </w:rPr>
        <w:tab/>
        <w:t>Adresy lokalit napojovacích bodů</w:t>
      </w:r>
    </w:p>
    <w:p w:rsidR="00D5456A" w:rsidRDefault="00655C0A">
      <w:pPr>
        <w:rPr>
          <w:bCs/>
        </w:rPr>
      </w:pPr>
      <w:r>
        <w:rPr>
          <w:rFonts w:eastAsia="Symbol" w:cs="Symbol"/>
          <w:bCs/>
        </w:rPr>
        <w:tab/>
      </w:r>
      <w:r>
        <w:rPr>
          <w:rFonts w:eastAsia="Symbol" w:cs="Symbol"/>
          <w:bCs/>
        </w:rPr>
        <w:tab/>
        <w:t xml:space="preserve">Příloha č. 2 </w:t>
      </w:r>
      <w:r>
        <w:rPr>
          <w:rFonts w:eastAsia="Symbol" w:cs="Symbol"/>
          <w:bCs/>
        </w:rPr>
        <w:tab/>
        <w:t>Mapa s označením lokalit napojovacích bodů</w:t>
      </w:r>
    </w:p>
    <w:p w:rsidR="00D5456A" w:rsidRDefault="00D5456A">
      <w:pPr>
        <w:pStyle w:val="Nadpis6"/>
        <w:jc w:val="left"/>
        <w:rPr>
          <w:rFonts w:eastAsia="Symbol" w:cs="Symbol"/>
          <w:bCs/>
          <w:u w:val="none"/>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rPr>
          <w:rFonts w:eastAsia="Symbol" w:cs="Symbol"/>
        </w:rPr>
      </w:pPr>
    </w:p>
    <w:p w:rsidR="00D5456A" w:rsidRDefault="00D5456A">
      <w:pPr>
        <w:pStyle w:val="Nadpis6"/>
        <w:jc w:val="left"/>
        <w:rPr>
          <w:rFonts w:eastAsia="Symbol" w:cs="Symbol"/>
          <w:u w:val="none"/>
        </w:rPr>
      </w:pPr>
    </w:p>
    <w:p w:rsidR="00D5456A" w:rsidRDefault="00D5456A">
      <w:pPr>
        <w:pStyle w:val="Nadpis6"/>
        <w:jc w:val="left"/>
        <w:rPr>
          <w:rFonts w:eastAsia="Symbol" w:cs="Symbol"/>
          <w:u w:val="none"/>
        </w:rPr>
      </w:pPr>
    </w:p>
    <w:p w:rsidR="00D5456A" w:rsidRDefault="00655C0A">
      <w:pPr>
        <w:pStyle w:val="Nadpis6"/>
        <w:jc w:val="left"/>
        <w:rPr>
          <w:rFonts w:eastAsia="Symbol" w:cs="Symbol"/>
          <w:u w:val="none"/>
        </w:rPr>
      </w:pPr>
      <w:r>
        <w:rPr>
          <w:rFonts w:eastAsia="Symbol" w:cs="Symbol"/>
          <w:u w:val="none"/>
        </w:rPr>
        <w:t>Příloha č. 1</w:t>
      </w:r>
    </w:p>
    <w:p w:rsidR="00D5456A" w:rsidRDefault="00D5456A">
      <w:pPr>
        <w:jc w:val="center"/>
        <w:rPr>
          <w:rFonts w:eastAsia="Symbol" w:cs="Symbol"/>
          <w:b/>
          <w:u w:val="single"/>
        </w:rPr>
      </w:pPr>
    </w:p>
    <w:p w:rsidR="00D5456A" w:rsidRDefault="00655C0A">
      <w:pPr>
        <w:pStyle w:val="Nadpis7"/>
        <w:rPr>
          <w:rFonts w:eastAsia="Symbol" w:cs="Symbol"/>
          <w:sz w:val="36"/>
          <w:u w:val="none"/>
        </w:rPr>
      </w:pPr>
      <w:r>
        <w:rPr>
          <w:rFonts w:eastAsia="Symbol" w:cs="Symbol"/>
          <w:sz w:val="36"/>
          <w:u w:val="none"/>
        </w:rPr>
        <w:t>Adresy lokalit napojovacích bodů</w:t>
      </w:r>
    </w:p>
    <w:p w:rsidR="00D5456A" w:rsidRDefault="00D5456A">
      <w:pPr>
        <w:pStyle w:val="Nadpis7"/>
        <w:rPr>
          <w:rFonts w:eastAsia="Symbol" w:cs="Symbol"/>
          <w:sz w:val="36"/>
          <w:u w:val="none"/>
        </w:rPr>
      </w:pPr>
    </w:p>
    <w:p w:rsidR="00D5456A" w:rsidRDefault="00D5456A">
      <w:pPr>
        <w:pStyle w:val="Nadpis6"/>
        <w:jc w:val="left"/>
        <w:rPr>
          <w:rFonts w:eastAsia="Symbol" w:cs="Symbol"/>
          <w:u w:val="none"/>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Default="00655C0A" w:rsidP="00655C0A">
      <w:pPr>
        <w:rPr>
          <w:rFonts w:eastAsia="Symbol"/>
        </w:rPr>
      </w:pPr>
    </w:p>
    <w:p w:rsidR="00655C0A" w:rsidRPr="00655C0A" w:rsidRDefault="00655C0A" w:rsidP="00655C0A">
      <w:pPr>
        <w:rPr>
          <w:rFonts w:eastAsia="Symbol"/>
        </w:rPr>
      </w:pPr>
    </w:p>
    <w:p w:rsidR="00D5456A" w:rsidRDefault="00D5456A">
      <w:pPr>
        <w:pStyle w:val="Nadpis6"/>
        <w:jc w:val="left"/>
        <w:rPr>
          <w:rFonts w:eastAsia="Symbol" w:cs="Symbol"/>
          <w:u w:val="none"/>
        </w:rPr>
      </w:pPr>
    </w:p>
    <w:p w:rsidR="00655C0A" w:rsidRDefault="00655C0A">
      <w:pPr>
        <w:pStyle w:val="Nadpis6"/>
        <w:jc w:val="left"/>
        <w:rPr>
          <w:rFonts w:eastAsia="Symbol" w:cs="Symbol"/>
          <w:u w:val="none"/>
        </w:rPr>
      </w:pPr>
    </w:p>
    <w:p w:rsidR="00D5456A" w:rsidRDefault="00655C0A">
      <w:pPr>
        <w:pStyle w:val="Nadpis6"/>
        <w:jc w:val="left"/>
        <w:rPr>
          <w:rFonts w:eastAsia="Symbol" w:cs="Symbol"/>
          <w:u w:val="none"/>
        </w:rPr>
      </w:pPr>
      <w:r>
        <w:rPr>
          <w:rFonts w:eastAsia="Symbol" w:cs="Symbol"/>
          <w:u w:val="none"/>
        </w:rPr>
        <w:t>Příloha č. 2</w:t>
      </w:r>
    </w:p>
    <w:p w:rsidR="00D5456A" w:rsidRDefault="00D5456A">
      <w:pPr>
        <w:rPr>
          <w:rFonts w:eastAsia="Symbol" w:cs="Symbol"/>
        </w:rPr>
      </w:pPr>
    </w:p>
    <w:p w:rsidR="00D5456A" w:rsidRDefault="00D5456A">
      <w:pPr>
        <w:jc w:val="center"/>
        <w:rPr>
          <w:rFonts w:eastAsia="Symbol" w:cs="Symbol"/>
          <w:b/>
          <w:u w:val="single"/>
        </w:rPr>
      </w:pPr>
    </w:p>
    <w:p w:rsidR="00D5456A" w:rsidRDefault="00655C0A">
      <w:pPr>
        <w:pStyle w:val="Nadpis7"/>
        <w:rPr>
          <w:sz w:val="36"/>
          <w:u w:val="none"/>
        </w:rPr>
      </w:pPr>
      <w:r>
        <w:rPr>
          <w:rFonts w:eastAsia="Symbol" w:cs="Symbol"/>
          <w:sz w:val="36"/>
          <w:u w:val="none"/>
        </w:rPr>
        <w:t>Mapa s označením lokalit napojovacích bodů</w:t>
      </w:r>
    </w:p>
    <w:p w:rsidR="00D5456A" w:rsidRDefault="00D5456A">
      <w:pPr>
        <w:ind w:left="360"/>
        <w:rPr>
          <w:rFonts w:eastAsia="Symbol" w:cs="Symbol"/>
          <w:sz w:val="36"/>
        </w:rPr>
      </w:pPr>
    </w:p>
    <w:p w:rsidR="00D5456A" w:rsidRDefault="00D5456A">
      <w:pPr>
        <w:ind w:left="360"/>
        <w:rPr>
          <w:rFonts w:eastAsia="Symbol" w:cs="Symbol"/>
        </w:rPr>
      </w:pPr>
    </w:p>
    <w:sectPr w:rsidR="00D5456A">
      <w:headerReference w:type="default" r:id="rId8"/>
      <w:footerReference w:type="default" r:id="rId9"/>
      <w:pgSz w:w="11906" w:h="16820"/>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DF" w:rsidRDefault="00C466DF">
      <w:r>
        <w:separator/>
      </w:r>
    </w:p>
  </w:endnote>
  <w:endnote w:type="continuationSeparator" w:id="0">
    <w:p w:rsidR="00C466DF" w:rsidRDefault="00C4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6A" w:rsidRDefault="00655C0A">
    <w:pPr>
      <w:pStyle w:val="Zpat"/>
      <w:jc w:val="center"/>
    </w:pPr>
    <w:r>
      <w:rPr>
        <w:color w:val="808080"/>
        <w:sz w:val="20"/>
      </w:rPr>
      <w:t xml:space="preserve">Strana </w:t>
    </w:r>
    <w:r>
      <w:rPr>
        <w:color w:val="808080"/>
        <w:sz w:val="20"/>
      </w:rPr>
      <w:fldChar w:fldCharType="begin"/>
    </w:r>
    <w:r>
      <w:instrText>PAGE</w:instrText>
    </w:r>
    <w:r>
      <w:fldChar w:fldCharType="separate"/>
    </w:r>
    <w:r w:rsidR="00AA4E43">
      <w:rPr>
        <w:noProof/>
      </w:rPr>
      <w:t>1</w:t>
    </w:r>
    <w:r>
      <w:fldChar w:fldCharType="end"/>
    </w:r>
    <w:r>
      <w:rPr>
        <w:color w:val="808080"/>
        <w:sz w:val="20"/>
      </w:rPr>
      <w:t xml:space="preserve"> (celkem </w:t>
    </w:r>
    <w:r>
      <w:rPr>
        <w:color w:val="808080"/>
        <w:sz w:val="20"/>
      </w:rPr>
      <w:fldChar w:fldCharType="begin"/>
    </w:r>
    <w:r>
      <w:instrText>NUMPAGES \* ARABIC</w:instrText>
    </w:r>
    <w:r>
      <w:fldChar w:fldCharType="separate"/>
    </w:r>
    <w:r w:rsidR="00AA4E43">
      <w:rPr>
        <w:noProof/>
      </w:rPr>
      <w:t>9</w:t>
    </w:r>
    <w:r>
      <w:fldChar w:fldCharType="end"/>
    </w:r>
    <w:r>
      <w:rPr>
        <w:color w:val="80808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DF" w:rsidRDefault="00C466DF">
      <w:r>
        <w:separator/>
      </w:r>
    </w:p>
  </w:footnote>
  <w:footnote w:type="continuationSeparator" w:id="0">
    <w:p w:rsidR="00C466DF" w:rsidRDefault="00C4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6A" w:rsidRDefault="00655C0A">
    <w:pPr>
      <w:pStyle w:val="Zhlav"/>
    </w:pPr>
    <w:r>
      <w:rPr>
        <w:color w:val="808080"/>
        <w:sz w:val="20"/>
      </w:rPr>
      <w:t>TepNet a.s.</w:t>
    </w:r>
    <w:r>
      <w:rPr>
        <w:color w:val="808080"/>
        <w:sz w:val="20"/>
      </w:rPr>
      <w:tab/>
      <w:t>2016</w:t>
    </w:r>
    <w:r>
      <w:rPr>
        <w:color w:val="808080"/>
        <w:sz w:val="20"/>
      </w:rPr>
      <w:tab/>
      <w:t>Statutární město Teplice – Městská Policie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3E"/>
    <w:multiLevelType w:val="multilevel"/>
    <w:tmpl w:val="B7D02A2C"/>
    <w:lvl w:ilvl="0">
      <w:start w:val="1"/>
      <w:numFmt w:val="upperRoman"/>
      <w:suff w:val="nothing"/>
      <w:lvlText w:val="Čl. %1"/>
      <w:lvlJc w:val="left"/>
      <w:pPr>
        <w:ind w:left="0" w:firstLine="0"/>
      </w:pPr>
      <w:rPr>
        <w:rFonts w:ascii="Arial" w:hAnsi="Arial" w:cs="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cs="Times New Roman"/>
      </w:rPr>
    </w:lvl>
    <w:lvl w:ilvl="2">
      <w:start w:val="1"/>
      <w:numFmt w:val="decima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A3B3B44"/>
    <w:multiLevelType w:val="multilevel"/>
    <w:tmpl w:val="C94CE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085FB9"/>
    <w:multiLevelType w:val="multilevel"/>
    <w:tmpl w:val="21AC25BE"/>
    <w:lvl w:ilvl="0">
      <w:start w:val="9"/>
      <w:numFmt w:val="decimal"/>
      <w:lvlText w:val="%1."/>
      <w:lvlJc w:val="left"/>
      <w:pPr>
        <w:tabs>
          <w:tab w:val="num" w:pos="705"/>
        </w:tabs>
        <w:ind w:left="705" w:hanging="705"/>
      </w:pPr>
      <w:rPr>
        <w:rFonts w:eastAsia="Symbol"/>
      </w:rPr>
    </w:lvl>
    <w:lvl w:ilvl="1">
      <w:start w:val="1"/>
      <w:numFmt w:val="decimal"/>
      <w:lvlText w:val="%1.%2."/>
      <w:lvlJc w:val="left"/>
      <w:pPr>
        <w:tabs>
          <w:tab w:val="num" w:pos="705"/>
        </w:tabs>
        <w:ind w:left="705" w:hanging="705"/>
      </w:pPr>
      <w:rPr>
        <w:rFonts w:eastAsia="Symbol"/>
      </w:rPr>
    </w:lvl>
    <w:lvl w:ilvl="2">
      <w:start w:val="1"/>
      <w:numFmt w:val="decimal"/>
      <w:lvlText w:val="%1.%2.%3."/>
      <w:lvlJc w:val="left"/>
      <w:pPr>
        <w:tabs>
          <w:tab w:val="num" w:pos="720"/>
        </w:tabs>
        <w:ind w:left="720" w:hanging="720"/>
      </w:pPr>
      <w:rPr>
        <w:rFonts w:eastAsia="Symbol"/>
      </w:rPr>
    </w:lvl>
    <w:lvl w:ilvl="3">
      <w:start w:val="1"/>
      <w:numFmt w:val="decimal"/>
      <w:lvlText w:val="%1.%2.%3.%4."/>
      <w:lvlJc w:val="left"/>
      <w:pPr>
        <w:tabs>
          <w:tab w:val="num" w:pos="720"/>
        </w:tabs>
        <w:ind w:left="720" w:hanging="720"/>
      </w:pPr>
      <w:rPr>
        <w:rFonts w:eastAsia="Symbol"/>
      </w:rPr>
    </w:lvl>
    <w:lvl w:ilvl="4">
      <w:start w:val="1"/>
      <w:numFmt w:val="decimal"/>
      <w:lvlText w:val="%1.%2.%3.%4.%5."/>
      <w:lvlJc w:val="left"/>
      <w:pPr>
        <w:tabs>
          <w:tab w:val="num" w:pos="1080"/>
        </w:tabs>
        <w:ind w:left="1080" w:hanging="1080"/>
      </w:pPr>
      <w:rPr>
        <w:rFonts w:eastAsia="Symbol"/>
      </w:rPr>
    </w:lvl>
    <w:lvl w:ilvl="5">
      <w:start w:val="1"/>
      <w:numFmt w:val="decimal"/>
      <w:lvlText w:val="%1.%2.%3.%4.%5.%6."/>
      <w:lvlJc w:val="left"/>
      <w:pPr>
        <w:tabs>
          <w:tab w:val="num" w:pos="1080"/>
        </w:tabs>
        <w:ind w:left="1080" w:hanging="1080"/>
      </w:pPr>
      <w:rPr>
        <w:rFonts w:eastAsia="Symbol"/>
      </w:rPr>
    </w:lvl>
    <w:lvl w:ilvl="6">
      <w:start w:val="1"/>
      <w:numFmt w:val="decimal"/>
      <w:lvlText w:val="%1.%2.%3.%4.%5.%6.%7."/>
      <w:lvlJc w:val="left"/>
      <w:pPr>
        <w:tabs>
          <w:tab w:val="num" w:pos="1440"/>
        </w:tabs>
        <w:ind w:left="1440" w:hanging="1440"/>
      </w:pPr>
      <w:rPr>
        <w:rFonts w:eastAsia="Symbol"/>
      </w:rPr>
    </w:lvl>
    <w:lvl w:ilvl="7">
      <w:start w:val="1"/>
      <w:numFmt w:val="decimal"/>
      <w:lvlText w:val="%1.%2.%3.%4.%5.%6.%7.%8."/>
      <w:lvlJc w:val="left"/>
      <w:pPr>
        <w:tabs>
          <w:tab w:val="num" w:pos="1440"/>
        </w:tabs>
        <w:ind w:left="1440" w:hanging="1440"/>
      </w:pPr>
      <w:rPr>
        <w:rFonts w:eastAsia="Symbol"/>
      </w:rPr>
    </w:lvl>
    <w:lvl w:ilvl="8">
      <w:start w:val="1"/>
      <w:numFmt w:val="decimal"/>
      <w:lvlText w:val="%1.%2.%3.%4.%5.%6.%7.%8.%9."/>
      <w:lvlJc w:val="left"/>
      <w:pPr>
        <w:tabs>
          <w:tab w:val="num" w:pos="1800"/>
        </w:tabs>
        <w:ind w:left="1800" w:hanging="1800"/>
      </w:pPr>
      <w:rPr>
        <w:rFonts w:eastAsia="Symbol"/>
      </w:rPr>
    </w:lvl>
  </w:abstractNum>
  <w:abstractNum w:abstractNumId="3">
    <w:nsid w:val="133F7CDD"/>
    <w:multiLevelType w:val="multilevel"/>
    <w:tmpl w:val="D9542E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026E78"/>
    <w:multiLevelType w:val="multilevel"/>
    <w:tmpl w:val="87A4368A"/>
    <w:lvl w:ilvl="0">
      <w:start w:val="1"/>
      <w:numFmt w:val="lowerLetter"/>
      <w:lvlText w:val="%1)"/>
      <w:lvlJc w:val="left"/>
      <w:pPr>
        <w:tabs>
          <w:tab w:val="num" w:pos="1260"/>
        </w:tabs>
        <w:ind w:left="1260" w:hanging="360"/>
      </w:pPr>
      <w:rPr>
        <w:bCs/>
      </w:rPr>
    </w:lvl>
    <w:lvl w:ilvl="1">
      <w:start w:val="7"/>
      <w:numFmt w:val="bullet"/>
      <w:lvlText w:val="-"/>
      <w:lvlJc w:val="left"/>
      <w:pPr>
        <w:tabs>
          <w:tab w:val="num" w:pos="1980"/>
        </w:tabs>
        <w:ind w:left="1980" w:hanging="360"/>
      </w:pPr>
      <w:rPr>
        <w:rFonts w:ascii="Times New Roman" w:hAnsi="Times New Roman" w:cs="Times New Roman"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2D363F1B"/>
    <w:multiLevelType w:val="multilevel"/>
    <w:tmpl w:val="666EEDC4"/>
    <w:lvl w:ilvl="0">
      <w:start w:val="1"/>
      <w:numFmt w:val="lowerLetter"/>
      <w:lvlText w:val="%1)"/>
      <w:lvlJc w:val="left"/>
      <w:pPr>
        <w:tabs>
          <w:tab w:val="num" w:pos="1068"/>
        </w:tabs>
        <w:ind w:left="1068"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642C2"/>
    <w:multiLevelType w:val="multilevel"/>
    <w:tmpl w:val="9A646C9C"/>
    <w:lvl w:ilvl="0">
      <w:start w:val="4"/>
      <w:numFmt w:val="decimal"/>
      <w:lvlText w:val="%1."/>
      <w:lvlJc w:val="left"/>
      <w:pPr>
        <w:tabs>
          <w:tab w:val="num" w:pos="360"/>
        </w:tabs>
        <w:ind w:left="360" w:hanging="360"/>
      </w:pPr>
      <w:rPr>
        <w:bCs/>
      </w:rPr>
    </w:lvl>
    <w:lvl w:ilvl="1">
      <w:start w:val="1"/>
      <w:numFmt w:val="decimal"/>
      <w:lvlText w:val="%1.%2."/>
      <w:lvlJc w:val="left"/>
      <w:pPr>
        <w:tabs>
          <w:tab w:val="num" w:pos="360"/>
        </w:tabs>
        <w:ind w:left="360" w:hanging="360"/>
      </w:pPr>
      <w:rPr>
        <w:bCs/>
      </w:rPr>
    </w:lvl>
    <w:lvl w:ilvl="2">
      <w:start w:val="1"/>
      <w:numFmt w:val="upperRoman"/>
      <w:lvlText w:val="%1.%2.%3."/>
      <w:lvlJc w:val="left"/>
      <w:pPr>
        <w:tabs>
          <w:tab w:val="num" w:pos="1080"/>
        </w:tabs>
        <w:ind w:left="1080" w:hanging="1080"/>
      </w:pPr>
      <w:rPr>
        <w:bCs/>
      </w:rPr>
    </w:lvl>
    <w:lvl w:ilvl="3">
      <w:start w:val="1"/>
      <w:numFmt w:val="decimal"/>
      <w:lvlText w:val="%1.%2.%3.%4."/>
      <w:lvlJc w:val="left"/>
      <w:pPr>
        <w:tabs>
          <w:tab w:val="num" w:pos="720"/>
        </w:tabs>
        <w:ind w:left="720" w:hanging="720"/>
      </w:pPr>
      <w:rPr>
        <w:bCs/>
      </w:rPr>
    </w:lvl>
    <w:lvl w:ilvl="4">
      <w:start w:val="1"/>
      <w:numFmt w:val="decimal"/>
      <w:lvlText w:val="%1.%2.%3.%4.%5."/>
      <w:lvlJc w:val="left"/>
      <w:pPr>
        <w:tabs>
          <w:tab w:val="num" w:pos="1080"/>
        </w:tabs>
        <w:ind w:left="1080" w:hanging="1080"/>
      </w:pPr>
      <w:rPr>
        <w:bCs/>
      </w:rPr>
    </w:lvl>
    <w:lvl w:ilvl="5">
      <w:start w:val="1"/>
      <w:numFmt w:val="decimal"/>
      <w:lvlText w:val="%1.%2.%3.%4.%5.%6."/>
      <w:lvlJc w:val="left"/>
      <w:pPr>
        <w:tabs>
          <w:tab w:val="num" w:pos="1080"/>
        </w:tabs>
        <w:ind w:left="1080" w:hanging="1080"/>
      </w:pPr>
      <w:rPr>
        <w:bCs/>
      </w:rPr>
    </w:lvl>
    <w:lvl w:ilvl="6">
      <w:start w:val="1"/>
      <w:numFmt w:val="decimal"/>
      <w:lvlText w:val="%1.%2.%3.%4.%5.%6.%7."/>
      <w:lvlJc w:val="left"/>
      <w:pPr>
        <w:tabs>
          <w:tab w:val="num" w:pos="1440"/>
        </w:tabs>
        <w:ind w:left="1440" w:hanging="1440"/>
      </w:pPr>
      <w:rPr>
        <w:bCs/>
      </w:rPr>
    </w:lvl>
    <w:lvl w:ilvl="7">
      <w:start w:val="1"/>
      <w:numFmt w:val="decimal"/>
      <w:lvlText w:val="%1.%2.%3.%4.%5.%6.%7.%8."/>
      <w:lvlJc w:val="left"/>
      <w:pPr>
        <w:tabs>
          <w:tab w:val="num" w:pos="1440"/>
        </w:tabs>
        <w:ind w:left="1440" w:hanging="1440"/>
      </w:pPr>
      <w:rPr>
        <w:bCs/>
      </w:rPr>
    </w:lvl>
    <w:lvl w:ilvl="8">
      <w:start w:val="1"/>
      <w:numFmt w:val="decimal"/>
      <w:lvlText w:val="%1.%2.%3.%4.%5.%6.%7.%8.%9."/>
      <w:lvlJc w:val="left"/>
      <w:pPr>
        <w:tabs>
          <w:tab w:val="num" w:pos="1800"/>
        </w:tabs>
        <w:ind w:left="1800" w:hanging="1800"/>
      </w:pPr>
      <w:rPr>
        <w:bCs/>
      </w:rPr>
    </w:lvl>
  </w:abstractNum>
  <w:abstractNum w:abstractNumId="7">
    <w:nsid w:val="3C571B42"/>
    <w:multiLevelType w:val="multilevel"/>
    <w:tmpl w:val="D5A80646"/>
    <w:lvl w:ilvl="0">
      <w:start w:val="1"/>
      <w:numFmt w:val="lowerLetter"/>
      <w:lvlText w:val="%1)"/>
      <w:lvlJc w:val="left"/>
      <w:pPr>
        <w:tabs>
          <w:tab w:val="num" w:pos="1068"/>
        </w:tabs>
        <w:ind w:left="1068"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BA4798"/>
    <w:multiLevelType w:val="multilevel"/>
    <w:tmpl w:val="AFEC6B9A"/>
    <w:lvl w:ilvl="0">
      <w:start w:val="3"/>
      <w:numFmt w:val="decimal"/>
      <w:lvlText w:val="%1."/>
      <w:lvlJc w:val="left"/>
      <w:pPr>
        <w:tabs>
          <w:tab w:val="num" w:pos="540"/>
        </w:tabs>
        <w:ind w:left="540" w:hanging="540"/>
      </w:pPr>
      <w:rPr>
        <w:bCs/>
      </w:rPr>
    </w:lvl>
    <w:lvl w:ilvl="1">
      <w:start w:val="1"/>
      <w:numFmt w:val="decimal"/>
      <w:lvlText w:val="%1.%2."/>
      <w:lvlJc w:val="left"/>
      <w:pPr>
        <w:tabs>
          <w:tab w:val="num" w:pos="540"/>
        </w:tabs>
        <w:ind w:left="540" w:hanging="540"/>
      </w:pPr>
      <w:rPr>
        <w:bCs/>
      </w:rPr>
    </w:lvl>
    <w:lvl w:ilvl="2">
      <w:start w:val="1"/>
      <w:numFmt w:val="decimal"/>
      <w:lvlText w:val="%1.%2.%3."/>
      <w:lvlJc w:val="left"/>
      <w:pPr>
        <w:tabs>
          <w:tab w:val="num" w:pos="720"/>
        </w:tabs>
        <w:ind w:left="720" w:hanging="720"/>
      </w:pPr>
      <w:rPr>
        <w:bCs/>
      </w:rPr>
    </w:lvl>
    <w:lvl w:ilvl="3">
      <w:start w:val="1"/>
      <w:numFmt w:val="decimal"/>
      <w:lvlText w:val="%1.%2.%3.%4."/>
      <w:lvlJc w:val="left"/>
      <w:pPr>
        <w:tabs>
          <w:tab w:val="num" w:pos="720"/>
        </w:tabs>
        <w:ind w:left="720" w:hanging="720"/>
      </w:pPr>
      <w:rPr>
        <w:bCs/>
      </w:rPr>
    </w:lvl>
    <w:lvl w:ilvl="4">
      <w:start w:val="1"/>
      <w:numFmt w:val="decimal"/>
      <w:lvlText w:val="%1.%2.%3.%4.%5."/>
      <w:lvlJc w:val="left"/>
      <w:pPr>
        <w:tabs>
          <w:tab w:val="num" w:pos="1080"/>
        </w:tabs>
        <w:ind w:left="1080" w:hanging="1080"/>
      </w:pPr>
      <w:rPr>
        <w:bCs/>
      </w:rPr>
    </w:lvl>
    <w:lvl w:ilvl="5">
      <w:start w:val="1"/>
      <w:numFmt w:val="decimal"/>
      <w:lvlText w:val="%1.%2.%3.%4.%5.%6."/>
      <w:lvlJc w:val="left"/>
      <w:pPr>
        <w:tabs>
          <w:tab w:val="num" w:pos="1080"/>
        </w:tabs>
        <w:ind w:left="1080" w:hanging="1080"/>
      </w:pPr>
      <w:rPr>
        <w:bCs/>
      </w:rPr>
    </w:lvl>
    <w:lvl w:ilvl="6">
      <w:start w:val="1"/>
      <w:numFmt w:val="decimal"/>
      <w:lvlText w:val="%1.%2.%3.%4.%5.%6.%7."/>
      <w:lvlJc w:val="left"/>
      <w:pPr>
        <w:tabs>
          <w:tab w:val="num" w:pos="1440"/>
        </w:tabs>
        <w:ind w:left="1440" w:hanging="1440"/>
      </w:pPr>
      <w:rPr>
        <w:bCs/>
      </w:rPr>
    </w:lvl>
    <w:lvl w:ilvl="7">
      <w:start w:val="1"/>
      <w:numFmt w:val="decimal"/>
      <w:lvlText w:val="%1.%2.%3.%4.%5.%6.%7.%8."/>
      <w:lvlJc w:val="left"/>
      <w:pPr>
        <w:tabs>
          <w:tab w:val="num" w:pos="1440"/>
        </w:tabs>
        <w:ind w:left="1440" w:hanging="1440"/>
      </w:pPr>
      <w:rPr>
        <w:bCs/>
      </w:rPr>
    </w:lvl>
    <w:lvl w:ilvl="8">
      <w:start w:val="1"/>
      <w:numFmt w:val="decimal"/>
      <w:lvlText w:val="%1.%2.%3.%4.%5.%6.%7.%8.%9."/>
      <w:lvlJc w:val="left"/>
      <w:pPr>
        <w:tabs>
          <w:tab w:val="num" w:pos="1800"/>
        </w:tabs>
        <w:ind w:left="1800" w:hanging="1800"/>
      </w:pPr>
      <w:rPr>
        <w:bCs/>
      </w:rPr>
    </w:lvl>
  </w:abstractNum>
  <w:abstractNum w:abstractNumId="9">
    <w:nsid w:val="4A4862EF"/>
    <w:multiLevelType w:val="multilevel"/>
    <w:tmpl w:val="524A5CE4"/>
    <w:lvl w:ilvl="0">
      <w:start w:val="11"/>
      <w:numFmt w:val="decimal"/>
      <w:lvlText w:val="%1."/>
      <w:lvlJc w:val="left"/>
      <w:pPr>
        <w:ind w:left="480" w:hanging="480"/>
      </w:pPr>
      <w:rPr>
        <w:rFonts w:eastAsia="Symbol" w:cs="Symbol"/>
        <w:bCs w:val="0"/>
      </w:rPr>
    </w:lvl>
    <w:lvl w:ilvl="1">
      <w:start w:val="4"/>
      <w:numFmt w:val="decimal"/>
      <w:lvlText w:val="%1.%2."/>
      <w:lvlJc w:val="left"/>
      <w:pPr>
        <w:ind w:left="480" w:hanging="480"/>
      </w:pPr>
      <w:rPr>
        <w:rFonts w:eastAsia="Symbol" w:cs="Symbol"/>
        <w:bCs w:val="0"/>
      </w:rPr>
    </w:lvl>
    <w:lvl w:ilvl="2">
      <w:start w:val="1"/>
      <w:numFmt w:val="decimal"/>
      <w:lvlText w:val="%1.%2.%3."/>
      <w:lvlJc w:val="left"/>
      <w:pPr>
        <w:ind w:left="1440" w:hanging="720"/>
      </w:pPr>
      <w:rPr>
        <w:rFonts w:eastAsia="Symbol" w:cs="Symbol"/>
        <w:bCs w:val="0"/>
      </w:rPr>
    </w:lvl>
    <w:lvl w:ilvl="3">
      <w:start w:val="1"/>
      <w:numFmt w:val="decimal"/>
      <w:lvlText w:val="%1.%2.%3.%4."/>
      <w:lvlJc w:val="left"/>
      <w:pPr>
        <w:ind w:left="1800" w:hanging="720"/>
      </w:pPr>
      <w:rPr>
        <w:rFonts w:eastAsia="Symbol" w:cs="Symbol"/>
        <w:bCs w:val="0"/>
      </w:rPr>
    </w:lvl>
    <w:lvl w:ilvl="4">
      <w:start w:val="1"/>
      <w:numFmt w:val="decimal"/>
      <w:lvlText w:val="%1.%2.%3.%4.%5."/>
      <w:lvlJc w:val="left"/>
      <w:pPr>
        <w:ind w:left="2520" w:hanging="1080"/>
      </w:pPr>
      <w:rPr>
        <w:rFonts w:eastAsia="Symbol" w:cs="Symbol"/>
        <w:bCs w:val="0"/>
      </w:rPr>
    </w:lvl>
    <w:lvl w:ilvl="5">
      <w:start w:val="1"/>
      <w:numFmt w:val="decimal"/>
      <w:lvlText w:val="%1.%2.%3.%4.%5.%6."/>
      <w:lvlJc w:val="left"/>
      <w:pPr>
        <w:ind w:left="2880" w:hanging="1080"/>
      </w:pPr>
      <w:rPr>
        <w:rFonts w:eastAsia="Symbol" w:cs="Symbol"/>
        <w:bCs w:val="0"/>
      </w:rPr>
    </w:lvl>
    <w:lvl w:ilvl="6">
      <w:start w:val="1"/>
      <w:numFmt w:val="decimal"/>
      <w:lvlText w:val="%1.%2.%3.%4.%5.%6.%7."/>
      <w:lvlJc w:val="left"/>
      <w:pPr>
        <w:ind w:left="3600" w:hanging="1440"/>
      </w:pPr>
      <w:rPr>
        <w:rFonts w:eastAsia="Symbol" w:cs="Symbol"/>
        <w:bCs w:val="0"/>
      </w:rPr>
    </w:lvl>
    <w:lvl w:ilvl="7">
      <w:start w:val="1"/>
      <w:numFmt w:val="decimal"/>
      <w:lvlText w:val="%1.%2.%3.%4.%5.%6.%7.%8."/>
      <w:lvlJc w:val="left"/>
      <w:pPr>
        <w:ind w:left="3960" w:hanging="1440"/>
      </w:pPr>
      <w:rPr>
        <w:rFonts w:eastAsia="Symbol" w:cs="Symbol"/>
        <w:bCs w:val="0"/>
      </w:rPr>
    </w:lvl>
    <w:lvl w:ilvl="8">
      <w:start w:val="1"/>
      <w:numFmt w:val="decimal"/>
      <w:lvlText w:val="%1.%2.%3.%4.%5.%6.%7.%8.%9."/>
      <w:lvlJc w:val="left"/>
      <w:pPr>
        <w:ind w:left="4680" w:hanging="1800"/>
      </w:pPr>
      <w:rPr>
        <w:rFonts w:eastAsia="Symbol" w:cs="Symbol"/>
        <w:bCs w:val="0"/>
      </w:rPr>
    </w:lvl>
  </w:abstractNum>
  <w:abstractNum w:abstractNumId="10">
    <w:nsid w:val="4EAA051F"/>
    <w:multiLevelType w:val="multilevel"/>
    <w:tmpl w:val="602ABB6C"/>
    <w:lvl w:ilvl="0">
      <w:start w:val="8"/>
      <w:numFmt w:val="decimal"/>
      <w:lvlText w:val="%1."/>
      <w:lvlJc w:val="left"/>
      <w:pPr>
        <w:ind w:left="360" w:hanging="360"/>
      </w:pPr>
      <w:rPr>
        <w:bCs/>
      </w:rPr>
    </w:lvl>
    <w:lvl w:ilvl="1">
      <w:start w:val="1"/>
      <w:numFmt w:val="decimal"/>
      <w:lvlText w:val="%1.%2."/>
      <w:lvlJc w:val="left"/>
      <w:pPr>
        <w:ind w:left="360" w:hanging="360"/>
      </w:pPr>
      <w:rPr>
        <w:bCs/>
      </w:rPr>
    </w:lvl>
    <w:lvl w:ilvl="2">
      <w:start w:val="1"/>
      <w:numFmt w:val="decimal"/>
      <w:lvlText w:val="%1.%2.%3."/>
      <w:lvlJc w:val="left"/>
      <w:pPr>
        <w:ind w:left="720" w:hanging="720"/>
      </w:pPr>
      <w:rPr>
        <w:bCs/>
      </w:rPr>
    </w:lvl>
    <w:lvl w:ilvl="3">
      <w:start w:val="1"/>
      <w:numFmt w:val="decimal"/>
      <w:lvlText w:val="%1.%2.%3.%4."/>
      <w:lvlJc w:val="left"/>
      <w:pPr>
        <w:ind w:left="720" w:hanging="720"/>
      </w:pPr>
      <w:rPr>
        <w:bCs/>
      </w:rPr>
    </w:lvl>
    <w:lvl w:ilvl="4">
      <w:start w:val="1"/>
      <w:numFmt w:val="decimal"/>
      <w:lvlText w:val="%1.%2.%3.%4.%5."/>
      <w:lvlJc w:val="left"/>
      <w:pPr>
        <w:ind w:left="1080" w:hanging="1080"/>
      </w:pPr>
      <w:rPr>
        <w:bCs/>
      </w:rPr>
    </w:lvl>
    <w:lvl w:ilvl="5">
      <w:start w:val="1"/>
      <w:numFmt w:val="decimal"/>
      <w:lvlText w:val="%1.%2.%3.%4.%5.%6."/>
      <w:lvlJc w:val="left"/>
      <w:pPr>
        <w:ind w:left="1080" w:hanging="1080"/>
      </w:pPr>
      <w:rPr>
        <w:bCs/>
      </w:rPr>
    </w:lvl>
    <w:lvl w:ilvl="6">
      <w:start w:val="1"/>
      <w:numFmt w:val="decimal"/>
      <w:lvlText w:val="%1.%2.%3.%4.%5.%6.%7."/>
      <w:lvlJc w:val="left"/>
      <w:pPr>
        <w:ind w:left="1440" w:hanging="1440"/>
      </w:pPr>
      <w:rPr>
        <w:bCs/>
      </w:rPr>
    </w:lvl>
    <w:lvl w:ilvl="7">
      <w:start w:val="1"/>
      <w:numFmt w:val="decimal"/>
      <w:lvlText w:val="%1.%2.%3.%4.%5.%6.%7.%8."/>
      <w:lvlJc w:val="left"/>
      <w:pPr>
        <w:ind w:left="1440" w:hanging="1440"/>
      </w:pPr>
      <w:rPr>
        <w:bCs/>
      </w:rPr>
    </w:lvl>
    <w:lvl w:ilvl="8">
      <w:start w:val="1"/>
      <w:numFmt w:val="decimal"/>
      <w:lvlText w:val="%1.%2.%3.%4.%5.%6.%7.%8.%9."/>
      <w:lvlJc w:val="left"/>
      <w:pPr>
        <w:ind w:left="1800" w:hanging="1800"/>
      </w:pPr>
      <w:rPr>
        <w:bCs/>
      </w:rPr>
    </w:lvl>
  </w:abstractNum>
  <w:abstractNum w:abstractNumId="11">
    <w:nsid w:val="526070A1"/>
    <w:multiLevelType w:val="multilevel"/>
    <w:tmpl w:val="58BEC9A0"/>
    <w:lvl w:ilvl="0">
      <w:start w:val="1"/>
      <w:numFmt w:val="upperRoman"/>
      <w:lvlText w:val="%1."/>
      <w:lvlJc w:val="left"/>
      <w:pPr>
        <w:tabs>
          <w:tab w:val="num" w:pos="1080"/>
        </w:tabs>
        <w:ind w:left="1080" w:hanging="72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7F8846EC"/>
    <w:multiLevelType w:val="multilevel"/>
    <w:tmpl w:val="40AA2CB8"/>
    <w:lvl w:ilvl="0">
      <w:start w:val="1"/>
      <w:numFmt w:val="decimal"/>
      <w:lvlText w:val="%1."/>
      <w:lvlJc w:val="left"/>
      <w:pPr>
        <w:tabs>
          <w:tab w:val="num" w:pos="720"/>
        </w:tabs>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6"/>
  </w:num>
  <w:num w:numId="4">
    <w:abstractNumId w:val="3"/>
  </w:num>
  <w:num w:numId="5">
    <w:abstractNumId w:val="11"/>
  </w:num>
  <w:num w:numId="6">
    <w:abstractNumId w:val="9"/>
  </w:num>
  <w:num w:numId="7">
    <w:abstractNumId w:val="12"/>
  </w:num>
  <w:num w:numId="8">
    <w:abstractNumId w:val="0"/>
  </w:num>
  <w:num w:numId="9">
    <w:abstractNumId w:val="5"/>
  </w:num>
  <w:num w:numId="10">
    <w:abstractNumId w:val="4"/>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6A"/>
    <w:rsid w:val="00320CE6"/>
    <w:rsid w:val="00401263"/>
    <w:rsid w:val="00526CA2"/>
    <w:rsid w:val="006127D8"/>
    <w:rsid w:val="00655C0A"/>
    <w:rsid w:val="008332B3"/>
    <w:rsid w:val="009A7E72"/>
    <w:rsid w:val="00AA4E43"/>
    <w:rsid w:val="00B17F38"/>
    <w:rsid w:val="00C466DF"/>
    <w:rsid w:val="00D5456A"/>
    <w:rsid w:val="00EC3410"/>
    <w:rsid w:val="00FE2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qFormat/>
    <w:pPr>
      <w:keepNext/>
      <w:outlineLvl w:val="0"/>
    </w:pPr>
    <w:rPr>
      <w:sz w:val="32"/>
    </w:rPr>
  </w:style>
  <w:style w:type="paragraph" w:styleId="Nadpis2">
    <w:name w:val="heading 2"/>
    <w:basedOn w:val="Normln"/>
    <w:next w:val="Normln"/>
    <w:qFormat/>
    <w:pPr>
      <w:keepNext/>
      <w:tabs>
        <w:tab w:val="num" w:pos="1080"/>
      </w:tabs>
      <w:ind w:left="1080" w:hanging="720"/>
      <w:jc w:val="center"/>
      <w:outlineLvl w:val="1"/>
    </w:pPr>
    <w:rPr>
      <w:b/>
      <w:bCs/>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ind w:left="360"/>
      <w:outlineLvl w:val="3"/>
    </w:pPr>
    <w:rPr>
      <w:rFonts w:cs="Arial"/>
      <w:b/>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keepNext/>
      <w:jc w:val="center"/>
      <w:outlineLvl w:val="5"/>
    </w:pPr>
    <w:rPr>
      <w:b/>
      <w:sz w:val="36"/>
      <w:u w:val="single"/>
    </w:rPr>
  </w:style>
  <w:style w:type="paragraph" w:styleId="Nadpis7">
    <w:name w:val="heading 7"/>
    <w:basedOn w:val="Normln"/>
    <w:next w:val="Normln"/>
    <w:qFormat/>
    <w:pPr>
      <w:keepNext/>
      <w:jc w:val="center"/>
      <w:outlineLvl w:val="6"/>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rPr>
      <w:rFonts w:eastAsia="Symbol"/>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Cs/>
    </w:rPr>
  </w:style>
  <w:style w:type="character" w:customStyle="1" w:styleId="WW8Num7z0">
    <w:name w:val="WW8Num7z0"/>
    <w:qFormat/>
  </w:style>
  <w:style w:type="character" w:customStyle="1" w:styleId="WW8Num7z1">
    <w:name w:val="WW8Num7z1"/>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WW8Num12z0">
    <w:name w:val="WW8Num12z0"/>
    <w:qFormat/>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eastAsia="Symbol" w:cs="Symbol"/>
      <w:bCs w:val="0"/>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Arial" w:hAnsi="Arial" w:cs="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qFormat/>
    <w:rPr>
      <w:rFonts w:cs="Times New Roman"/>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Times New Roman"/>
      <w:b/>
      <w:i w:val="0"/>
      <w:sz w:val="24"/>
      <w:u w:val="none"/>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bCs/>
    </w:rPr>
  </w:style>
  <w:style w:type="character" w:customStyle="1" w:styleId="WW8Num26z1">
    <w:name w:val="WW8Num26z1"/>
    <w:qFormat/>
    <w:rPr>
      <w:rFonts w:ascii="Times New Roman" w:eastAsia="Times New Roman" w:hAnsi="Times New Roman" w:cs="Times New Roman"/>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Cs/>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30z0">
    <w:name w:val="WW8Num30z0"/>
    <w:qFormat/>
    <w:rPr>
      <w:bCs/>
    </w:rPr>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C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rPr>
      <w:rFonts w:cs="Times New Roman"/>
      <w:b/>
      <w:i w:val="0"/>
      <w:caps/>
      <w:sz w:val="28"/>
    </w:rPr>
  </w:style>
  <w:style w:type="character" w:customStyle="1" w:styleId="WW8Num35z1">
    <w:name w:val="WW8Num35z1"/>
    <w:qFormat/>
    <w:rPr>
      <w:b/>
      <w:i w:val="0"/>
    </w:rPr>
  </w:style>
  <w:style w:type="character" w:customStyle="1" w:styleId="WW8Num35z2">
    <w:name w:val="WW8Num35z2"/>
    <w:qFormat/>
    <w:rPr>
      <w:rFonts w:cs="Times New Roman"/>
    </w:rPr>
  </w:style>
  <w:style w:type="character" w:customStyle="1" w:styleId="TSTextlnkuslovanChar">
    <w:name w:val="TS Text článku číslovaný Char"/>
    <w:qFormat/>
    <w:rPr>
      <w:rFonts w:ascii="Arial" w:hAnsi="Arial" w:cs="Arial"/>
      <w:sz w:val="24"/>
      <w:szCs w:val="24"/>
      <w:lang w:val="cs-CZ" w:bidi="ar-SA"/>
    </w:rPr>
  </w:style>
  <w:style w:type="character" w:customStyle="1" w:styleId="TSlneksmlouvyChar">
    <w:name w:val="TS Článek smlouvy Char"/>
    <w:qFormat/>
    <w:rPr>
      <w:rFonts w:ascii="Arial" w:hAnsi="Arial" w:cs="Arial"/>
      <w:b/>
      <w:sz w:val="24"/>
      <w:szCs w:val="24"/>
      <w:u w:val="single"/>
      <w:lang w:val="cs-CZ" w:bidi="ar-SA"/>
    </w:rPr>
  </w:style>
  <w:style w:type="character" w:customStyle="1" w:styleId="platne">
    <w:name w:val="platne"/>
    <w:qFormat/>
  </w:style>
  <w:style w:type="character" w:styleId="Odkaznakoment">
    <w:name w:val="annotation reference"/>
    <w:qFormat/>
    <w:rPr>
      <w:sz w:val="18"/>
      <w:szCs w:val="18"/>
    </w:rPr>
  </w:style>
  <w:style w:type="character" w:customStyle="1" w:styleId="TextkomenteChar">
    <w:name w:val="Text komentáře Char"/>
    <w:qFormat/>
    <w:rPr>
      <w:sz w:val="24"/>
      <w:szCs w:val="24"/>
    </w:rPr>
  </w:style>
  <w:style w:type="character" w:customStyle="1" w:styleId="PedmtkomenteChar">
    <w:name w:val="Předmět komentáře Char"/>
    <w:qFormat/>
    <w:rPr>
      <w:b/>
      <w:bCs/>
      <w:sz w:val="24"/>
      <w:szCs w:val="24"/>
    </w:rPr>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Pr>
      <w:sz w:val="28"/>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pPr>
      <w:ind w:left="360"/>
    </w:pPr>
    <w:rPr>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2">
    <w:name w:val="Body Text Indent 2"/>
    <w:basedOn w:val="Normln"/>
    <w:qFormat/>
    <w:pPr>
      <w:ind w:left="900" w:hanging="540"/>
      <w:jc w:val="both"/>
    </w:pPr>
    <w:rPr>
      <w:bCs/>
    </w:rPr>
  </w:style>
  <w:style w:type="paragraph" w:styleId="Textbubliny">
    <w:name w:val="Balloon Text"/>
    <w:basedOn w:val="Normln"/>
    <w:qFormat/>
    <w:rPr>
      <w:rFonts w:ascii="Tahoma" w:hAnsi="Tahoma" w:cs="Tahoma"/>
      <w:sz w:val="16"/>
      <w:szCs w:val="16"/>
    </w:rPr>
  </w:style>
  <w:style w:type="paragraph" w:customStyle="1" w:styleId="TSlneksmlouvy">
    <w:name w:val="TS Článek smlouvy"/>
    <w:basedOn w:val="Normln"/>
    <w:next w:val="TSTextlnkuslovan"/>
    <w:qFormat/>
    <w:pPr>
      <w:keepNext/>
      <w:suppressAutoHyphens/>
      <w:spacing w:before="480" w:after="240" w:line="280" w:lineRule="exact"/>
      <w:jc w:val="center"/>
      <w:outlineLvl w:val="0"/>
    </w:pPr>
    <w:rPr>
      <w:rFonts w:ascii="Arial" w:hAnsi="Arial" w:cs="Arial"/>
      <w:b/>
      <w:u w:val="single"/>
    </w:rPr>
  </w:style>
  <w:style w:type="paragraph" w:customStyle="1" w:styleId="TSTextlnkuslovan">
    <w:name w:val="TS Text článku číslovaný"/>
    <w:basedOn w:val="Normln"/>
    <w:qFormat/>
    <w:pPr>
      <w:spacing w:after="120" w:line="280" w:lineRule="exact"/>
      <w:jc w:val="both"/>
    </w:pPr>
    <w:rPr>
      <w:rFonts w:ascii="Arial" w:hAnsi="Arial" w:cs="Arial"/>
    </w:rPr>
  </w:style>
  <w:style w:type="paragraph" w:styleId="Textkomente">
    <w:name w:val="annotation text"/>
    <w:basedOn w:val="Normln"/>
    <w:qFormat/>
  </w:style>
  <w:style w:type="paragraph" w:styleId="Pedmtkomente">
    <w:name w:val="annotation subject"/>
    <w:basedOn w:val="Textkomente"/>
    <w:next w:val="Textkomente"/>
    <w:qFormat/>
    <w:rPr>
      <w:b/>
      <w:bCs/>
      <w:sz w:val="20"/>
      <w:szCs w:val="20"/>
    </w:rPr>
  </w:style>
  <w:style w:type="paragraph" w:styleId="Odstavecseseznamem">
    <w:name w:val="List Paragraph"/>
    <w:basedOn w:val="Normln"/>
    <w:qFormat/>
    <w:pPr>
      <w:ind w:left="708"/>
    </w:pPr>
  </w:style>
  <w:style w:type="paragraph" w:styleId="Normlnweb">
    <w:name w:val="Normal (Web)"/>
    <w:basedOn w:val="Normln"/>
    <w:qFormat/>
    <w:pPr>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qFormat/>
    <w:pPr>
      <w:keepNext/>
      <w:outlineLvl w:val="0"/>
    </w:pPr>
    <w:rPr>
      <w:sz w:val="32"/>
    </w:rPr>
  </w:style>
  <w:style w:type="paragraph" w:styleId="Nadpis2">
    <w:name w:val="heading 2"/>
    <w:basedOn w:val="Normln"/>
    <w:next w:val="Normln"/>
    <w:qFormat/>
    <w:pPr>
      <w:keepNext/>
      <w:tabs>
        <w:tab w:val="num" w:pos="1080"/>
      </w:tabs>
      <w:ind w:left="1080" w:hanging="720"/>
      <w:jc w:val="center"/>
      <w:outlineLvl w:val="1"/>
    </w:pPr>
    <w:rPr>
      <w:b/>
      <w:bCs/>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ind w:left="360"/>
      <w:outlineLvl w:val="3"/>
    </w:pPr>
    <w:rPr>
      <w:rFonts w:cs="Arial"/>
      <w:b/>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keepNext/>
      <w:jc w:val="center"/>
      <w:outlineLvl w:val="5"/>
    </w:pPr>
    <w:rPr>
      <w:b/>
      <w:sz w:val="36"/>
      <w:u w:val="single"/>
    </w:rPr>
  </w:style>
  <w:style w:type="paragraph" w:styleId="Nadpis7">
    <w:name w:val="heading 7"/>
    <w:basedOn w:val="Normln"/>
    <w:next w:val="Normln"/>
    <w:qFormat/>
    <w:pPr>
      <w:keepNext/>
      <w:jc w:val="center"/>
      <w:outlineLvl w:val="6"/>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rPr>
      <w:rFonts w:eastAsia="Symbol"/>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Cs/>
    </w:rPr>
  </w:style>
  <w:style w:type="character" w:customStyle="1" w:styleId="WW8Num7z0">
    <w:name w:val="WW8Num7z0"/>
    <w:qFormat/>
  </w:style>
  <w:style w:type="character" w:customStyle="1" w:styleId="WW8Num7z1">
    <w:name w:val="WW8Num7z1"/>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WW8Num12z0">
    <w:name w:val="WW8Num12z0"/>
    <w:qFormat/>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eastAsia="Symbol" w:cs="Symbol"/>
      <w:bCs w:val="0"/>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Arial" w:hAnsi="Arial" w:cs="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qFormat/>
    <w:rPr>
      <w:rFonts w:cs="Times New Roman"/>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Times New Roman"/>
      <w:b/>
      <w:i w:val="0"/>
      <w:sz w:val="24"/>
      <w:u w:val="none"/>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bCs/>
    </w:rPr>
  </w:style>
  <w:style w:type="character" w:customStyle="1" w:styleId="WW8Num26z1">
    <w:name w:val="WW8Num26z1"/>
    <w:qFormat/>
    <w:rPr>
      <w:rFonts w:ascii="Times New Roman" w:eastAsia="Times New Roman" w:hAnsi="Times New Roman" w:cs="Times New Roman"/>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Cs/>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30z0">
    <w:name w:val="WW8Num30z0"/>
    <w:qFormat/>
    <w:rPr>
      <w:bCs/>
    </w:rPr>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C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rPr>
      <w:rFonts w:cs="Times New Roman"/>
      <w:b/>
      <w:i w:val="0"/>
      <w:caps/>
      <w:sz w:val="28"/>
    </w:rPr>
  </w:style>
  <w:style w:type="character" w:customStyle="1" w:styleId="WW8Num35z1">
    <w:name w:val="WW8Num35z1"/>
    <w:qFormat/>
    <w:rPr>
      <w:b/>
      <w:i w:val="0"/>
    </w:rPr>
  </w:style>
  <w:style w:type="character" w:customStyle="1" w:styleId="WW8Num35z2">
    <w:name w:val="WW8Num35z2"/>
    <w:qFormat/>
    <w:rPr>
      <w:rFonts w:cs="Times New Roman"/>
    </w:rPr>
  </w:style>
  <w:style w:type="character" w:customStyle="1" w:styleId="TSTextlnkuslovanChar">
    <w:name w:val="TS Text článku číslovaný Char"/>
    <w:qFormat/>
    <w:rPr>
      <w:rFonts w:ascii="Arial" w:hAnsi="Arial" w:cs="Arial"/>
      <w:sz w:val="24"/>
      <w:szCs w:val="24"/>
      <w:lang w:val="cs-CZ" w:bidi="ar-SA"/>
    </w:rPr>
  </w:style>
  <w:style w:type="character" w:customStyle="1" w:styleId="TSlneksmlouvyChar">
    <w:name w:val="TS Článek smlouvy Char"/>
    <w:qFormat/>
    <w:rPr>
      <w:rFonts w:ascii="Arial" w:hAnsi="Arial" w:cs="Arial"/>
      <w:b/>
      <w:sz w:val="24"/>
      <w:szCs w:val="24"/>
      <w:u w:val="single"/>
      <w:lang w:val="cs-CZ" w:bidi="ar-SA"/>
    </w:rPr>
  </w:style>
  <w:style w:type="character" w:customStyle="1" w:styleId="platne">
    <w:name w:val="platne"/>
    <w:qFormat/>
  </w:style>
  <w:style w:type="character" w:styleId="Odkaznakoment">
    <w:name w:val="annotation reference"/>
    <w:qFormat/>
    <w:rPr>
      <w:sz w:val="18"/>
      <w:szCs w:val="18"/>
    </w:rPr>
  </w:style>
  <w:style w:type="character" w:customStyle="1" w:styleId="TextkomenteChar">
    <w:name w:val="Text komentáře Char"/>
    <w:qFormat/>
    <w:rPr>
      <w:sz w:val="24"/>
      <w:szCs w:val="24"/>
    </w:rPr>
  </w:style>
  <w:style w:type="character" w:customStyle="1" w:styleId="PedmtkomenteChar">
    <w:name w:val="Předmět komentáře Char"/>
    <w:qFormat/>
    <w:rPr>
      <w:b/>
      <w:bCs/>
      <w:sz w:val="24"/>
      <w:szCs w:val="24"/>
    </w:rPr>
  </w:style>
  <w:style w:type="character" w:customStyle="1" w:styleId="Silnzdraznn">
    <w:name w:val="Silné zdůraznění"/>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Pr>
      <w:sz w:val="28"/>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pPr>
      <w:ind w:left="360"/>
    </w:pPr>
    <w:rPr>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2">
    <w:name w:val="Body Text Indent 2"/>
    <w:basedOn w:val="Normln"/>
    <w:qFormat/>
    <w:pPr>
      <w:ind w:left="900" w:hanging="540"/>
      <w:jc w:val="both"/>
    </w:pPr>
    <w:rPr>
      <w:bCs/>
    </w:rPr>
  </w:style>
  <w:style w:type="paragraph" w:styleId="Textbubliny">
    <w:name w:val="Balloon Text"/>
    <w:basedOn w:val="Normln"/>
    <w:qFormat/>
    <w:rPr>
      <w:rFonts w:ascii="Tahoma" w:hAnsi="Tahoma" w:cs="Tahoma"/>
      <w:sz w:val="16"/>
      <w:szCs w:val="16"/>
    </w:rPr>
  </w:style>
  <w:style w:type="paragraph" w:customStyle="1" w:styleId="TSlneksmlouvy">
    <w:name w:val="TS Článek smlouvy"/>
    <w:basedOn w:val="Normln"/>
    <w:next w:val="TSTextlnkuslovan"/>
    <w:qFormat/>
    <w:pPr>
      <w:keepNext/>
      <w:suppressAutoHyphens/>
      <w:spacing w:before="480" w:after="240" w:line="280" w:lineRule="exact"/>
      <w:jc w:val="center"/>
      <w:outlineLvl w:val="0"/>
    </w:pPr>
    <w:rPr>
      <w:rFonts w:ascii="Arial" w:hAnsi="Arial" w:cs="Arial"/>
      <w:b/>
      <w:u w:val="single"/>
    </w:rPr>
  </w:style>
  <w:style w:type="paragraph" w:customStyle="1" w:styleId="TSTextlnkuslovan">
    <w:name w:val="TS Text článku číslovaný"/>
    <w:basedOn w:val="Normln"/>
    <w:qFormat/>
    <w:pPr>
      <w:spacing w:after="120" w:line="280" w:lineRule="exact"/>
      <w:jc w:val="both"/>
    </w:pPr>
    <w:rPr>
      <w:rFonts w:ascii="Arial" w:hAnsi="Arial" w:cs="Arial"/>
    </w:rPr>
  </w:style>
  <w:style w:type="paragraph" w:styleId="Textkomente">
    <w:name w:val="annotation text"/>
    <w:basedOn w:val="Normln"/>
    <w:qFormat/>
  </w:style>
  <w:style w:type="paragraph" w:styleId="Pedmtkomente">
    <w:name w:val="annotation subject"/>
    <w:basedOn w:val="Textkomente"/>
    <w:next w:val="Textkomente"/>
    <w:qFormat/>
    <w:rPr>
      <w:b/>
      <w:bCs/>
      <w:sz w:val="20"/>
      <w:szCs w:val="20"/>
    </w:rPr>
  </w:style>
  <w:style w:type="paragraph" w:styleId="Odstavecseseznamem">
    <w:name w:val="List Paragraph"/>
    <w:basedOn w:val="Normln"/>
    <w:qFormat/>
    <w:pPr>
      <w:ind w:left="708"/>
    </w:pPr>
  </w:style>
  <w:style w:type="paragraph" w:styleId="Normlnweb">
    <w:name w:val="Normal (Web)"/>
    <w:basedOn w:val="Normln"/>
    <w:qFormat/>
    <w:pPr>
      <w:spacing w:before="280" w:after="28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12106</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Microsoft</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AmiCom</dc:creator>
  <cp:lastModifiedBy>Vlčková Veronika</cp:lastModifiedBy>
  <cp:revision>2</cp:revision>
  <cp:lastPrinted>2017-01-20T09:20:00Z</cp:lastPrinted>
  <dcterms:created xsi:type="dcterms:W3CDTF">2017-02-27T09:37:00Z</dcterms:created>
  <dcterms:modified xsi:type="dcterms:W3CDTF">2017-02-27T09:37:00Z</dcterms:modified>
  <dc:language>cs-CZ</dc:language>
</cp:coreProperties>
</file>