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045B5DD4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3D01CA">
        <w:rPr>
          <w:rFonts w:ascii="Arial" w:hAnsi="Arial" w:cs="Arial"/>
        </w:rPr>
        <w:t>20/007/</w:t>
      </w:r>
      <w:r w:rsidR="00DF2400">
        <w:rPr>
          <w:rFonts w:ascii="Arial" w:hAnsi="Arial" w:cs="Arial"/>
        </w:rPr>
        <w:t>392</w:t>
      </w:r>
    </w:p>
    <w:p w14:paraId="1A47C216" w14:textId="778FFC7B" w:rsidR="003D01CA" w:rsidRDefault="003D01CA" w:rsidP="00730F72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CES:</w:t>
      </w:r>
      <w:r w:rsidR="00253E4A">
        <w:rPr>
          <w:rFonts w:ascii="Arial" w:hAnsi="Arial" w:cs="Arial"/>
        </w:rPr>
        <w:t xml:space="preserve"> </w:t>
      </w:r>
      <w:r w:rsidR="00E807FA" w:rsidRPr="00E807FA">
        <w:rPr>
          <w:rFonts w:ascii="Arial" w:hAnsi="Arial" w:cs="Arial"/>
        </w:rPr>
        <w:t>E617-S-4853/2020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5EAF309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E67005">
        <w:rPr>
          <w:rFonts w:ascii="Arial" w:hAnsi="Arial" w:cs="Arial"/>
        </w:rPr>
        <w:t>xx</w:t>
      </w:r>
      <w:bookmarkStart w:id="0" w:name="_GoBack"/>
      <w:bookmarkEnd w:id="0"/>
    </w:p>
    <w:p w14:paraId="65768EF1" w14:textId="77777777" w:rsidR="00591614" w:rsidRPr="00591614" w:rsidRDefault="00CA3344" w:rsidP="00591614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91614" w:rsidRPr="00591614">
        <w:rPr>
          <w:rFonts w:ascii="Arial" w:hAnsi="Arial" w:cs="Arial"/>
        </w:rPr>
        <w:t xml:space="preserve">Ing. Davidem </w:t>
      </w:r>
      <w:proofErr w:type="spellStart"/>
      <w:r w:rsidR="00591614" w:rsidRPr="00591614">
        <w:rPr>
          <w:rFonts w:ascii="Arial" w:hAnsi="Arial" w:cs="Arial"/>
        </w:rPr>
        <w:t>Wolskim</w:t>
      </w:r>
      <w:proofErr w:type="spellEnd"/>
      <w:r w:rsidR="00591614" w:rsidRPr="00591614">
        <w:rPr>
          <w:rFonts w:ascii="Arial" w:hAnsi="Arial" w:cs="Arial"/>
        </w:rPr>
        <w:t>, předsedou představenstva</w:t>
      </w:r>
    </w:p>
    <w:p w14:paraId="7F3DB1BA" w14:textId="60756BF6" w:rsidR="00CC7E94" w:rsidRPr="00CC7E94" w:rsidRDefault="00591614" w:rsidP="004D7D17">
      <w:pPr>
        <w:spacing w:after="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 </w:t>
      </w:r>
      <w:r w:rsidRPr="00591614">
        <w:rPr>
          <w:rFonts w:ascii="Arial" w:hAnsi="Arial" w:cs="Arial"/>
        </w:rPr>
        <w:t xml:space="preserve">Ing. Michalem </w:t>
      </w:r>
      <w:proofErr w:type="spellStart"/>
      <w:r w:rsidRPr="00591614">
        <w:rPr>
          <w:rFonts w:ascii="Arial" w:hAnsi="Arial" w:cs="Arial"/>
        </w:rPr>
        <w:t>Krapincem</w:t>
      </w:r>
      <w:proofErr w:type="spellEnd"/>
      <w:r w:rsidRPr="00591614">
        <w:rPr>
          <w:rFonts w:ascii="Arial" w:hAnsi="Arial" w:cs="Arial"/>
        </w:rPr>
        <w:t xml:space="preserve">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4AA6CE9D" w14:textId="518380BA" w:rsidR="00CC29E1" w:rsidRPr="00DA7F4D" w:rsidRDefault="007F670D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7F670D">
        <w:rPr>
          <w:rFonts w:ascii="Arial" w:hAnsi="Arial" w:cs="Arial"/>
          <w:b/>
        </w:rPr>
        <w:t xml:space="preserve">Správa železnic, státní organizace </w:t>
      </w:r>
      <w:r w:rsidR="00CC29E1"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7F670D">
        <w:rPr>
          <w:rFonts w:ascii="Arial" w:hAnsi="Arial" w:cs="Arial"/>
        </w:rPr>
        <w:t>Dlážděná 1003/7, 110 00 Praha 1, Nové Město</w:t>
      </w:r>
    </w:p>
    <w:p w14:paraId="7C5137EB" w14:textId="3CEE4D57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7F670D" w:rsidRPr="007F670D">
        <w:rPr>
          <w:rFonts w:ascii="Arial" w:hAnsi="Arial" w:cs="Arial"/>
        </w:rPr>
        <w:t>70994234</w:t>
      </w:r>
    </w:p>
    <w:p w14:paraId="52DB3F3C" w14:textId="4E84B896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7F670D" w:rsidRPr="007F670D">
        <w:rPr>
          <w:rFonts w:ascii="Arial" w:hAnsi="Arial" w:cs="Arial"/>
        </w:rPr>
        <w:t>CZ70994234</w:t>
      </w:r>
    </w:p>
    <w:p w14:paraId="4015CD38" w14:textId="2DF4F7DA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E67005">
        <w:rPr>
          <w:rFonts w:ascii="Arial" w:hAnsi="Arial" w:cs="Arial"/>
        </w:rPr>
        <w:t>xx</w:t>
      </w:r>
      <w:proofErr w:type="spellEnd"/>
    </w:p>
    <w:p w14:paraId="1F6EB0D1" w14:textId="20AFBC54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7F670D" w:rsidRPr="007F670D">
        <w:rPr>
          <w:rFonts w:ascii="Arial" w:hAnsi="Arial" w:cs="Arial"/>
        </w:rPr>
        <w:t>Městským soudem v Praze, spisová značka A 48384</w:t>
      </w:r>
    </w:p>
    <w:p w14:paraId="748202BC" w14:textId="2458665F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zastoupená</w:t>
      </w:r>
      <w:r w:rsidR="00E67005">
        <w:rPr>
          <w:rFonts w:ascii="Arial" w:hAnsi="Arial" w:cs="Arial"/>
        </w:rPr>
        <w:t>:</w:t>
      </w:r>
      <w:r w:rsidRPr="00DA7F4D">
        <w:rPr>
          <w:rFonts w:ascii="Arial" w:hAnsi="Arial" w:cs="Arial"/>
        </w:rPr>
        <w:t xml:space="preserve"> </w:t>
      </w:r>
      <w:proofErr w:type="spellStart"/>
      <w:r w:rsidR="00E67005">
        <w:rPr>
          <w:rFonts w:ascii="Arial" w:hAnsi="Arial" w:cs="Arial"/>
        </w:rPr>
        <w:t>xx</w:t>
      </w:r>
      <w:proofErr w:type="spellEnd"/>
    </w:p>
    <w:p w14:paraId="18BB0F60" w14:textId="02154930" w:rsidR="007F670D" w:rsidRPr="007F670D" w:rsidRDefault="007F670D" w:rsidP="007F670D">
      <w:pPr>
        <w:spacing w:after="40"/>
        <w:jc w:val="both"/>
        <w:rPr>
          <w:rFonts w:ascii="Arial" w:hAnsi="Arial" w:cs="Arial"/>
        </w:rPr>
      </w:pPr>
      <w:r w:rsidRPr="007F670D">
        <w:rPr>
          <w:rFonts w:ascii="Arial" w:hAnsi="Arial" w:cs="Arial"/>
        </w:rPr>
        <w:t>Korespondenční adresa: Správa železnic, státní organizace</w:t>
      </w:r>
    </w:p>
    <w:p w14:paraId="5B4989CD" w14:textId="05A56A24" w:rsidR="007F670D" w:rsidRPr="007F670D" w:rsidRDefault="007F670D" w:rsidP="007F670D">
      <w:pPr>
        <w:spacing w:after="40"/>
        <w:jc w:val="both"/>
        <w:rPr>
          <w:rFonts w:ascii="Arial" w:hAnsi="Arial" w:cs="Arial"/>
        </w:rPr>
      </w:pPr>
      <w:r w:rsidRPr="007F670D">
        <w:rPr>
          <w:rFonts w:ascii="Arial" w:hAnsi="Arial" w:cs="Arial"/>
        </w:rPr>
        <w:tab/>
      </w:r>
      <w:r w:rsidRPr="007F670D">
        <w:rPr>
          <w:rFonts w:ascii="Arial" w:hAnsi="Arial" w:cs="Arial"/>
        </w:rPr>
        <w:tab/>
      </w:r>
      <w:r w:rsidRPr="007F670D">
        <w:rPr>
          <w:rFonts w:ascii="Arial" w:hAnsi="Arial" w:cs="Arial"/>
        </w:rPr>
        <w:tab/>
        <w:t xml:space="preserve">  Stavební správy východ</w:t>
      </w:r>
    </w:p>
    <w:p w14:paraId="3AAFEB12" w14:textId="35E5A74C" w:rsidR="00575537" w:rsidRDefault="007F670D" w:rsidP="007F670D">
      <w:pPr>
        <w:spacing w:after="40"/>
        <w:jc w:val="both"/>
        <w:rPr>
          <w:rFonts w:ascii="Arial" w:hAnsi="Arial" w:cs="Arial"/>
        </w:rPr>
      </w:pPr>
      <w:r w:rsidRPr="007F670D">
        <w:rPr>
          <w:rFonts w:ascii="Arial" w:hAnsi="Arial" w:cs="Arial"/>
        </w:rPr>
        <w:tab/>
      </w:r>
      <w:r w:rsidRPr="007F670D">
        <w:rPr>
          <w:rFonts w:ascii="Arial" w:hAnsi="Arial" w:cs="Arial"/>
        </w:rPr>
        <w:tab/>
      </w:r>
      <w:r w:rsidRPr="007F670D">
        <w:rPr>
          <w:rFonts w:ascii="Arial" w:hAnsi="Arial" w:cs="Arial"/>
        </w:rPr>
        <w:tab/>
        <w:t xml:space="preserve">  Nerudova 1, 779 00 Olomouc</w:t>
      </w:r>
    </w:p>
    <w:p w14:paraId="1EC551E2" w14:textId="77777777" w:rsidR="007F670D" w:rsidRPr="00427ACD" w:rsidRDefault="007F670D" w:rsidP="007F670D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035944F4" w:rsidR="008D265D" w:rsidRDefault="008D265D" w:rsidP="008575FB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8575FB" w:rsidRPr="00AA4203">
        <w:rPr>
          <w:rFonts w:ascii="Arial" w:hAnsi="Arial" w:cs="Arial"/>
          <w:b/>
        </w:rPr>
        <w:t>Rekonstrukce mostu v km 0,989 na trati Havlíčkův Brod - Pardubice-Rosice n/L</w:t>
      </w:r>
      <w:r w:rsidR="008575FB" w:rsidRPr="008575FB">
        <w:rPr>
          <w:rFonts w:ascii="Arial" w:hAnsi="Arial" w:cs="Arial"/>
        </w:rPr>
        <w:t>, SO 04 Úpravy dotčených sdělovacích sítí ČD-Telematika, a.s.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7AAE7E3B" w:rsidR="008D265D" w:rsidRDefault="008D265D" w:rsidP="008575FB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8575FB" w:rsidRPr="008575FB">
        <w:rPr>
          <w:rFonts w:ascii="Arial" w:hAnsi="Arial" w:cs="Arial"/>
        </w:rPr>
        <w:t>Rekonstrukce mostu v km 0,989 na trati Havlíčkův Brod - Pardubice-Rosice n/L, SO 04 Úpravy dotčených sdělovacích sítí ČD-Telematika, a.s.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12C64CA4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5D26C5">
        <w:rPr>
          <w:rFonts w:ascii="Arial" w:hAnsi="Arial" w:cs="Arial"/>
          <w:sz w:val="20"/>
          <w:szCs w:val="20"/>
        </w:rPr>
        <w:t>IXPROJEKTA</w:t>
      </w:r>
      <w:r w:rsidR="00157935">
        <w:rPr>
          <w:rFonts w:ascii="Arial" w:hAnsi="Arial" w:cs="Arial"/>
          <w:sz w:val="20"/>
          <w:szCs w:val="20"/>
        </w:rPr>
        <w:t xml:space="preserve"> s.r.o.</w:t>
      </w:r>
      <w:r w:rsidR="00805941" w:rsidRPr="005221E0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462001E9" w:rsidR="00DF7F18" w:rsidRPr="001A26BA" w:rsidRDefault="00DF7F18" w:rsidP="00953AB1">
      <w:pPr>
        <w:pStyle w:val="Odstavecseseznamem"/>
        <w:numPr>
          <w:ilvl w:val="0"/>
          <w:numId w:val="3"/>
        </w:numPr>
        <w:spacing w:before="120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</w:t>
      </w:r>
      <w:r w:rsidRPr="004D7D17">
        <w:rPr>
          <w:rFonts w:ascii="Arial" w:hAnsi="Arial" w:cs="Arial"/>
          <w:sz w:val="20"/>
          <w:szCs w:val="20"/>
        </w:rPr>
        <w:t>rozhodnutí č.</w:t>
      </w:r>
      <w:r w:rsidR="00953AB1" w:rsidRPr="004D7D17">
        <w:rPr>
          <w:rFonts w:ascii="Arial" w:hAnsi="Arial" w:cs="Arial"/>
          <w:sz w:val="20"/>
          <w:szCs w:val="20"/>
        </w:rPr>
        <w:t xml:space="preserve"> 26290/2020/</w:t>
      </w:r>
      <w:proofErr w:type="spellStart"/>
      <w:r w:rsidR="00953AB1" w:rsidRPr="004D7D17">
        <w:rPr>
          <w:rFonts w:ascii="Arial" w:hAnsi="Arial" w:cs="Arial"/>
          <w:sz w:val="20"/>
          <w:szCs w:val="20"/>
        </w:rPr>
        <w:t>muhb</w:t>
      </w:r>
      <w:proofErr w:type="spellEnd"/>
      <w:r w:rsidR="00953AB1" w:rsidRPr="004D7D17">
        <w:rPr>
          <w:rFonts w:ascii="Arial" w:hAnsi="Arial" w:cs="Arial"/>
          <w:sz w:val="20"/>
          <w:szCs w:val="20"/>
        </w:rPr>
        <w:t xml:space="preserve"> </w:t>
      </w:r>
      <w:r w:rsidR="001A26BA" w:rsidRPr="004D7D17">
        <w:rPr>
          <w:rFonts w:ascii="Arial" w:hAnsi="Arial" w:cs="Arial"/>
          <w:sz w:val="20"/>
          <w:szCs w:val="20"/>
        </w:rPr>
        <w:t xml:space="preserve">– rozhodnutí o umístění stavby </w:t>
      </w:r>
      <w:r w:rsidR="00953AB1" w:rsidRPr="004D7D17">
        <w:rPr>
          <w:rFonts w:ascii="Arial" w:hAnsi="Arial" w:cs="Arial"/>
          <w:sz w:val="20"/>
          <w:szCs w:val="20"/>
        </w:rPr>
        <w:t xml:space="preserve">dle § 15 </w:t>
      </w:r>
      <w:proofErr w:type="spellStart"/>
      <w:r w:rsidR="00953AB1" w:rsidRPr="004D7D17">
        <w:rPr>
          <w:rFonts w:ascii="Arial" w:hAnsi="Arial" w:cs="Arial"/>
          <w:sz w:val="20"/>
          <w:szCs w:val="20"/>
        </w:rPr>
        <w:t>ods</w:t>
      </w:r>
      <w:proofErr w:type="spellEnd"/>
      <w:r w:rsidR="00953AB1" w:rsidRPr="004D7D17">
        <w:rPr>
          <w:rFonts w:ascii="Arial" w:hAnsi="Arial" w:cs="Arial"/>
          <w:sz w:val="20"/>
          <w:szCs w:val="20"/>
        </w:rPr>
        <w:t xml:space="preserve">. 2 stavebního zákona pro stavební řízení k vydání stavebního povolení stavby </w:t>
      </w:r>
      <w:proofErr w:type="gramStart"/>
      <w:r w:rsidR="001A26BA" w:rsidRPr="004D7D17">
        <w:rPr>
          <w:rFonts w:ascii="Arial" w:hAnsi="Arial" w:cs="Arial"/>
          <w:sz w:val="20"/>
          <w:szCs w:val="20"/>
        </w:rPr>
        <w:t>č.j.</w:t>
      </w:r>
      <w:proofErr w:type="gramEnd"/>
      <w:r w:rsidR="001A26BA" w:rsidRPr="004D7D17">
        <w:rPr>
          <w:rFonts w:ascii="Arial" w:hAnsi="Arial" w:cs="Arial"/>
          <w:sz w:val="20"/>
          <w:szCs w:val="20"/>
        </w:rPr>
        <w:t xml:space="preserve"> </w:t>
      </w:r>
      <w:r w:rsidR="00953AB1" w:rsidRPr="004D7D17">
        <w:rPr>
          <w:rFonts w:ascii="Arial" w:hAnsi="Arial" w:cs="Arial"/>
          <w:sz w:val="20"/>
          <w:szCs w:val="20"/>
        </w:rPr>
        <w:t xml:space="preserve">MHB_ST/154/2020/Ve </w:t>
      </w:r>
      <w:r w:rsidR="001A26BA" w:rsidRPr="004D7D17">
        <w:rPr>
          <w:rFonts w:ascii="Arial" w:hAnsi="Arial" w:cs="Arial"/>
          <w:sz w:val="20"/>
          <w:szCs w:val="20"/>
        </w:rPr>
        <w:t xml:space="preserve">ze dne </w:t>
      </w:r>
      <w:r w:rsidR="00953AB1" w:rsidRPr="004D7D17">
        <w:rPr>
          <w:rFonts w:ascii="Arial" w:hAnsi="Arial" w:cs="Arial"/>
          <w:sz w:val="20"/>
          <w:szCs w:val="20"/>
        </w:rPr>
        <w:t xml:space="preserve">5.2.2020 </w:t>
      </w:r>
      <w:r w:rsidR="001A26BA" w:rsidRPr="004D7D17">
        <w:rPr>
          <w:rFonts w:ascii="Arial" w:hAnsi="Arial" w:cs="Arial"/>
          <w:sz w:val="20"/>
          <w:szCs w:val="20"/>
        </w:rPr>
        <w:t>a</w:t>
      </w:r>
      <w:r w:rsidR="001A26BA">
        <w:rPr>
          <w:rFonts w:ascii="Arial" w:hAnsi="Arial" w:cs="Arial"/>
          <w:sz w:val="20"/>
          <w:szCs w:val="20"/>
        </w:rPr>
        <w:t xml:space="preserve">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368C7165" w:rsid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0764280F" w:rsidR="00CC7E94" w:rsidRPr="009926EF" w:rsidRDefault="00E67005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01D314EC" w14:textId="3F5C6045" w:rsidR="001A26BA" w:rsidRPr="001A26BA" w:rsidRDefault="00E670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74BEF5FD" w:rsidR="00E7542F" w:rsidRDefault="00E670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  <w:r w:rsidR="00E7542F" w:rsidRPr="00BA1E59">
        <w:rPr>
          <w:rFonts w:ascii="Arial" w:hAnsi="Arial" w:cs="Arial"/>
        </w:rPr>
        <w:t>.</w:t>
      </w:r>
    </w:p>
    <w:p w14:paraId="50AF11D9" w14:textId="7721F70F" w:rsidR="00E7542F" w:rsidRDefault="00E670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1A31FD48" w:rsidR="00E7542F" w:rsidRDefault="00E670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0ACE6C08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C131D37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4548432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9605B5C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09DD986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2AEC23F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55EB92F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DF33928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6E4A1C1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C1E2403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B5831B9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1786D9D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411C6A1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8FDB082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7693C07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B30E077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D1FFBE3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F0F1852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124C7FF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19630C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7F97BEE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914389E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7CCF976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3153F736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724E5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dnů ode dne </w:t>
      </w:r>
      <w:r w:rsidR="00724E58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>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0A444A2B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</w:t>
      </w:r>
      <w:r w:rsidR="00724E5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dnů ode dne </w:t>
      </w:r>
      <w:r w:rsidR="00724E58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 xml:space="preserve">každé jednotlivé faktury. </w:t>
      </w:r>
    </w:p>
    <w:p w14:paraId="2850C124" w14:textId="77777777" w:rsidR="00724E58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</w:p>
    <w:p w14:paraId="0B8CF5BB" w14:textId="78DE0DB0" w:rsidR="00CC7E94" w:rsidRDefault="00724E58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Ž</w:t>
      </w:r>
      <w:r w:rsidRPr="004768A0">
        <w:rPr>
          <w:rFonts w:ascii="Arial" w:hAnsi="Arial" w:cs="Arial"/>
        </w:rPr>
        <w:t>ádosti na změnu bankovního spojení ČDT musí být vždy doručeny pouze prostřednictvím datové schránky SŽDC a to vždy z datové schránky ČDT. Součástí žádosti na změnu bankovního spojení musí být potvrzení banky, že nové bankovní spojení náleží ČDT.</w:t>
      </w:r>
      <w:r>
        <w:rPr>
          <w:rFonts w:ascii="Arial" w:hAnsi="Arial" w:cs="Arial"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A47A27F" w:rsidR="00A46B8E" w:rsidRDefault="00E67005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7403205C" w14:textId="7A6E8DCB" w:rsidR="00A46B8E" w:rsidRDefault="00E6700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6FD5026" w14:textId="5DD2EF31" w:rsidR="00A46B8E" w:rsidRDefault="00E6700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2A47316B" w:rsidR="00A46B8E" w:rsidRDefault="00E6700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0DB4FFA5" w:rsidR="00A46B8E" w:rsidRDefault="00E6700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1690750" w14:textId="77777777" w:rsidR="00E67005" w:rsidRDefault="00E67005" w:rsidP="003D41BA">
      <w:pPr>
        <w:pStyle w:val="lnek-odstavec"/>
        <w:spacing w:before="300"/>
      </w:pPr>
    </w:p>
    <w:p w14:paraId="354A3E29" w14:textId="77777777" w:rsidR="00E67005" w:rsidRDefault="00E67005" w:rsidP="003D41BA">
      <w:pPr>
        <w:pStyle w:val="lnek-odstavec"/>
        <w:spacing w:before="300"/>
      </w:pPr>
    </w:p>
    <w:p w14:paraId="7C3F8A47" w14:textId="77777777" w:rsidR="00E67005" w:rsidRDefault="00E67005" w:rsidP="003D41BA">
      <w:pPr>
        <w:pStyle w:val="lnek-odstavec"/>
        <w:spacing w:before="300"/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2B9B9B07" w:rsidR="00A46B8E" w:rsidRPr="00CE1E9A" w:rsidRDefault="00E67005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918394F" w14:textId="3DBD7DC4" w:rsidR="00695B14" w:rsidRDefault="00E67005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5C7BB93E" w:rsidR="00695B14" w:rsidRDefault="00E67005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4C353038" w14:textId="77777777" w:rsidR="00E67005" w:rsidRDefault="00E67005" w:rsidP="003D41BA">
      <w:pPr>
        <w:pStyle w:val="lnek-odstavec"/>
        <w:spacing w:before="300"/>
      </w:pPr>
    </w:p>
    <w:p w14:paraId="2F87A245" w14:textId="77777777" w:rsidR="00E67005" w:rsidRDefault="00E67005" w:rsidP="003D41BA">
      <w:pPr>
        <w:pStyle w:val="lnek-odstavec"/>
        <w:spacing w:before="300"/>
      </w:pP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36681FC5" w:rsidR="00695B14" w:rsidRPr="00CE1E9A" w:rsidRDefault="00E67005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68056EA8" w14:textId="79A613D0" w:rsidR="00695B14" w:rsidRDefault="00E67005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56682AEA" w:rsidR="00CF5C48" w:rsidRDefault="00E67005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CA8B3E7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2C86A4D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A2DB79" w14:textId="77777777" w:rsid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CA8016" w14:textId="77777777" w:rsidR="00E67005" w:rsidRPr="00E67005" w:rsidRDefault="00E67005" w:rsidP="00E670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lastRenderedPageBreak/>
        <w:t>X</w:t>
      </w:r>
      <w:r w:rsidRPr="009926EF">
        <w:t>.</w:t>
      </w:r>
    </w:p>
    <w:p w14:paraId="4C509234" w14:textId="2C41DC56" w:rsidR="00CF5C48" w:rsidRPr="00CE1E9A" w:rsidRDefault="00E67005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4A05AF54" w14:textId="43BF942B" w:rsidR="00CF5C48" w:rsidRDefault="00E67005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5E3C5928" w:rsidR="00CF5C48" w:rsidRDefault="00E67005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1B12FC7F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6B96E0D5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3D41BA">
        <w:rPr>
          <w:rFonts w:ascii="Arial" w:hAnsi="Arial" w:cs="Arial"/>
          <w:sz w:val="20"/>
          <w:szCs w:val="20"/>
        </w:rPr>
        <w:t>údajů) (dále</w:t>
      </w:r>
      <w:proofErr w:type="gramEnd"/>
      <w:r w:rsidRPr="003D41BA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0E42AE4D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4A06C9">
        <w:rPr>
          <w:rFonts w:ascii="Arial" w:hAnsi="Arial" w:cs="Arial"/>
          <w:snapToGrid w:val="0"/>
        </w:rPr>
        <w:t>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6A352538" w:rsidR="00383BE8" w:rsidRPr="00AC5BAE" w:rsidRDefault="00383BE8" w:rsidP="00E6700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proofErr w:type="gramStart"/>
            <w:r w:rsidR="00E67005">
              <w:rPr>
                <w:rFonts w:ascii="Arial" w:hAnsi="Arial" w:cs="Arial"/>
              </w:rPr>
              <w:t>18.12.2020</w:t>
            </w:r>
            <w:proofErr w:type="gramEnd"/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5563603A" w:rsidR="00383BE8" w:rsidRPr="00AC5BAE" w:rsidRDefault="00383BE8" w:rsidP="00E6700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172340">
              <w:rPr>
                <w:rFonts w:ascii="Arial" w:hAnsi="Arial" w:cs="Arial"/>
              </w:rPr>
              <w:t xml:space="preserve">Olomouci </w:t>
            </w:r>
            <w:r w:rsidRPr="00AC5BAE">
              <w:rPr>
                <w:rFonts w:ascii="Arial" w:hAnsi="Arial" w:cs="Arial"/>
              </w:rPr>
              <w:t xml:space="preserve">dne </w:t>
            </w:r>
            <w:proofErr w:type="gramStart"/>
            <w:r w:rsidR="00E67005">
              <w:rPr>
                <w:rFonts w:ascii="Arial" w:hAnsi="Arial" w:cs="Arial"/>
              </w:rPr>
              <w:t>11.01.2021</w:t>
            </w:r>
            <w:proofErr w:type="gramEnd"/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7A8B9824" w14:textId="77777777" w:rsidR="00172340" w:rsidRPr="00172340" w:rsidRDefault="00172340" w:rsidP="00172340">
            <w:pPr>
              <w:jc w:val="center"/>
              <w:rPr>
                <w:rFonts w:ascii="Arial" w:hAnsi="Arial" w:cs="Arial"/>
                <w:b/>
              </w:rPr>
            </w:pPr>
            <w:r w:rsidRPr="00172340">
              <w:rPr>
                <w:rFonts w:ascii="Arial" w:hAnsi="Arial" w:cs="Arial"/>
                <w:b/>
              </w:rPr>
              <w:t>Správa železnic, státní organizace</w:t>
            </w:r>
          </w:p>
          <w:p w14:paraId="30CD2461" w14:textId="79906925" w:rsidR="00383BE8" w:rsidRPr="00043DCF" w:rsidRDefault="00172340" w:rsidP="00172340">
            <w:pPr>
              <w:jc w:val="center"/>
              <w:rPr>
                <w:rFonts w:ascii="Arial" w:hAnsi="Arial" w:cs="Arial"/>
                <w:b/>
              </w:rPr>
            </w:pPr>
            <w:r w:rsidRPr="00172340">
              <w:rPr>
                <w:rFonts w:ascii="Arial" w:hAnsi="Arial" w:cs="Arial"/>
                <w:b/>
              </w:rPr>
              <w:t>Stavební správ</w:t>
            </w:r>
            <w:r>
              <w:rPr>
                <w:rFonts w:ascii="Arial" w:hAnsi="Arial" w:cs="Arial"/>
                <w:b/>
              </w:rPr>
              <w:t>a</w:t>
            </w:r>
            <w:r w:rsidRPr="00172340">
              <w:rPr>
                <w:rFonts w:ascii="Arial" w:hAnsi="Arial" w:cs="Arial"/>
                <w:b/>
              </w:rPr>
              <w:t xml:space="preserve"> východ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1B5190E9" w14:textId="06E4FE2C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 w:rsidR="0023522B" w:rsidRPr="0023522B">
              <w:rPr>
                <w:rFonts w:ascii="Arial" w:hAnsi="Arial" w:cs="Arial"/>
              </w:rPr>
              <w:t xml:space="preserve">David </w:t>
            </w:r>
            <w:proofErr w:type="spellStart"/>
            <w:r w:rsidR="0023522B" w:rsidRPr="0023522B">
              <w:rPr>
                <w:rFonts w:ascii="Arial" w:hAnsi="Arial" w:cs="Arial"/>
              </w:rPr>
              <w:t>Wolski</w:t>
            </w:r>
            <w:proofErr w:type="spellEnd"/>
          </w:p>
          <w:p w14:paraId="2330F29E" w14:textId="48E7B54C" w:rsidR="00383BE8" w:rsidRPr="00AC5BAE" w:rsidRDefault="0023522B" w:rsidP="00B73203">
            <w:pPr>
              <w:jc w:val="center"/>
              <w:rPr>
                <w:rFonts w:ascii="Arial" w:hAnsi="Arial" w:cs="Arial"/>
              </w:rPr>
            </w:pPr>
            <w:r w:rsidRPr="0023522B"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49BCE55" w14:textId="1132FCAF" w:rsidR="006B5573" w:rsidRPr="00AC5BAE" w:rsidRDefault="00E67005" w:rsidP="001723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</w:tr>
    </w:tbl>
    <w:p w14:paraId="0B7DEE6A" w14:textId="74C061CE" w:rsidR="005E2CBC" w:rsidRDefault="005E2CBC" w:rsidP="00CC7E94">
      <w:pPr>
        <w:rPr>
          <w:rFonts w:ascii="Arial" w:hAnsi="Arial" w:cs="Arial"/>
          <w:sz w:val="8"/>
        </w:rPr>
      </w:pPr>
    </w:p>
    <w:p w14:paraId="137522A3" w14:textId="0FBE7201" w:rsidR="0023522B" w:rsidRDefault="0023522B" w:rsidP="00CC7E94">
      <w:pPr>
        <w:rPr>
          <w:rFonts w:ascii="Arial" w:hAnsi="Arial" w:cs="Arial"/>
          <w:sz w:val="8"/>
        </w:rPr>
      </w:pPr>
    </w:p>
    <w:p w14:paraId="182838FA" w14:textId="1723DB65" w:rsidR="0023522B" w:rsidRDefault="0023522B" w:rsidP="00CC7E94">
      <w:pPr>
        <w:rPr>
          <w:rFonts w:ascii="Arial" w:hAnsi="Arial" w:cs="Arial"/>
          <w:sz w:val="8"/>
        </w:rPr>
      </w:pPr>
    </w:p>
    <w:p w14:paraId="55A4623E" w14:textId="1E59D957" w:rsidR="002573A7" w:rsidRDefault="002573A7" w:rsidP="00CC7E94">
      <w:pPr>
        <w:rPr>
          <w:rFonts w:ascii="Arial" w:hAnsi="Arial" w:cs="Arial"/>
          <w:sz w:val="8"/>
        </w:rPr>
      </w:pPr>
    </w:p>
    <w:p w14:paraId="77F398E6" w14:textId="77777777" w:rsidR="002573A7" w:rsidRDefault="002573A7" w:rsidP="00CC7E94">
      <w:pPr>
        <w:rPr>
          <w:rFonts w:ascii="Arial" w:hAnsi="Arial" w:cs="Arial"/>
          <w:sz w:val="8"/>
        </w:rPr>
      </w:pPr>
    </w:p>
    <w:p w14:paraId="620E9189" w14:textId="63F21965" w:rsidR="0023522B" w:rsidRDefault="0023522B" w:rsidP="00CC7E94">
      <w:pPr>
        <w:rPr>
          <w:rFonts w:ascii="Arial" w:hAnsi="Arial" w:cs="Arial"/>
          <w:sz w:val="8"/>
        </w:rPr>
      </w:pPr>
    </w:p>
    <w:p w14:paraId="59C535B8" w14:textId="7DAAC19C" w:rsidR="0023522B" w:rsidRDefault="0023522B" w:rsidP="00CC7E94">
      <w:pPr>
        <w:rPr>
          <w:rFonts w:ascii="Arial" w:hAnsi="Arial" w:cs="Arial"/>
          <w:sz w:val="8"/>
        </w:rPr>
      </w:pPr>
    </w:p>
    <w:p w14:paraId="18CC2532" w14:textId="4FC01649" w:rsidR="0023522B" w:rsidRPr="00AC5BAE" w:rsidRDefault="002573A7" w:rsidP="00FC7FCB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3522B" w:rsidRPr="00AC5BAE">
        <w:rPr>
          <w:rFonts w:ascii="Arial" w:hAnsi="Arial" w:cs="Arial"/>
        </w:rPr>
        <w:t>____________________</w:t>
      </w:r>
    </w:p>
    <w:p w14:paraId="5009EED3" w14:textId="7FBCC43B" w:rsidR="002573A7" w:rsidRDefault="00257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23522B" w:rsidRPr="0023522B">
        <w:rPr>
          <w:rFonts w:ascii="Arial" w:hAnsi="Arial" w:cs="Arial"/>
        </w:rPr>
        <w:t xml:space="preserve">Mgr. Michal </w:t>
      </w:r>
      <w:proofErr w:type="spellStart"/>
      <w:r w:rsidR="0023522B" w:rsidRPr="0023522B">
        <w:rPr>
          <w:rFonts w:ascii="Arial" w:hAnsi="Arial" w:cs="Arial"/>
        </w:rPr>
        <w:t>Krapinec</w:t>
      </w:r>
      <w:proofErr w:type="spellEnd"/>
    </w:p>
    <w:p w14:paraId="1AD281D9" w14:textId="5EA1EDA4" w:rsidR="0023522B" w:rsidRPr="00FC7FCB" w:rsidRDefault="002573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člen </w:t>
      </w:r>
      <w:r w:rsidR="0023522B" w:rsidRPr="0023522B">
        <w:rPr>
          <w:rFonts w:ascii="Arial" w:hAnsi="Arial" w:cs="Arial"/>
        </w:rPr>
        <w:t>představenstva</w:t>
      </w:r>
    </w:p>
    <w:sectPr w:rsidR="0023522B" w:rsidRPr="00FC7FCB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4005E" w14:textId="77777777" w:rsidR="00A06A75" w:rsidRDefault="00A06A75">
      <w:r>
        <w:separator/>
      </w:r>
    </w:p>
  </w:endnote>
  <w:endnote w:type="continuationSeparator" w:id="0">
    <w:p w14:paraId="308621C8" w14:textId="77777777" w:rsidR="00A06A75" w:rsidRDefault="00A0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264A1EC3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E67005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E67005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8F3C4" w14:textId="77777777" w:rsidR="00A06A75" w:rsidRDefault="00A06A75">
      <w:r>
        <w:separator/>
      </w:r>
    </w:p>
  </w:footnote>
  <w:footnote w:type="continuationSeparator" w:id="0">
    <w:p w14:paraId="0A4819DF" w14:textId="77777777" w:rsidR="00A06A75" w:rsidRDefault="00A06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E9E"/>
    <w:rsid w:val="00023FC0"/>
    <w:rsid w:val="00032B97"/>
    <w:rsid w:val="00043DCF"/>
    <w:rsid w:val="00046D57"/>
    <w:rsid w:val="00054035"/>
    <w:rsid w:val="0006515A"/>
    <w:rsid w:val="0006648A"/>
    <w:rsid w:val="00066502"/>
    <w:rsid w:val="000665A2"/>
    <w:rsid w:val="00070568"/>
    <w:rsid w:val="00071A85"/>
    <w:rsid w:val="00072306"/>
    <w:rsid w:val="00084605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57935"/>
    <w:rsid w:val="00157FA2"/>
    <w:rsid w:val="001672CE"/>
    <w:rsid w:val="00167A62"/>
    <w:rsid w:val="00172340"/>
    <w:rsid w:val="00185377"/>
    <w:rsid w:val="001869E3"/>
    <w:rsid w:val="00186C03"/>
    <w:rsid w:val="00192691"/>
    <w:rsid w:val="00197234"/>
    <w:rsid w:val="001A26BA"/>
    <w:rsid w:val="001B3F1D"/>
    <w:rsid w:val="001B7FD9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2453D"/>
    <w:rsid w:val="002320ED"/>
    <w:rsid w:val="00233305"/>
    <w:rsid w:val="002345B6"/>
    <w:rsid w:val="0023522B"/>
    <w:rsid w:val="00253E4A"/>
    <w:rsid w:val="0025549C"/>
    <w:rsid w:val="002573A7"/>
    <w:rsid w:val="00262172"/>
    <w:rsid w:val="00264BB2"/>
    <w:rsid w:val="00266572"/>
    <w:rsid w:val="002722F2"/>
    <w:rsid w:val="00282288"/>
    <w:rsid w:val="0028798F"/>
    <w:rsid w:val="00292CC5"/>
    <w:rsid w:val="002A582C"/>
    <w:rsid w:val="002B5375"/>
    <w:rsid w:val="002C00D6"/>
    <w:rsid w:val="002C20B6"/>
    <w:rsid w:val="002C4E3D"/>
    <w:rsid w:val="002C6C8F"/>
    <w:rsid w:val="002D0222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8F9"/>
    <w:rsid w:val="003D01CA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480A"/>
    <w:rsid w:val="00482E42"/>
    <w:rsid w:val="00484268"/>
    <w:rsid w:val="0048489E"/>
    <w:rsid w:val="004A06C9"/>
    <w:rsid w:val="004A76DA"/>
    <w:rsid w:val="004B0376"/>
    <w:rsid w:val="004B5EA0"/>
    <w:rsid w:val="004B6558"/>
    <w:rsid w:val="004C0968"/>
    <w:rsid w:val="004C1CE1"/>
    <w:rsid w:val="004C2714"/>
    <w:rsid w:val="004D7689"/>
    <w:rsid w:val="004D7D17"/>
    <w:rsid w:val="004E358B"/>
    <w:rsid w:val="004E4C3B"/>
    <w:rsid w:val="004E5C1B"/>
    <w:rsid w:val="004E729F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91614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26C5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5D3"/>
    <w:rsid w:val="00666D97"/>
    <w:rsid w:val="00670D40"/>
    <w:rsid w:val="00673165"/>
    <w:rsid w:val="00680E77"/>
    <w:rsid w:val="0068477E"/>
    <w:rsid w:val="00687C59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24E58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834"/>
    <w:rsid w:val="00797EDC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7F670D"/>
    <w:rsid w:val="00805941"/>
    <w:rsid w:val="00813333"/>
    <w:rsid w:val="008236D8"/>
    <w:rsid w:val="00841556"/>
    <w:rsid w:val="00846040"/>
    <w:rsid w:val="008465F8"/>
    <w:rsid w:val="0085014B"/>
    <w:rsid w:val="00851769"/>
    <w:rsid w:val="008575FB"/>
    <w:rsid w:val="00864C42"/>
    <w:rsid w:val="00872895"/>
    <w:rsid w:val="00885CF0"/>
    <w:rsid w:val="00890D6B"/>
    <w:rsid w:val="008A149B"/>
    <w:rsid w:val="008A1A8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35B36"/>
    <w:rsid w:val="00937CF3"/>
    <w:rsid w:val="0094625A"/>
    <w:rsid w:val="009470AF"/>
    <w:rsid w:val="00953AB1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D3085"/>
    <w:rsid w:val="009E2928"/>
    <w:rsid w:val="009E389D"/>
    <w:rsid w:val="009E707A"/>
    <w:rsid w:val="009F3F86"/>
    <w:rsid w:val="00A005F1"/>
    <w:rsid w:val="00A027DF"/>
    <w:rsid w:val="00A04642"/>
    <w:rsid w:val="00A065E6"/>
    <w:rsid w:val="00A06A75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A4203"/>
    <w:rsid w:val="00AB4076"/>
    <w:rsid w:val="00AB5609"/>
    <w:rsid w:val="00AB706B"/>
    <w:rsid w:val="00AB752A"/>
    <w:rsid w:val="00AC5BAE"/>
    <w:rsid w:val="00AD03EE"/>
    <w:rsid w:val="00AD7645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2A28"/>
    <w:rsid w:val="00BC38C8"/>
    <w:rsid w:val="00BD237F"/>
    <w:rsid w:val="00BD372A"/>
    <w:rsid w:val="00BD7E38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825AA"/>
    <w:rsid w:val="00C8408D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CF798E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2BF2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6A40"/>
    <w:rsid w:val="00DB4E76"/>
    <w:rsid w:val="00DC5960"/>
    <w:rsid w:val="00DE1F7B"/>
    <w:rsid w:val="00DE2FEE"/>
    <w:rsid w:val="00DE42F8"/>
    <w:rsid w:val="00DE675A"/>
    <w:rsid w:val="00DE7415"/>
    <w:rsid w:val="00DF2400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05"/>
    <w:rsid w:val="00E670C8"/>
    <w:rsid w:val="00E704FE"/>
    <w:rsid w:val="00E7185A"/>
    <w:rsid w:val="00E73CAE"/>
    <w:rsid w:val="00E7542F"/>
    <w:rsid w:val="00E76C75"/>
    <w:rsid w:val="00E807FA"/>
    <w:rsid w:val="00E82984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57ED"/>
    <w:rsid w:val="00F07A8B"/>
    <w:rsid w:val="00F20FAC"/>
    <w:rsid w:val="00F31BD7"/>
    <w:rsid w:val="00F320E6"/>
    <w:rsid w:val="00F36615"/>
    <w:rsid w:val="00F42582"/>
    <w:rsid w:val="00F47104"/>
    <w:rsid w:val="00F57215"/>
    <w:rsid w:val="00F61ADE"/>
    <w:rsid w:val="00F650EF"/>
    <w:rsid w:val="00F74368"/>
    <w:rsid w:val="00F76F3A"/>
    <w:rsid w:val="00F8000E"/>
    <w:rsid w:val="00F93A6E"/>
    <w:rsid w:val="00F9575A"/>
    <w:rsid w:val="00F96CB1"/>
    <w:rsid w:val="00FA3039"/>
    <w:rsid w:val="00FA3652"/>
    <w:rsid w:val="00FA7A99"/>
    <w:rsid w:val="00FC6193"/>
    <w:rsid w:val="00FC7FCB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EF9910"/>
  <w15:docId w15:val="{76BC23E3-5805-439A-B8C9-6A7FCF19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4A06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C9FDDA5-9F4B-46F4-9A32-1728BCEA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2</cp:revision>
  <cp:lastPrinted>2020-12-09T08:38:00Z</cp:lastPrinted>
  <dcterms:created xsi:type="dcterms:W3CDTF">2021-01-19T13:10:00Z</dcterms:created>
  <dcterms:modified xsi:type="dcterms:W3CDTF">2021-01-19T13:10:00Z</dcterms:modified>
</cp:coreProperties>
</file>