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F94ED" w14:textId="77777777" w:rsidR="001C5D98" w:rsidRPr="005F0446" w:rsidRDefault="001C5D98" w:rsidP="001C5D98">
      <w:pPr>
        <w:pStyle w:val="Bezmezer"/>
        <w:spacing w:after="120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LICENČNÍ </w:t>
      </w:r>
      <w:r w:rsidRPr="005F0446">
        <w:rPr>
          <w:sz w:val="36"/>
          <w:szCs w:val="36"/>
        </w:rPr>
        <w:t>SMLOUVA</w:t>
      </w:r>
    </w:p>
    <w:p w14:paraId="203126A9" w14:textId="77777777" w:rsidR="001C5D98" w:rsidRPr="00D32F1E" w:rsidRDefault="00D32F1E" w:rsidP="00D32F1E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  <w:r>
        <w:tab/>
      </w:r>
      <w:r w:rsidR="00D72098" w:rsidRPr="00D32F1E">
        <w:t xml:space="preserve">uzavřená podle </w:t>
      </w:r>
      <w:proofErr w:type="spellStart"/>
      <w:r w:rsidR="00D72098" w:rsidRPr="00D32F1E">
        <w:t>ust</w:t>
      </w:r>
      <w:proofErr w:type="spellEnd"/>
      <w:r w:rsidR="00D72098" w:rsidRPr="00D32F1E">
        <w:t xml:space="preserve">. §14 zákona č. 527/1990 Sb., o vynálezech, průmyslových vzorech a zlepšovacích návrzích, ve znění zákona č. 116/2000 Sb., kterým se mění některé zákony na ochranu průmyslového vlastnictví a zákona č. 207/2000 Sb., o ochraně průmyslových vzorů a o změně zákona č. 527/1990 Sb., a podle </w:t>
      </w:r>
      <w:proofErr w:type="spellStart"/>
      <w:r w:rsidR="00D72098" w:rsidRPr="00D32F1E">
        <w:t>ust</w:t>
      </w:r>
      <w:proofErr w:type="spellEnd"/>
      <w:r w:rsidR="00D72098" w:rsidRPr="00D32F1E">
        <w:t>. § 2358 a násl. zákona č. 89/2012 Sb., občanský zákoník, v platném znění, níže uvedeného dne, měsíce.</w:t>
      </w:r>
    </w:p>
    <w:p w14:paraId="18A4DDB7" w14:textId="77777777" w:rsidR="001C5D98" w:rsidRPr="0010577F" w:rsidRDefault="001C5D98" w:rsidP="001C5D98">
      <w:pPr>
        <w:spacing w:before="60" w:after="60" w:line="276" w:lineRule="auto"/>
        <w:jc w:val="both"/>
      </w:pPr>
    </w:p>
    <w:p w14:paraId="07DA716D" w14:textId="77777777" w:rsidR="001C5D98" w:rsidRPr="00D32F1E" w:rsidRDefault="001C5D98" w:rsidP="00D32F1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D32F1E">
        <w:rPr>
          <w:b/>
        </w:rPr>
        <w:t>Smluvní strany</w:t>
      </w:r>
    </w:p>
    <w:p w14:paraId="623E220F" w14:textId="77777777" w:rsidR="00E26C29" w:rsidRPr="00455BC1" w:rsidRDefault="00E26C29" w:rsidP="00E26C29">
      <w:pPr>
        <w:pStyle w:val="Normlnweb"/>
        <w:shd w:val="clear" w:color="auto" w:fill="FFFFFF"/>
        <w:spacing w:before="60" w:beforeAutospacing="0" w:after="120" w:afterAutospacing="0" w:line="276" w:lineRule="auto"/>
        <w:jc w:val="both"/>
        <w:rPr>
          <w:b/>
          <w:sz w:val="28"/>
          <w:szCs w:val="28"/>
          <w:u w:val="single"/>
        </w:rPr>
      </w:pPr>
    </w:p>
    <w:p w14:paraId="04AD93E3" w14:textId="77777777" w:rsidR="00E26C29" w:rsidRPr="00D32F1E" w:rsidRDefault="00D32F1E" w:rsidP="00D32F1E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</w:t>
      </w:r>
      <w:r w:rsidR="00E26C29" w:rsidRPr="00D32F1E">
        <w:rPr>
          <w:b/>
          <w:bCs/>
        </w:rPr>
        <w:t>Technická univerzita v Liberci</w:t>
      </w:r>
    </w:p>
    <w:p w14:paraId="120F174D" w14:textId="77777777" w:rsidR="00E91BF1" w:rsidRPr="00E91BF1" w:rsidRDefault="00E91BF1" w:rsidP="00E91BF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67FDA269" w14:textId="77777777" w:rsidR="00E26C29" w:rsidRPr="00CF5482" w:rsidRDefault="00E26C29" w:rsidP="00E26C29">
      <w:pPr>
        <w:autoSpaceDE w:val="0"/>
        <w:autoSpaceDN w:val="0"/>
        <w:ind w:left="708"/>
        <w:jc w:val="both"/>
      </w:pPr>
      <w:r w:rsidRPr="00CF5482">
        <w:t>Se sídlem v: Studentská 1402/2, 461 17 Liberec</w:t>
      </w:r>
    </w:p>
    <w:p w14:paraId="084C9441" w14:textId="77777777" w:rsidR="00E26C29" w:rsidRPr="00CF5482" w:rsidRDefault="00E26C29" w:rsidP="00E26C29">
      <w:pPr>
        <w:autoSpaceDE w:val="0"/>
        <w:autoSpaceDN w:val="0"/>
        <w:ind w:left="708"/>
        <w:jc w:val="both"/>
      </w:pPr>
      <w:r w:rsidRPr="00CF5482">
        <w:t>IČ: 46747885,</w:t>
      </w:r>
    </w:p>
    <w:p w14:paraId="7CE0299F" w14:textId="77777777" w:rsidR="00E26C29" w:rsidRPr="00CF5482" w:rsidRDefault="00E26C29" w:rsidP="00E26C29">
      <w:pPr>
        <w:autoSpaceDE w:val="0"/>
        <w:autoSpaceDN w:val="0"/>
        <w:ind w:left="708"/>
        <w:jc w:val="both"/>
      </w:pPr>
      <w:r w:rsidRPr="00CF5482">
        <w:t>DIČ: CZ46747885,</w:t>
      </w:r>
    </w:p>
    <w:p w14:paraId="3EA9B8D1" w14:textId="77777777" w:rsidR="00E26C29" w:rsidRPr="00847BE1" w:rsidRDefault="00E26C29" w:rsidP="00E26C29">
      <w:pPr>
        <w:autoSpaceDE w:val="0"/>
        <w:autoSpaceDN w:val="0"/>
        <w:ind w:left="708"/>
        <w:jc w:val="both"/>
      </w:pPr>
      <w:r w:rsidRPr="00CF5482">
        <w:t>Zast</w:t>
      </w:r>
      <w:r w:rsidRPr="00847BE1">
        <w:t xml:space="preserve">oupená: </w:t>
      </w:r>
      <w:r w:rsidRPr="00281684">
        <w:rPr>
          <w:rFonts w:ascii="Tms Rmn" w:hAnsi="Tms Rmn"/>
          <w:bCs/>
        </w:rPr>
        <w:t xml:space="preserve">doc. RNDr. Miroslav </w:t>
      </w:r>
      <w:proofErr w:type="spellStart"/>
      <w:r w:rsidRPr="00281684">
        <w:rPr>
          <w:rFonts w:ascii="Tms Rmn" w:hAnsi="Tms Rmn"/>
          <w:bCs/>
        </w:rPr>
        <w:t>Brzezina</w:t>
      </w:r>
      <w:proofErr w:type="spellEnd"/>
      <w:r w:rsidRPr="00281684">
        <w:rPr>
          <w:rFonts w:ascii="Tms Rmn" w:hAnsi="Tms Rmn"/>
          <w:bCs/>
        </w:rPr>
        <w:t>, CSc.</w:t>
      </w:r>
      <w:r w:rsidRPr="00281684">
        <w:rPr>
          <w:rFonts w:ascii="Calibri" w:hAnsi="Calibri"/>
          <w:b/>
          <w:bCs/>
        </w:rPr>
        <w:t xml:space="preserve"> </w:t>
      </w:r>
      <w:r w:rsidRPr="00281684">
        <w:t>- rektor</w:t>
      </w:r>
    </w:p>
    <w:p w14:paraId="1023EDBD" w14:textId="7CE49DDB" w:rsidR="00E26C29" w:rsidRPr="00847BE1" w:rsidRDefault="00E26C29" w:rsidP="00E26C29">
      <w:pPr>
        <w:autoSpaceDE w:val="0"/>
        <w:autoSpaceDN w:val="0"/>
        <w:ind w:left="708"/>
        <w:jc w:val="both"/>
      </w:pPr>
      <w:r w:rsidRPr="00847BE1">
        <w:t xml:space="preserve">Osoba odpovědná: </w:t>
      </w:r>
      <w:proofErr w:type="spellStart"/>
      <w:r w:rsidR="004D0790">
        <w:t>xxx</w:t>
      </w:r>
      <w:proofErr w:type="spellEnd"/>
    </w:p>
    <w:p w14:paraId="4D642DE5" w14:textId="413D433C" w:rsidR="00E26C29" w:rsidRPr="00847BE1" w:rsidRDefault="00E26C29" w:rsidP="00E26C29">
      <w:pPr>
        <w:autoSpaceDE w:val="0"/>
        <w:autoSpaceDN w:val="0"/>
        <w:ind w:left="708"/>
        <w:jc w:val="both"/>
      </w:pPr>
      <w:r w:rsidRPr="00847BE1">
        <w:t xml:space="preserve">Bankovní spojení: </w:t>
      </w:r>
      <w:proofErr w:type="spellStart"/>
      <w:r w:rsidR="00773D79">
        <w:t>xxx</w:t>
      </w:r>
      <w:proofErr w:type="spellEnd"/>
    </w:p>
    <w:p w14:paraId="174199EA" w14:textId="0339D37B" w:rsidR="00E26C29" w:rsidRPr="00847BE1" w:rsidRDefault="00E26C29" w:rsidP="00E26C29">
      <w:pPr>
        <w:autoSpaceDE w:val="0"/>
        <w:autoSpaceDN w:val="0"/>
        <w:ind w:left="708"/>
        <w:jc w:val="both"/>
      </w:pPr>
      <w:r w:rsidRPr="00847BE1">
        <w:t xml:space="preserve">Účet číslo: </w:t>
      </w:r>
      <w:proofErr w:type="spellStart"/>
      <w:r w:rsidR="00773D79">
        <w:t>xxx</w:t>
      </w:r>
      <w:proofErr w:type="spellEnd"/>
      <w:r w:rsidRPr="00847BE1">
        <w:t xml:space="preserve">  </w:t>
      </w:r>
    </w:p>
    <w:p w14:paraId="4ABA52D1" w14:textId="77777777" w:rsidR="00E26C29" w:rsidRPr="00847BE1" w:rsidRDefault="00E26C29" w:rsidP="00E26C29">
      <w:pPr>
        <w:autoSpaceDE w:val="0"/>
        <w:autoSpaceDN w:val="0"/>
        <w:spacing w:after="120"/>
        <w:ind w:left="708"/>
        <w:jc w:val="both"/>
        <w:rPr>
          <w:bCs/>
        </w:rPr>
      </w:pPr>
      <w:r w:rsidRPr="00847BE1">
        <w:t>(dále jen jako „</w:t>
      </w:r>
      <w:r w:rsidRPr="00847BE1">
        <w:rPr>
          <w:b/>
          <w:bCs/>
        </w:rPr>
        <w:t>TUL</w:t>
      </w:r>
      <w:r w:rsidRPr="00847BE1">
        <w:rPr>
          <w:bCs/>
        </w:rPr>
        <w:t>“)</w:t>
      </w:r>
    </w:p>
    <w:p w14:paraId="6907E73A" w14:textId="77777777" w:rsidR="00E26C29" w:rsidRPr="00847BE1" w:rsidRDefault="00E26C29" w:rsidP="00E26C29">
      <w:pPr>
        <w:autoSpaceDE w:val="0"/>
        <w:autoSpaceDN w:val="0"/>
        <w:spacing w:after="120"/>
        <w:jc w:val="both"/>
        <w:rPr>
          <w:bCs/>
        </w:rPr>
      </w:pPr>
      <w:r w:rsidRPr="00847BE1">
        <w:rPr>
          <w:bCs/>
        </w:rPr>
        <w:t>a</w:t>
      </w:r>
    </w:p>
    <w:p w14:paraId="6F3E8AF6" w14:textId="77777777" w:rsidR="00E26C29" w:rsidRPr="00847BE1" w:rsidRDefault="00D32F1E" w:rsidP="00D32F1E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b/>
          <w:bCs/>
        </w:rPr>
      </w:pPr>
      <w:r w:rsidRPr="00847BE1">
        <w:rPr>
          <w:b/>
          <w:bCs/>
        </w:rPr>
        <w:t xml:space="preserve"> </w:t>
      </w:r>
      <w:r w:rsidR="00E26C29" w:rsidRPr="00847BE1">
        <w:rPr>
          <w:b/>
          <w:bCs/>
        </w:rPr>
        <w:t>Ústav anorganické chemie AV ČR, v.v.i.</w:t>
      </w:r>
    </w:p>
    <w:p w14:paraId="4D65F8FA" w14:textId="77777777" w:rsidR="00E91BF1" w:rsidRPr="00847BE1" w:rsidRDefault="00E91BF1" w:rsidP="00E91BF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5C0D612A" w14:textId="77777777" w:rsidR="00E26C29" w:rsidRPr="00847BE1" w:rsidRDefault="00E26C29" w:rsidP="00E26C29">
      <w:pPr>
        <w:autoSpaceDE w:val="0"/>
        <w:autoSpaceDN w:val="0"/>
        <w:ind w:left="708"/>
        <w:jc w:val="both"/>
      </w:pPr>
      <w:r w:rsidRPr="00847BE1">
        <w:t>Se sídlem v: Husinec – Řež, č.p. 1001, 250 68</w:t>
      </w:r>
    </w:p>
    <w:p w14:paraId="08557A01" w14:textId="77777777" w:rsidR="00E26C29" w:rsidRPr="00847BE1" w:rsidRDefault="00E26C29" w:rsidP="00E26C29">
      <w:pPr>
        <w:autoSpaceDE w:val="0"/>
        <w:autoSpaceDN w:val="0"/>
        <w:ind w:left="708"/>
        <w:jc w:val="both"/>
      </w:pPr>
      <w:r w:rsidRPr="00847BE1">
        <w:t>IČ: 61388980</w:t>
      </w:r>
    </w:p>
    <w:p w14:paraId="52362180" w14:textId="77777777" w:rsidR="00E26C29" w:rsidRPr="00847BE1" w:rsidRDefault="00E26C29" w:rsidP="00E26C29">
      <w:pPr>
        <w:autoSpaceDE w:val="0"/>
        <w:autoSpaceDN w:val="0"/>
        <w:ind w:left="708"/>
        <w:jc w:val="both"/>
      </w:pPr>
      <w:r w:rsidRPr="00847BE1">
        <w:t>DIČ: CZ61388980</w:t>
      </w:r>
    </w:p>
    <w:p w14:paraId="01AFFAA1" w14:textId="77777777" w:rsidR="00E26C29" w:rsidRPr="00847BE1" w:rsidRDefault="00E26C29" w:rsidP="00E26C29">
      <w:pPr>
        <w:autoSpaceDE w:val="0"/>
        <w:autoSpaceDN w:val="0"/>
        <w:ind w:left="708"/>
        <w:jc w:val="both"/>
      </w:pPr>
      <w:r w:rsidRPr="00847BE1">
        <w:t xml:space="preserve">Zastoupená: Ing. Kamilem Langem, CSc., </w:t>
      </w:r>
      <w:proofErr w:type="spellStart"/>
      <w:r w:rsidRPr="00281684">
        <w:t>DSc</w:t>
      </w:r>
      <w:proofErr w:type="spellEnd"/>
      <w:r w:rsidRPr="00281684">
        <w:t>., ředitelem ústavu</w:t>
      </w:r>
    </w:p>
    <w:p w14:paraId="572E9EC5" w14:textId="26F6FB8B" w:rsidR="00E26C29" w:rsidRPr="00847BE1" w:rsidRDefault="00E26C29" w:rsidP="00E26C29">
      <w:pPr>
        <w:autoSpaceDE w:val="0"/>
        <w:autoSpaceDN w:val="0"/>
        <w:ind w:left="708"/>
        <w:jc w:val="both"/>
      </w:pPr>
      <w:r w:rsidRPr="00847BE1">
        <w:t xml:space="preserve">Osoba odpovědná: </w:t>
      </w:r>
      <w:proofErr w:type="spellStart"/>
      <w:r w:rsidR="004D0790">
        <w:t>xxx</w:t>
      </w:r>
      <w:proofErr w:type="spellEnd"/>
    </w:p>
    <w:p w14:paraId="328DD2D2" w14:textId="704D1089" w:rsidR="00E26C29" w:rsidRPr="00847BE1" w:rsidRDefault="00E26C29" w:rsidP="00E26C29">
      <w:pPr>
        <w:autoSpaceDE w:val="0"/>
        <w:autoSpaceDN w:val="0"/>
        <w:ind w:left="708"/>
        <w:jc w:val="both"/>
      </w:pPr>
      <w:r w:rsidRPr="00847BE1">
        <w:t xml:space="preserve">Bankovní spojení: </w:t>
      </w:r>
      <w:proofErr w:type="spellStart"/>
      <w:r w:rsidR="00773D79">
        <w:t>xxx</w:t>
      </w:r>
      <w:proofErr w:type="spellEnd"/>
    </w:p>
    <w:p w14:paraId="05DD9850" w14:textId="3C68DBB3" w:rsidR="00E26C29" w:rsidRPr="00847BE1" w:rsidRDefault="00E26C29" w:rsidP="00E26C29">
      <w:pPr>
        <w:autoSpaceDE w:val="0"/>
        <w:autoSpaceDN w:val="0"/>
        <w:ind w:left="708"/>
        <w:jc w:val="both"/>
      </w:pPr>
      <w:r w:rsidRPr="00847BE1">
        <w:t xml:space="preserve">Účet číslo: </w:t>
      </w:r>
      <w:proofErr w:type="spellStart"/>
      <w:r w:rsidR="00773D79">
        <w:t>xxx</w:t>
      </w:r>
      <w:proofErr w:type="spellEnd"/>
      <w:r w:rsidRPr="00847BE1">
        <w:t xml:space="preserve">  </w:t>
      </w:r>
    </w:p>
    <w:p w14:paraId="2128D642" w14:textId="77777777" w:rsidR="00E26C29" w:rsidRPr="00847BE1" w:rsidRDefault="00E26C29" w:rsidP="00E26C29">
      <w:pPr>
        <w:autoSpaceDE w:val="0"/>
        <w:autoSpaceDN w:val="0"/>
        <w:spacing w:after="120"/>
        <w:ind w:left="708"/>
        <w:jc w:val="both"/>
        <w:rPr>
          <w:bCs/>
        </w:rPr>
      </w:pPr>
      <w:r w:rsidRPr="00847BE1">
        <w:t>(dále jen jako „</w:t>
      </w:r>
      <w:r w:rsidRPr="00847BE1">
        <w:rPr>
          <w:b/>
          <w:bCs/>
        </w:rPr>
        <w:t>UACH</w:t>
      </w:r>
      <w:r w:rsidRPr="00847BE1">
        <w:rPr>
          <w:bCs/>
        </w:rPr>
        <w:t>“)</w:t>
      </w:r>
    </w:p>
    <w:p w14:paraId="36B0675C" w14:textId="77777777" w:rsidR="00E26C29" w:rsidRPr="00847BE1" w:rsidRDefault="00E26C29" w:rsidP="00E26C29">
      <w:pPr>
        <w:autoSpaceDE w:val="0"/>
        <w:autoSpaceDN w:val="0"/>
        <w:spacing w:after="120"/>
        <w:jc w:val="both"/>
        <w:rPr>
          <w:bCs/>
        </w:rPr>
      </w:pPr>
      <w:r w:rsidRPr="00847BE1">
        <w:rPr>
          <w:bCs/>
        </w:rPr>
        <w:t>a</w:t>
      </w:r>
    </w:p>
    <w:p w14:paraId="287A15E8" w14:textId="77777777" w:rsidR="00E26C29" w:rsidRPr="00847BE1" w:rsidRDefault="00D32F1E" w:rsidP="00D32F1E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b/>
          <w:bCs/>
        </w:rPr>
      </w:pPr>
      <w:r w:rsidRPr="00847BE1">
        <w:rPr>
          <w:b/>
          <w:bCs/>
        </w:rPr>
        <w:t xml:space="preserve"> </w:t>
      </w:r>
      <w:r w:rsidR="00E26C29" w:rsidRPr="00847BE1">
        <w:rPr>
          <w:b/>
          <w:bCs/>
        </w:rPr>
        <w:t>Ústav fyzikální chemie J. Heyrovského AV ČR, v.v.i.</w:t>
      </w:r>
    </w:p>
    <w:p w14:paraId="6EA724D1" w14:textId="77777777" w:rsidR="00E91BF1" w:rsidRPr="00847BE1" w:rsidRDefault="00E91BF1" w:rsidP="00E91BF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1D3C6754" w14:textId="77777777" w:rsidR="00E26C29" w:rsidRPr="00847BE1" w:rsidRDefault="00E26C29" w:rsidP="00E26C29">
      <w:pPr>
        <w:autoSpaceDE w:val="0"/>
        <w:autoSpaceDN w:val="0"/>
        <w:ind w:left="708"/>
        <w:jc w:val="both"/>
      </w:pPr>
      <w:r w:rsidRPr="00847BE1">
        <w:t>Se sídlem v: Dolejškova 3, Praha 8, 182 23</w:t>
      </w:r>
    </w:p>
    <w:p w14:paraId="3154CFAB" w14:textId="77777777" w:rsidR="00E26C29" w:rsidRPr="00847BE1" w:rsidRDefault="00E26C29" w:rsidP="00E26C29">
      <w:pPr>
        <w:autoSpaceDE w:val="0"/>
        <w:autoSpaceDN w:val="0"/>
        <w:ind w:left="708"/>
        <w:jc w:val="both"/>
      </w:pPr>
      <w:r w:rsidRPr="00847BE1">
        <w:t>IČ: 61388955</w:t>
      </w:r>
    </w:p>
    <w:p w14:paraId="1DAF97E8" w14:textId="77777777" w:rsidR="00E26C29" w:rsidRPr="00847BE1" w:rsidRDefault="00E26C29" w:rsidP="00E26C29">
      <w:pPr>
        <w:autoSpaceDE w:val="0"/>
        <w:autoSpaceDN w:val="0"/>
        <w:ind w:left="708"/>
        <w:jc w:val="both"/>
      </w:pPr>
      <w:r w:rsidRPr="00847BE1">
        <w:t>DIČ: CZ61388955</w:t>
      </w:r>
    </w:p>
    <w:p w14:paraId="74636F60" w14:textId="77777777" w:rsidR="00E26C29" w:rsidRPr="00847BE1" w:rsidRDefault="00E26C29" w:rsidP="00E26C29">
      <w:pPr>
        <w:autoSpaceDE w:val="0"/>
        <w:autoSpaceDN w:val="0"/>
        <w:ind w:left="708"/>
        <w:jc w:val="both"/>
      </w:pPr>
      <w:r w:rsidRPr="00847BE1">
        <w:t xml:space="preserve">Zastoupená: prof. Martinem </w:t>
      </w:r>
      <w:proofErr w:type="spellStart"/>
      <w:r w:rsidRPr="00281684">
        <w:t>Hofem</w:t>
      </w:r>
      <w:proofErr w:type="spellEnd"/>
      <w:r w:rsidRPr="00281684">
        <w:t xml:space="preserve"> Dr. </w:t>
      </w:r>
      <w:proofErr w:type="spellStart"/>
      <w:r w:rsidRPr="00281684">
        <w:t>rer</w:t>
      </w:r>
      <w:proofErr w:type="spellEnd"/>
      <w:r w:rsidRPr="00281684">
        <w:t xml:space="preserve">. </w:t>
      </w:r>
      <w:proofErr w:type="spellStart"/>
      <w:r w:rsidRPr="00281684">
        <w:t>nat</w:t>
      </w:r>
      <w:proofErr w:type="spellEnd"/>
      <w:r w:rsidRPr="00281684">
        <w:t xml:space="preserve">. </w:t>
      </w:r>
      <w:proofErr w:type="spellStart"/>
      <w:r w:rsidRPr="00281684">
        <w:t>DSc</w:t>
      </w:r>
      <w:proofErr w:type="spellEnd"/>
      <w:r w:rsidRPr="00281684">
        <w:t>. – ředitelem ústavu</w:t>
      </w:r>
    </w:p>
    <w:p w14:paraId="25B4BCBF" w14:textId="63CF9D52" w:rsidR="00E26C29" w:rsidRPr="00847BE1" w:rsidRDefault="00E26C29" w:rsidP="00E26C29">
      <w:pPr>
        <w:autoSpaceDE w:val="0"/>
        <w:autoSpaceDN w:val="0"/>
        <w:ind w:left="708"/>
        <w:jc w:val="both"/>
      </w:pPr>
      <w:r w:rsidRPr="00847BE1">
        <w:t xml:space="preserve">Osoba odpovědná: </w:t>
      </w:r>
      <w:proofErr w:type="spellStart"/>
      <w:r w:rsidR="004D0790">
        <w:t>xxx</w:t>
      </w:r>
      <w:proofErr w:type="spellEnd"/>
    </w:p>
    <w:p w14:paraId="21B9C36E" w14:textId="51761AEB" w:rsidR="00E26C29" w:rsidRPr="00CF5482" w:rsidRDefault="00E26C29" w:rsidP="00E26C29">
      <w:pPr>
        <w:autoSpaceDE w:val="0"/>
        <w:autoSpaceDN w:val="0"/>
        <w:ind w:left="708"/>
        <w:jc w:val="both"/>
      </w:pPr>
      <w:r w:rsidRPr="00847BE1">
        <w:t xml:space="preserve">Bankovní spojení: </w:t>
      </w:r>
      <w:proofErr w:type="spellStart"/>
      <w:r w:rsidR="00773D79">
        <w:t>xxx</w:t>
      </w:r>
      <w:proofErr w:type="spellEnd"/>
    </w:p>
    <w:p w14:paraId="6E8B16D8" w14:textId="1F23A761" w:rsidR="00E26C29" w:rsidRPr="00CF5482" w:rsidRDefault="00E26C29" w:rsidP="00E26C29">
      <w:pPr>
        <w:autoSpaceDE w:val="0"/>
        <w:autoSpaceDN w:val="0"/>
        <w:ind w:left="708"/>
        <w:jc w:val="both"/>
      </w:pPr>
      <w:r w:rsidRPr="00CF5482">
        <w:lastRenderedPageBreak/>
        <w:t xml:space="preserve">Účet číslo: </w:t>
      </w:r>
      <w:proofErr w:type="spellStart"/>
      <w:r w:rsidR="00773D79">
        <w:t>xxx</w:t>
      </w:r>
      <w:proofErr w:type="spellEnd"/>
    </w:p>
    <w:p w14:paraId="68F84C09" w14:textId="77777777" w:rsidR="00E26C29" w:rsidRPr="00E26C29" w:rsidRDefault="00E26C29" w:rsidP="00E26C29">
      <w:pPr>
        <w:autoSpaceDE w:val="0"/>
        <w:autoSpaceDN w:val="0"/>
        <w:spacing w:after="120"/>
        <w:ind w:left="708"/>
        <w:jc w:val="both"/>
        <w:rPr>
          <w:bCs/>
        </w:rPr>
      </w:pPr>
      <w:r w:rsidRPr="00CF5482">
        <w:t>(dále jen jako „</w:t>
      </w:r>
      <w:r w:rsidRPr="00E26C29">
        <w:rPr>
          <w:b/>
          <w:bCs/>
        </w:rPr>
        <w:t>UFCH</w:t>
      </w:r>
      <w:r w:rsidRPr="00E26C29">
        <w:rPr>
          <w:bCs/>
        </w:rPr>
        <w:t>“)</w:t>
      </w:r>
    </w:p>
    <w:p w14:paraId="1889E0F2" w14:textId="77777777" w:rsidR="00E26C29" w:rsidRPr="00E26C29" w:rsidRDefault="00E26C29" w:rsidP="00E26C29">
      <w:pPr>
        <w:autoSpaceDE w:val="0"/>
        <w:autoSpaceDN w:val="0"/>
        <w:jc w:val="both"/>
        <w:rPr>
          <w:bCs/>
        </w:rPr>
      </w:pPr>
      <w:r w:rsidRPr="00CF5482">
        <w:t>(TUL, UACH a UFCH dále také společně jako „</w:t>
      </w:r>
      <w:r>
        <w:rPr>
          <w:b/>
        </w:rPr>
        <w:t>poskytovatelé</w:t>
      </w:r>
      <w:r w:rsidRPr="00CF5482">
        <w:t>“)</w:t>
      </w:r>
    </w:p>
    <w:p w14:paraId="7C875810" w14:textId="77777777" w:rsidR="00E26C29" w:rsidRPr="00CF5482" w:rsidRDefault="00E26C29" w:rsidP="00E26C29">
      <w:pPr>
        <w:widowControl w:val="0"/>
        <w:autoSpaceDE w:val="0"/>
        <w:autoSpaceDN w:val="0"/>
        <w:adjustRightInd w:val="0"/>
        <w:spacing w:line="360" w:lineRule="auto"/>
      </w:pPr>
    </w:p>
    <w:p w14:paraId="6F4A47D5" w14:textId="77777777" w:rsidR="001C5D98" w:rsidRDefault="001C5D98" w:rsidP="001C5D98">
      <w:pPr>
        <w:pStyle w:val="Normlnweb"/>
        <w:shd w:val="clear" w:color="auto" w:fill="FFFFFF"/>
        <w:spacing w:before="60" w:beforeAutospacing="0" w:after="60" w:afterAutospacing="0" w:line="276" w:lineRule="auto"/>
        <w:ind w:firstLine="357"/>
        <w:jc w:val="both"/>
      </w:pPr>
      <w:r w:rsidRPr="0010577F">
        <w:t>a</w:t>
      </w:r>
    </w:p>
    <w:p w14:paraId="0FB2B77C" w14:textId="77777777" w:rsidR="00E91BF1" w:rsidRPr="0010577F" w:rsidRDefault="00E91BF1" w:rsidP="001C5D98">
      <w:pPr>
        <w:pStyle w:val="Normlnweb"/>
        <w:shd w:val="clear" w:color="auto" w:fill="FFFFFF"/>
        <w:spacing w:before="60" w:beforeAutospacing="0" w:after="60" w:afterAutospacing="0" w:line="276" w:lineRule="auto"/>
        <w:ind w:firstLine="357"/>
        <w:jc w:val="both"/>
      </w:pPr>
    </w:p>
    <w:p w14:paraId="5635C253" w14:textId="77777777" w:rsidR="00E26C29" w:rsidRDefault="00D32F1E" w:rsidP="00D32F1E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  <w:noProof/>
        </w:rPr>
        <w:t xml:space="preserve"> </w:t>
      </w:r>
      <w:r w:rsidR="00E26C29" w:rsidRPr="00CF5482">
        <w:rPr>
          <w:b/>
          <w:bCs/>
          <w:noProof/>
        </w:rPr>
        <w:t>BETOSAN s.r.o.</w:t>
      </w:r>
      <w:r w:rsidR="00E26C29" w:rsidRPr="00CF5482">
        <w:rPr>
          <w:b/>
          <w:bCs/>
          <w:noProof/>
        </w:rPr>
        <w:tab/>
      </w:r>
    </w:p>
    <w:p w14:paraId="676CBF6B" w14:textId="77777777" w:rsidR="00E26C29" w:rsidRPr="00CF5482" w:rsidRDefault="00E26C29" w:rsidP="00E26C29">
      <w:pPr>
        <w:autoSpaceDE w:val="0"/>
        <w:autoSpaceDN w:val="0"/>
        <w:ind w:firstLine="720"/>
        <w:jc w:val="both"/>
        <w:rPr>
          <w:bCs/>
          <w:noProof/>
          <w:lang w:val="es-ES_tradnl"/>
        </w:rPr>
      </w:pPr>
      <w:r w:rsidRPr="00CF5482">
        <w:rPr>
          <w:bCs/>
          <w:noProof/>
        </w:rPr>
        <w:t xml:space="preserve">Se sídlem v: </w:t>
      </w:r>
      <w:r w:rsidRPr="00CF5482">
        <w:rPr>
          <w:bCs/>
          <w:noProof/>
          <w:lang w:val="es-ES_tradnl"/>
        </w:rPr>
        <w:t>Praha 4 - Podolí, Na Dolinách 148/28, PSČ 14700</w:t>
      </w:r>
    </w:p>
    <w:p w14:paraId="51F860D5" w14:textId="77777777" w:rsidR="00E26C29" w:rsidRPr="00CF5482" w:rsidRDefault="00E26C29" w:rsidP="00E26C29">
      <w:pPr>
        <w:autoSpaceDE w:val="0"/>
        <w:autoSpaceDN w:val="0"/>
        <w:ind w:firstLine="720"/>
        <w:jc w:val="both"/>
      </w:pPr>
      <w:r w:rsidRPr="00CF5482">
        <w:t xml:space="preserve">IČ: </w:t>
      </w:r>
      <w:r w:rsidRPr="00CF5482">
        <w:rPr>
          <w:lang w:val="es-ES_tradnl"/>
        </w:rPr>
        <w:t>48028177</w:t>
      </w:r>
    </w:p>
    <w:p w14:paraId="40A7B9F9" w14:textId="77777777" w:rsidR="00E26C29" w:rsidRPr="00CF5482" w:rsidRDefault="00E26C29" w:rsidP="00E26C29">
      <w:pPr>
        <w:autoSpaceDE w:val="0"/>
        <w:autoSpaceDN w:val="0"/>
        <w:ind w:firstLine="720"/>
        <w:jc w:val="both"/>
        <w:rPr>
          <w:noProof/>
        </w:rPr>
      </w:pPr>
      <w:r w:rsidRPr="00CF5482">
        <w:t>DIČ: CZ48028177</w:t>
      </w:r>
    </w:p>
    <w:p w14:paraId="7D966330" w14:textId="44480E86" w:rsidR="00E26C29" w:rsidRPr="00CF5482" w:rsidRDefault="00E26C29" w:rsidP="00E26C29">
      <w:pPr>
        <w:autoSpaceDE w:val="0"/>
        <w:autoSpaceDN w:val="0"/>
        <w:ind w:firstLine="720"/>
        <w:jc w:val="both"/>
      </w:pPr>
      <w:r w:rsidRPr="00CF5482">
        <w:t xml:space="preserve">Bankovní spojení: </w:t>
      </w:r>
      <w:proofErr w:type="spellStart"/>
      <w:r w:rsidR="00773D79">
        <w:t>xxx</w:t>
      </w:r>
      <w:proofErr w:type="spellEnd"/>
    </w:p>
    <w:p w14:paraId="0D68318F" w14:textId="5835A86D" w:rsidR="00E26C29" w:rsidRPr="00847BE1" w:rsidRDefault="00E26C29" w:rsidP="00E26C29">
      <w:pPr>
        <w:autoSpaceDE w:val="0"/>
        <w:autoSpaceDN w:val="0"/>
        <w:ind w:firstLine="720"/>
        <w:jc w:val="both"/>
      </w:pPr>
      <w:r w:rsidRPr="00CF5482">
        <w:t xml:space="preserve">Účet </w:t>
      </w:r>
      <w:r w:rsidRPr="00847BE1">
        <w:t xml:space="preserve">číslo: </w:t>
      </w:r>
      <w:proofErr w:type="spellStart"/>
      <w:r w:rsidR="00773D79">
        <w:t>xxx</w:t>
      </w:r>
      <w:proofErr w:type="spellEnd"/>
    </w:p>
    <w:p w14:paraId="7141FE02" w14:textId="77777777" w:rsidR="00E26C29" w:rsidRPr="00847BE1" w:rsidRDefault="00E26C29" w:rsidP="00E26C29">
      <w:pPr>
        <w:autoSpaceDE w:val="0"/>
        <w:autoSpaceDN w:val="0"/>
        <w:ind w:left="709"/>
        <w:jc w:val="both"/>
      </w:pPr>
      <w:r w:rsidRPr="00847BE1">
        <w:t xml:space="preserve">Zastoupená: </w:t>
      </w:r>
      <w:r w:rsidRPr="00281684">
        <w:t xml:space="preserve">Ing. Pavel Dohnálek, Ph.D., Ing. Václav Pumpr, CSc., </w:t>
      </w:r>
      <w:r w:rsidR="00E44826" w:rsidRPr="00281684">
        <w:t>Ing. Zdeněk Vávra, Miroslav Pumpr</w:t>
      </w:r>
      <w:r w:rsidRPr="00281684">
        <w:t xml:space="preserve"> - jednatelé</w:t>
      </w:r>
    </w:p>
    <w:p w14:paraId="0BBA8260" w14:textId="77777777" w:rsidR="00E26C29" w:rsidRPr="00CF5482" w:rsidRDefault="00E26C29" w:rsidP="00E91BF1">
      <w:pPr>
        <w:autoSpaceDE w:val="0"/>
        <w:autoSpaceDN w:val="0"/>
        <w:ind w:left="709"/>
        <w:jc w:val="both"/>
      </w:pPr>
      <w:r w:rsidRPr="00847BE1">
        <w:t>Zapsaná: v obchodním rejstříku</w:t>
      </w:r>
      <w:r w:rsidRPr="00CF5482">
        <w:t xml:space="preserve"> vedeném u Městského soudu v Praze pod </w:t>
      </w:r>
      <w:proofErr w:type="spellStart"/>
      <w:r w:rsidRPr="00CF5482">
        <w:t>sp</w:t>
      </w:r>
      <w:proofErr w:type="spellEnd"/>
      <w:r w:rsidRPr="00CF5482">
        <w:t xml:space="preserve">. zn. C 14455 </w:t>
      </w:r>
    </w:p>
    <w:p w14:paraId="0D2842DE" w14:textId="77777777" w:rsidR="00E26C29" w:rsidRPr="00CF5482" w:rsidRDefault="00E26C29" w:rsidP="00E26C29">
      <w:pPr>
        <w:autoSpaceDE w:val="0"/>
        <w:autoSpaceDN w:val="0"/>
        <w:ind w:firstLine="708"/>
        <w:jc w:val="both"/>
      </w:pPr>
      <w:r w:rsidRPr="00CF5482">
        <w:t>Osoba odpovědná: Ing. Pavel Dohnálek, Ph.D.</w:t>
      </w:r>
    </w:p>
    <w:p w14:paraId="5C99F5A5" w14:textId="77777777" w:rsidR="00E26C29" w:rsidRPr="00CF5482" w:rsidRDefault="00E26C29" w:rsidP="00E26C29">
      <w:pPr>
        <w:autoSpaceDE w:val="0"/>
        <w:autoSpaceDN w:val="0"/>
        <w:ind w:firstLine="720"/>
        <w:jc w:val="both"/>
      </w:pPr>
      <w:r w:rsidRPr="00CF5482">
        <w:t>Interní číslo smlouvy: FV20234-5</w:t>
      </w:r>
    </w:p>
    <w:p w14:paraId="1971A139" w14:textId="77777777" w:rsidR="001C5D98" w:rsidRPr="0010577F" w:rsidRDefault="001C5D98" w:rsidP="001C5D98">
      <w:pPr>
        <w:pStyle w:val="Normlnweb"/>
        <w:shd w:val="clear" w:color="auto" w:fill="FFFFFF"/>
        <w:spacing w:before="60" w:beforeAutospacing="0" w:after="60" w:afterAutospacing="0" w:line="276" w:lineRule="auto"/>
        <w:ind w:firstLine="360"/>
        <w:jc w:val="both"/>
      </w:pPr>
      <w:r>
        <w:t>(</w:t>
      </w:r>
      <w:r w:rsidRPr="0010577F">
        <w:t>dále také jen „</w:t>
      </w:r>
      <w:r>
        <w:rPr>
          <w:b/>
        </w:rPr>
        <w:t>nabyvatel</w:t>
      </w:r>
      <w:r w:rsidRPr="0010577F">
        <w:t>“</w:t>
      </w:r>
      <w:r>
        <w:t>)</w:t>
      </w:r>
    </w:p>
    <w:p w14:paraId="3742B8DC" w14:textId="77777777" w:rsidR="001C5D98" w:rsidRPr="0010577F" w:rsidRDefault="001C5D98" w:rsidP="001C5D98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</w:p>
    <w:p w14:paraId="15BAAFC2" w14:textId="77777777" w:rsidR="001C5D98" w:rsidRPr="000F4CD1" w:rsidRDefault="00510E79" w:rsidP="004C45EB">
      <w:pPr>
        <w:pStyle w:val="Normlnweb"/>
        <w:shd w:val="clear" w:color="auto" w:fill="FFFFFF"/>
        <w:spacing w:before="60" w:beforeAutospacing="0" w:after="60" w:afterAutospacing="0" w:line="276" w:lineRule="auto"/>
        <w:jc w:val="both"/>
        <w:rPr>
          <w:sz w:val="28"/>
          <w:szCs w:val="28"/>
        </w:rPr>
      </w:pPr>
      <w:r>
        <w:tab/>
      </w:r>
      <w:r w:rsidR="00E91BF1">
        <w:t>P</w:t>
      </w:r>
      <w:r w:rsidR="001C5D98">
        <w:t>oskytovatel</w:t>
      </w:r>
      <w:r w:rsidR="001D2F78">
        <w:t>é</w:t>
      </w:r>
      <w:r w:rsidR="001C5D98">
        <w:t xml:space="preserve"> a nabyvatel </w:t>
      </w:r>
      <w:r w:rsidR="001C5D98" w:rsidRPr="0010577F">
        <w:t>dále také společně jako „smluvní strany“</w:t>
      </w:r>
      <w:r w:rsidR="001C5D98">
        <w:t xml:space="preserve"> a každý samostatně jako „smluvní strana“ uzavírají tuto </w:t>
      </w:r>
      <w:r w:rsidR="001C5D98" w:rsidRPr="00CA7E74">
        <w:rPr>
          <w:b/>
        </w:rPr>
        <w:t>licenční smlouvu</w:t>
      </w:r>
      <w:r w:rsidR="004C45EB">
        <w:rPr>
          <w:sz w:val="28"/>
          <w:szCs w:val="28"/>
        </w:rPr>
        <w:t>.</w:t>
      </w:r>
    </w:p>
    <w:p w14:paraId="35F5652B" w14:textId="77777777" w:rsidR="001C5D98" w:rsidRDefault="001C5D98" w:rsidP="001C5D98">
      <w:pPr>
        <w:spacing w:before="60" w:after="60" w:line="276" w:lineRule="auto"/>
        <w:jc w:val="both"/>
      </w:pPr>
      <w:bookmarkStart w:id="1" w:name="OLE_LINK1"/>
      <w:bookmarkStart w:id="2" w:name="OLE_LINK2"/>
      <w:bookmarkStart w:id="3" w:name="OLE_LINK3"/>
    </w:p>
    <w:p w14:paraId="2236E53C" w14:textId="77777777" w:rsidR="0044623D" w:rsidRPr="00573A75" w:rsidRDefault="007878A8" w:rsidP="00573A75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44623D">
        <w:rPr>
          <w:b/>
        </w:rPr>
        <w:t>Preambule</w:t>
      </w:r>
    </w:p>
    <w:p w14:paraId="2F04F4A2" w14:textId="77777777" w:rsidR="0004313D" w:rsidRDefault="00A91B06" w:rsidP="0004313D">
      <w:pPr>
        <w:pStyle w:val="Normlnweb"/>
        <w:numPr>
          <w:ilvl w:val="0"/>
          <w:numId w:val="10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CF5482">
        <w:t>Smluvní strany obdržely v letech 2017 - 2020 podporu na řešení projektu MPO ČR pod evidenčním číslem FV20234 s názvem „Inovativní fotokatalytické stěrky a přísady</w:t>
      </w:r>
      <w:r w:rsidR="0004313D">
        <w:t xml:space="preserve"> do betonu“ (dále jen projekt). Společným řešením projektu vznikly výsledky, </w:t>
      </w:r>
      <w:r w:rsidR="00A10561">
        <w:t>které jsou</w:t>
      </w:r>
      <w:r w:rsidR="00A10561" w:rsidRPr="00CF5482">
        <w:t xml:space="preserve"> chráněny průmyslovým právem jako užitné vzory</w:t>
      </w:r>
      <w:r w:rsidR="0004313D">
        <w:t xml:space="preserve"> PUV </w:t>
      </w:r>
      <w:r w:rsidR="0004313D" w:rsidRPr="0004313D">
        <w:rPr>
          <w:color w:val="000000"/>
        </w:rPr>
        <w:t>2019-37075 a 2019-37076 registrov</w:t>
      </w:r>
      <w:r w:rsidR="00961527">
        <w:rPr>
          <w:color w:val="000000"/>
        </w:rPr>
        <w:t>á</w:t>
      </w:r>
      <w:r w:rsidR="0004313D" w:rsidRPr="0004313D">
        <w:rPr>
          <w:color w:val="000000"/>
        </w:rPr>
        <w:t>n</w:t>
      </w:r>
      <w:r w:rsidR="00961527">
        <w:rPr>
          <w:color w:val="000000"/>
        </w:rPr>
        <w:t>y na ÚPV</w:t>
      </w:r>
      <w:r w:rsidR="0004313D" w:rsidRPr="0004313D">
        <w:rPr>
          <w:color w:val="000000"/>
        </w:rPr>
        <w:t xml:space="preserve"> pod čísly 33847 a 33848</w:t>
      </w:r>
      <w:r w:rsidR="0004313D">
        <w:t>.</w:t>
      </w:r>
    </w:p>
    <w:p w14:paraId="6C29A96A" w14:textId="77777777" w:rsidR="0004313D" w:rsidRDefault="0004313D" w:rsidP="00A10561">
      <w:pPr>
        <w:pStyle w:val="Normlnweb"/>
        <w:numPr>
          <w:ilvl w:val="0"/>
          <w:numId w:val="10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510E79">
        <w:t>Dohod</w:t>
      </w:r>
      <w:r>
        <w:t xml:space="preserve">ou smluvních stran </w:t>
      </w:r>
      <w:r w:rsidRPr="00510E79">
        <w:t xml:space="preserve">o spolumajitelství práv k výsledkům projektu a stanovení podílů k nim </w:t>
      </w:r>
      <w:r>
        <w:t xml:space="preserve">(dále jen Dohoda) uzavřenou 29.11.2019 byly stanoveny </w:t>
      </w:r>
      <w:r w:rsidRPr="00CF5482">
        <w:t>spolumajitelsk</w:t>
      </w:r>
      <w:r>
        <w:t xml:space="preserve">é </w:t>
      </w:r>
      <w:r w:rsidRPr="00CF5482">
        <w:t>podíl</w:t>
      </w:r>
      <w:r>
        <w:t>y k uvedeným užitným vzorům</w:t>
      </w:r>
      <w:r w:rsidR="00A10561">
        <w:t>.</w:t>
      </w:r>
      <w:r>
        <w:t xml:space="preserve"> </w:t>
      </w:r>
      <w:r w:rsidRPr="00B46497">
        <w:t>Poskytovatel</w:t>
      </w:r>
      <w:r>
        <w:t>é</w:t>
      </w:r>
      <w:r w:rsidRPr="00B46497">
        <w:t xml:space="preserve"> </w:t>
      </w:r>
      <w:r w:rsidR="00A10561">
        <w:t xml:space="preserve">a nabyvatel </w:t>
      </w:r>
      <w:r>
        <w:t>jsou</w:t>
      </w:r>
      <w:r w:rsidRPr="00B46497">
        <w:t xml:space="preserve"> výlučným</w:t>
      </w:r>
      <w:r>
        <w:t>i</w:t>
      </w:r>
      <w:r w:rsidRPr="00B46497">
        <w:t xml:space="preserve"> </w:t>
      </w:r>
      <w:r>
        <w:t>spolumajiteli</w:t>
      </w:r>
      <w:r w:rsidRPr="00B46497">
        <w:t xml:space="preserve"> </w:t>
      </w:r>
      <w:r>
        <w:t xml:space="preserve">podílů k UPV </w:t>
      </w:r>
      <w:r w:rsidRPr="00CA7E74">
        <w:rPr>
          <w:color w:val="000000"/>
        </w:rPr>
        <w:t>2019-37075 a 2019-37076</w:t>
      </w:r>
      <w:r>
        <w:t xml:space="preserve">, výše </w:t>
      </w:r>
      <w:r w:rsidR="00CA7E74">
        <w:t>těchto</w:t>
      </w:r>
      <w:r>
        <w:t xml:space="preserve"> podílů jsou uvedeny v </w:t>
      </w:r>
      <w:r w:rsidR="00A10561">
        <w:t>následující tabulce</w:t>
      </w:r>
      <w:r w:rsidR="00CA7E74">
        <w:t>:</w:t>
      </w:r>
      <w:r>
        <w:t xml:space="preserve">  </w:t>
      </w:r>
    </w:p>
    <w:p w14:paraId="15553B0D" w14:textId="77777777" w:rsidR="002974C1" w:rsidRDefault="002974C1" w:rsidP="00510E79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</w:p>
    <w:p w14:paraId="01C718CD" w14:textId="77777777" w:rsidR="00E44826" w:rsidRDefault="00E44826" w:rsidP="00510E79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</w:p>
    <w:p w14:paraId="4E0F10FE" w14:textId="77777777" w:rsidR="00E44826" w:rsidRPr="00CF5482" w:rsidRDefault="00E44826" w:rsidP="00510E79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2967"/>
      </w:tblGrid>
      <w:tr w:rsidR="002974C1" w:rsidRPr="00CF5482" w14:paraId="76DEFC57" w14:textId="77777777" w:rsidTr="005F4851">
        <w:trPr>
          <w:jc w:val="center"/>
        </w:trPr>
        <w:tc>
          <w:tcPr>
            <w:tcW w:w="2905" w:type="dxa"/>
            <w:shd w:val="clear" w:color="auto" w:fill="auto"/>
          </w:tcPr>
          <w:p w14:paraId="330BB3AC" w14:textId="77777777" w:rsidR="002974C1" w:rsidRPr="00CF5482" w:rsidRDefault="002974C1" w:rsidP="002974C1">
            <w:pPr>
              <w:autoSpaceDE w:val="0"/>
              <w:autoSpaceDN w:val="0"/>
              <w:jc w:val="center"/>
            </w:pPr>
            <w:r w:rsidRPr="00CF5482">
              <w:lastRenderedPageBreak/>
              <w:t>spolumajitel</w:t>
            </w:r>
          </w:p>
        </w:tc>
        <w:tc>
          <w:tcPr>
            <w:tcW w:w="2967" w:type="dxa"/>
            <w:shd w:val="clear" w:color="auto" w:fill="auto"/>
          </w:tcPr>
          <w:p w14:paraId="62F89E55" w14:textId="77777777" w:rsidR="002974C1" w:rsidRPr="00CF5482" w:rsidRDefault="002974C1" w:rsidP="002974C1">
            <w:pPr>
              <w:autoSpaceDE w:val="0"/>
              <w:autoSpaceDN w:val="0"/>
              <w:ind w:firstLine="19"/>
              <w:jc w:val="center"/>
            </w:pPr>
            <w:r>
              <w:t>podíly k</w:t>
            </w:r>
            <w:r w:rsidRPr="00CF5482">
              <w:t xml:space="preserve"> </w:t>
            </w:r>
            <w:r>
              <w:t xml:space="preserve">PUV </w:t>
            </w:r>
            <w:r w:rsidRPr="00510E79">
              <w:t>2019-37075 a 2019-37076</w:t>
            </w:r>
          </w:p>
        </w:tc>
      </w:tr>
      <w:tr w:rsidR="002974C1" w:rsidRPr="00CF5482" w14:paraId="39253A0D" w14:textId="77777777" w:rsidTr="005F4851">
        <w:trPr>
          <w:jc w:val="center"/>
        </w:trPr>
        <w:tc>
          <w:tcPr>
            <w:tcW w:w="2905" w:type="dxa"/>
            <w:shd w:val="clear" w:color="auto" w:fill="auto"/>
          </w:tcPr>
          <w:p w14:paraId="63839129" w14:textId="77777777" w:rsidR="002974C1" w:rsidRPr="00CF5482" w:rsidRDefault="002974C1" w:rsidP="005F4851">
            <w:pPr>
              <w:autoSpaceDE w:val="0"/>
              <w:autoSpaceDN w:val="0"/>
              <w:ind w:firstLine="720"/>
              <w:jc w:val="both"/>
            </w:pPr>
            <w:r w:rsidRPr="00CF5482">
              <w:t>BETOSAN s.r.o.</w:t>
            </w:r>
          </w:p>
        </w:tc>
        <w:tc>
          <w:tcPr>
            <w:tcW w:w="2967" w:type="dxa"/>
            <w:shd w:val="clear" w:color="auto" w:fill="auto"/>
          </w:tcPr>
          <w:p w14:paraId="4964BFF7" w14:textId="77777777" w:rsidR="002974C1" w:rsidRPr="00CF5482" w:rsidRDefault="002974C1" w:rsidP="005F4851">
            <w:pPr>
              <w:autoSpaceDE w:val="0"/>
              <w:autoSpaceDN w:val="0"/>
              <w:jc w:val="center"/>
            </w:pPr>
            <w:r w:rsidRPr="00CF5482">
              <w:t>58%</w:t>
            </w:r>
          </w:p>
        </w:tc>
      </w:tr>
      <w:tr w:rsidR="002974C1" w:rsidRPr="00CF5482" w14:paraId="7FC04CCF" w14:textId="77777777" w:rsidTr="005F4851">
        <w:trPr>
          <w:jc w:val="center"/>
        </w:trPr>
        <w:tc>
          <w:tcPr>
            <w:tcW w:w="2905" w:type="dxa"/>
            <w:shd w:val="clear" w:color="auto" w:fill="auto"/>
          </w:tcPr>
          <w:p w14:paraId="6430DDF6" w14:textId="77777777" w:rsidR="002974C1" w:rsidRPr="00CF5482" w:rsidRDefault="002974C1" w:rsidP="005F4851">
            <w:pPr>
              <w:autoSpaceDE w:val="0"/>
              <w:autoSpaceDN w:val="0"/>
              <w:ind w:firstLine="720"/>
              <w:jc w:val="both"/>
            </w:pPr>
            <w:r w:rsidRPr="00CF5482">
              <w:t>UACH</w:t>
            </w:r>
          </w:p>
        </w:tc>
        <w:tc>
          <w:tcPr>
            <w:tcW w:w="2967" w:type="dxa"/>
            <w:shd w:val="clear" w:color="auto" w:fill="auto"/>
          </w:tcPr>
          <w:p w14:paraId="41C00D05" w14:textId="77777777" w:rsidR="002974C1" w:rsidRPr="00CF5482" w:rsidRDefault="002974C1" w:rsidP="005F4851">
            <w:pPr>
              <w:autoSpaceDE w:val="0"/>
              <w:autoSpaceDN w:val="0"/>
              <w:jc w:val="center"/>
            </w:pPr>
            <w:r w:rsidRPr="00CF5482">
              <w:t>14%</w:t>
            </w:r>
          </w:p>
        </w:tc>
      </w:tr>
      <w:tr w:rsidR="002974C1" w:rsidRPr="00CF5482" w14:paraId="14B9A912" w14:textId="77777777" w:rsidTr="005F4851">
        <w:trPr>
          <w:jc w:val="center"/>
        </w:trPr>
        <w:tc>
          <w:tcPr>
            <w:tcW w:w="2905" w:type="dxa"/>
            <w:shd w:val="clear" w:color="auto" w:fill="auto"/>
          </w:tcPr>
          <w:p w14:paraId="0F4F92CB" w14:textId="77777777" w:rsidR="002974C1" w:rsidRPr="00CF5482" w:rsidRDefault="002974C1" w:rsidP="005F4851">
            <w:pPr>
              <w:autoSpaceDE w:val="0"/>
              <w:autoSpaceDN w:val="0"/>
              <w:ind w:firstLine="720"/>
              <w:jc w:val="both"/>
            </w:pPr>
            <w:r w:rsidRPr="00CF5482">
              <w:t>TUL</w:t>
            </w:r>
          </w:p>
        </w:tc>
        <w:tc>
          <w:tcPr>
            <w:tcW w:w="2967" w:type="dxa"/>
            <w:shd w:val="clear" w:color="auto" w:fill="auto"/>
          </w:tcPr>
          <w:p w14:paraId="7ABF374E" w14:textId="77777777" w:rsidR="002974C1" w:rsidRPr="00CF5482" w:rsidRDefault="002974C1" w:rsidP="005F4851">
            <w:pPr>
              <w:autoSpaceDE w:val="0"/>
              <w:autoSpaceDN w:val="0"/>
              <w:jc w:val="center"/>
            </w:pPr>
            <w:r w:rsidRPr="00CF5482">
              <w:t>14%</w:t>
            </w:r>
          </w:p>
        </w:tc>
      </w:tr>
      <w:tr w:rsidR="002974C1" w:rsidRPr="00CF5482" w14:paraId="1645E263" w14:textId="77777777" w:rsidTr="005F4851">
        <w:trPr>
          <w:jc w:val="center"/>
        </w:trPr>
        <w:tc>
          <w:tcPr>
            <w:tcW w:w="2905" w:type="dxa"/>
            <w:shd w:val="clear" w:color="auto" w:fill="auto"/>
          </w:tcPr>
          <w:p w14:paraId="3197C339" w14:textId="77777777" w:rsidR="002974C1" w:rsidRPr="00CF5482" w:rsidRDefault="002974C1" w:rsidP="005F4851">
            <w:pPr>
              <w:autoSpaceDE w:val="0"/>
              <w:autoSpaceDN w:val="0"/>
              <w:ind w:firstLine="720"/>
              <w:jc w:val="both"/>
            </w:pPr>
            <w:r w:rsidRPr="00CF5482">
              <w:t>UFCH</w:t>
            </w:r>
          </w:p>
        </w:tc>
        <w:tc>
          <w:tcPr>
            <w:tcW w:w="2967" w:type="dxa"/>
            <w:shd w:val="clear" w:color="auto" w:fill="auto"/>
          </w:tcPr>
          <w:p w14:paraId="26293794" w14:textId="77777777" w:rsidR="002974C1" w:rsidRPr="00CF5482" w:rsidRDefault="002974C1" w:rsidP="005F4851">
            <w:pPr>
              <w:autoSpaceDE w:val="0"/>
              <w:autoSpaceDN w:val="0"/>
              <w:jc w:val="center"/>
            </w:pPr>
            <w:r w:rsidRPr="00CF5482">
              <w:t>14%</w:t>
            </w:r>
          </w:p>
        </w:tc>
      </w:tr>
    </w:tbl>
    <w:p w14:paraId="120ABD98" w14:textId="77777777" w:rsidR="004C45EB" w:rsidRDefault="004C45EB" w:rsidP="001C5D98">
      <w:pPr>
        <w:spacing w:before="60" w:after="60" w:line="276" w:lineRule="auto"/>
        <w:jc w:val="both"/>
      </w:pPr>
    </w:p>
    <w:p w14:paraId="41182A97" w14:textId="77777777" w:rsidR="00CA7E74" w:rsidRDefault="001C6CB7" w:rsidP="00CA7E74">
      <w:pPr>
        <w:pStyle w:val="Normlnweb"/>
        <w:numPr>
          <w:ilvl w:val="0"/>
          <w:numId w:val="10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>
        <w:t xml:space="preserve">Podle </w:t>
      </w:r>
      <w:r w:rsidRPr="00CF5482">
        <w:t xml:space="preserve">čl. II. odst. 2.4 </w:t>
      </w:r>
      <w:r>
        <w:t xml:space="preserve">Dohody bylo stanoveno, že </w:t>
      </w:r>
      <w:r w:rsidR="002715AB">
        <w:t>jakékoliv komerční využití</w:t>
      </w:r>
      <w:r w:rsidRPr="00CF5482">
        <w:t xml:space="preserve"> </w:t>
      </w:r>
      <w:r>
        <w:t xml:space="preserve">PUV </w:t>
      </w:r>
      <w:r w:rsidRPr="00CA7E74">
        <w:rPr>
          <w:color w:val="000000"/>
        </w:rPr>
        <w:t xml:space="preserve">2019-37075 a 2019-37076 </w:t>
      </w:r>
      <w:r w:rsidRPr="00CF5482">
        <w:t>bude předmětem samostatné smlouvy uzavřené mezi smluvními stranami.</w:t>
      </w:r>
      <w:r>
        <w:t xml:space="preserve"> </w:t>
      </w:r>
      <w:r w:rsidR="007A57CF">
        <w:t>Poskytovatelé</w:t>
      </w:r>
      <w:r w:rsidR="002715AB">
        <w:t xml:space="preserve"> touto </w:t>
      </w:r>
      <w:r w:rsidR="002715AB" w:rsidRPr="00CA7E74">
        <w:rPr>
          <w:b/>
        </w:rPr>
        <w:t>licenční smlouvu</w:t>
      </w:r>
      <w:r w:rsidR="002715AB">
        <w:t xml:space="preserve"> </w:t>
      </w:r>
      <w:r w:rsidR="007A57CF">
        <w:t>poskytují</w:t>
      </w:r>
      <w:r w:rsidR="002715AB">
        <w:t xml:space="preserve"> </w:t>
      </w:r>
      <w:r w:rsidR="00CA7E74">
        <w:t xml:space="preserve">oprávnění k využití </w:t>
      </w:r>
      <w:r w:rsidR="002715AB">
        <w:t>svý</w:t>
      </w:r>
      <w:r w:rsidR="00CA7E74">
        <w:t>ch</w:t>
      </w:r>
      <w:r w:rsidR="002715AB">
        <w:t xml:space="preserve"> spolumajitelský</w:t>
      </w:r>
      <w:r w:rsidR="00CA7E74">
        <w:t>ch</w:t>
      </w:r>
      <w:r w:rsidR="002715AB">
        <w:t xml:space="preserve"> </w:t>
      </w:r>
      <w:r w:rsidR="007A57CF">
        <w:t xml:space="preserve">podílů </w:t>
      </w:r>
      <w:r w:rsidR="002715AB">
        <w:t xml:space="preserve">k jejich výlučnému komerčnímu využití </w:t>
      </w:r>
      <w:r w:rsidR="00CA7E74">
        <w:t>nabyvatelem, (dále také jen „</w:t>
      </w:r>
      <w:r w:rsidR="00CA7E74" w:rsidRPr="00CA7E74">
        <w:rPr>
          <w:b/>
        </w:rPr>
        <w:t>licenci</w:t>
      </w:r>
      <w:r w:rsidR="00CA7E74">
        <w:t xml:space="preserve">“). </w:t>
      </w:r>
    </w:p>
    <w:p w14:paraId="5726A970" w14:textId="77777777" w:rsidR="00CA7E74" w:rsidRDefault="00CA7E74" w:rsidP="00CA7E74">
      <w:pPr>
        <w:pStyle w:val="Normlnweb"/>
        <w:numPr>
          <w:ilvl w:val="0"/>
          <w:numId w:val="10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>
        <w:t xml:space="preserve">Nabyvatel </w:t>
      </w:r>
      <w:r w:rsidR="00573A75">
        <w:t xml:space="preserve">se zavazuje nevyužívat svůj spolumajitelský podíl </w:t>
      </w:r>
      <w:r w:rsidR="004B192C">
        <w:t xml:space="preserve">samostatně </w:t>
      </w:r>
      <w:r w:rsidR="00573A75">
        <w:t xml:space="preserve">a </w:t>
      </w:r>
      <w:r>
        <w:t xml:space="preserve">má </w:t>
      </w:r>
      <w:r w:rsidR="00961527">
        <w:t xml:space="preserve">proto </w:t>
      </w:r>
      <w:r>
        <w:t>zájem získat od poskytovatelů licenci v souladu a za podmínek ujednaných touto licenční smlouvou.</w:t>
      </w:r>
    </w:p>
    <w:p w14:paraId="013F0B94" w14:textId="77777777" w:rsidR="001C6CB7" w:rsidRDefault="001C6CB7" w:rsidP="001C5D98">
      <w:pPr>
        <w:spacing w:before="60" w:after="60" w:line="276" w:lineRule="auto"/>
        <w:jc w:val="both"/>
      </w:pPr>
    </w:p>
    <w:p w14:paraId="6AABD0BB" w14:textId="77777777" w:rsidR="0044623D" w:rsidRPr="00CF5482" w:rsidRDefault="007878A8" w:rsidP="00573A75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573A75">
        <w:rPr>
          <w:b/>
        </w:rPr>
        <w:t>Předmět smlouvy</w:t>
      </w:r>
    </w:p>
    <w:p w14:paraId="5C7376F7" w14:textId="77777777" w:rsidR="00E25237" w:rsidRDefault="00961527" w:rsidP="00961527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  <w:r>
        <w:tab/>
      </w:r>
      <w:r w:rsidR="00E25237">
        <w:t xml:space="preserve">Předmětem této licenční smlouvy je poskytnutí oprávnění k průmyslovému a komerčnímu využití spolumajitelských podílům poskytovatelů k PUV </w:t>
      </w:r>
      <w:r w:rsidR="00E25237" w:rsidRPr="00CA7E74">
        <w:rPr>
          <w:color w:val="000000"/>
        </w:rPr>
        <w:t>2019-37075 a 2019-37076</w:t>
      </w:r>
      <w:r w:rsidR="00E25237">
        <w:t xml:space="preserve"> uvedených v čl. I odst. 2 nabyvatelem.</w:t>
      </w:r>
    </w:p>
    <w:p w14:paraId="54A7CFA6" w14:textId="77777777" w:rsidR="001C5D98" w:rsidRPr="0010577F" w:rsidRDefault="001C5D98" w:rsidP="001C5D98">
      <w:pPr>
        <w:pStyle w:val="Normlnweb"/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</w:p>
    <w:bookmarkEnd w:id="1"/>
    <w:bookmarkEnd w:id="2"/>
    <w:bookmarkEnd w:id="3"/>
    <w:p w14:paraId="44D5FF0D" w14:textId="77777777" w:rsidR="0044623D" w:rsidRDefault="007878A8" w:rsidP="00573A75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center"/>
        <w:rPr>
          <w:b/>
          <w:bCs/>
          <w:spacing w:val="22"/>
        </w:rPr>
      </w:pPr>
      <w:r w:rsidRPr="00573A75">
        <w:rPr>
          <w:b/>
        </w:rPr>
        <w:t>Rozsah užití licence</w:t>
      </w:r>
    </w:p>
    <w:p w14:paraId="60A67734" w14:textId="77777777" w:rsidR="00F22847" w:rsidRDefault="00B6610E" w:rsidP="0044623D">
      <w:pPr>
        <w:pStyle w:val="Normlnweb"/>
        <w:numPr>
          <w:ilvl w:val="0"/>
          <w:numId w:val="13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>
        <w:t xml:space="preserve">Nabyvatel je oprávněn </w:t>
      </w:r>
      <w:r w:rsidR="00F22847">
        <w:t xml:space="preserve">licenci užívat </w:t>
      </w:r>
      <w:r w:rsidR="0044623D">
        <w:t xml:space="preserve">výhradně </w:t>
      </w:r>
      <w:r w:rsidR="00F22847">
        <w:t>samostatně.</w:t>
      </w:r>
    </w:p>
    <w:p w14:paraId="6D37EBCA" w14:textId="77777777" w:rsidR="0096329A" w:rsidRDefault="0096329A" w:rsidP="0044623D">
      <w:pPr>
        <w:pStyle w:val="Normlnweb"/>
        <w:numPr>
          <w:ilvl w:val="0"/>
          <w:numId w:val="13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>
        <w:t xml:space="preserve">Nabyvatel je oprávněn licenci užívat </w:t>
      </w:r>
      <w:r w:rsidR="00573A75">
        <w:t>bez teritoriálního omezení</w:t>
      </w:r>
      <w:r>
        <w:t>.</w:t>
      </w:r>
    </w:p>
    <w:p w14:paraId="155DA5C9" w14:textId="77777777" w:rsidR="00F22847" w:rsidRDefault="00F22847" w:rsidP="00F22847">
      <w:pPr>
        <w:pStyle w:val="Normlnweb"/>
        <w:shd w:val="clear" w:color="auto" w:fill="FFFFFF"/>
        <w:spacing w:before="60" w:beforeAutospacing="0" w:after="60" w:afterAutospacing="0" w:line="276" w:lineRule="auto"/>
        <w:ind w:left="709" w:hanging="709"/>
        <w:jc w:val="both"/>
        <w:rPr>
          <w:b/>
          <w:sz w:val="28"/>
          <w:szCs w:val="28"/>
          <w:u w:val="single"/>
        </w:rPr>
      </w:pPr>
    </w:p>
    <w:p w14:paraId="44ADDE2B" w14:textId="77777777" w:rsidR="00573A75" w:rsidRDefault="007878A8" w:rsidP="00573A75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center"/>
        <w:rPr>
          <w:b/>
          <w:bCs/>
          <w:spacing w:val="22"/>
        </w:rPr>
      </w:pPr>
      <w:r>
        <w:rPr>
          <w:b/>
        </w:rPr>
        <w:t>Pod</w:t>
      </w:r>
      <w:r w:rsidRPr="00573A75">
        <w:rPr>
          <w:b/>
        </w:rPr>
        <w:t>licence</w:t>
      </w:r>
      <w:r>
        <w:rPr>
          <w:b/>
        </w:rPr>
        <w:t xml:space="preserve"> a postoupení licence</w:t>
      </w:r>
    </w:p>
    <w:p w14:paraId="5D3102C4" w14:textId="77777777" w:rsidR="00F22847" w:rsidRDefault="00961527" w:rsidP="00961527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  <w:r>
        <w:tab/>
      </w:r>
      <w:r w:rsidR="004B192C">
        <w:t xml:space="preserve">Nabyvatel není oprávněn bez předchozího písemného souhlasu poskytovatelů licenci nebo její část (podlicenci) postoupit třetí osobě </w:t>
      </w:r>
    </w:p>
    <w:p w14:paraId="3C440FAA" w14:textId="77777777" w:rsidR="0096329A" w:rsidRDefault="0096329A" w:rsidP="0096329A">
      <w:pPr>
        <w:pStyle w:val="Normlnweb"/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</w:p>
    <w:p w14:paraId="1A19CD45" w14:textId="77777777" w:rsidR="004B192C" w:rsidRDefault="007878A8" w:rsidP="004B192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center"/>
        <w:rPr>
          <w:b/>
          <w:bCs/>
          <w:spacing w:val="22"/>
        </w:rPr>
      </w:pPr>
      <w:r w:rsidRPr="004B192C">
        <w:rPr>
          <w:b/>
        </w:rPr>
        <w:t>Výhradní licence</w:t>
      </w:r>
    </w:p>
    <w:p w14:paraId="6AE481BE" w14:textId="77777777" w:rsidR="0096329A" w:rsidRDefault="00961527" w:rsidP="00961527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  <w:r>
        <w:tab/>
      </w:r>
      <w:r w:rsidR="0096329A">
        <w:t>Poskytovatel</w:t>
      </w:r>
      <w:r w:rsidR="004B192C">
        <w:t>é</w:t>
      </w:r>
      <w:r w:rsidR="0096329A">
        <w:t xml:space="preserve"> poskytuj</w:t>
      </w:r>
      <w:r w:rsidR="004B192C">
        <w:t>í</w:t>
      </w:r>
      <w:r w:rsidR="0096329A">
        <w:t xml:space="preserve"> nabyvateli licenci jako licenci výhradní. Poskytovatel nemá právo poskytnout licenci třetí osobě po dobu, co výhradní licence trvá. </w:t>
      </w:r>
    </w:p>
    <w:p w14:paraId="5B524045" w14:textId="77777777" w:rsidR="00356FE3" w:rsidRDefault="00356FE3" w:rsidP="00961527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</w:p>
    <w:p w14:paraId="7D7886C8" w14:textId="77777777" w:rsidR="00E44826" w:rsidRDefault="00E44826" w:rsidP="00961527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</w:p>
    <w:p w14:paraId="13D7A031" w14:textId="77777777" w:rsidR="00E44826" w:rsidRDefault="00E44826" w:rsidP="00961527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</w:p>
    <w:p w14:paraId="52294341" w14:textId="77777777" w:rsidR="00356FE3" w:rsidRDefault="007878A8" w:rsidP="00356FE3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center"/>
        <w:rPr>
          <w:b/>
          <w:bCs/>
          <w:spacing w:val="22"/>
        </w:rPr>
      </w:pPr>
      <w:r w:rsidRPr="00356FE3">
        <w:rPr>
          <w:b/>
        </w:rPr>
        <w:lastRenderedPageBreak/>
        <w:t>Doba trvání smlouvy</w:t>
      </w:r>
    </w:p>
    <w:p w14:paraId="1405EB15" w14:textId="77777777" w:rsidR="00356FE3" w:rsidRPr="00847BE1" w:rsidRDefault="00356FE3" w:rsidP="00356FE3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  <w:r>
        <w:t xml:space="preserve">Tato licenční smlouva se </w:t>
      </w:r>
      <w:r w:rsidRPr="00847BE1">
        <w:t>uzavírá na dobu</w:t>
      </w:r>
      <w:r w:rsidR="00E44826" w:rsidRPr="00847BE1">
        <w:t xml:space="preserve"> </w:t>
      </w:r>
      <w:r w:rsidR="00E44826" w:rsidRPr="00281684">
        <w:t>pět</w:t>
      </w:r>
      <w:r w:rsidR="00D32F1E" w:rsidRPr="00281684">
        <w:t xml:space="preserve"> let</w:t>
      </w:r>
      <w:r w:rsidRPr="00281684">
        <w:t>.</w:t>
      </w:r>
    </w:p>
    <w:p w14:paraId="42184FA2" w14:textId="77777777" w:rsidR="0096329A" w:rsidRPr="00847BE1" w:rsidRDefault="0096329A" w:rsidP="0096329A">
      <w:pPr>
        <w:pStyle w:val="Normlnweb"/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</w:p>
    <w:p w14:paraId="39B3CCDF" w14:textId="77777777" w:rsidR="00B76B0B" w:rsidRPr="00847BE1" w:rsidRDefault="007878A8" w:rsidP="00356FE3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center"/>
        <w:rPr>
          <w:b/>
          <w:bCs/>
          <w:spacing w:val="22"/>
        </w:rPr>
      </w:pPr>
      <w:r w:rsidRPr="00847BE1">
        <w:rPr>
          <w:b/>
        </w:rPr>
        <w:t>Odměna</w:t>
      </w:r>
    </w:p>
    <w:p w14:paraId="41C76ABE" w14:textId="77777777" w:rsidR="00961527" w:rsidRPr="00847BE1" w:rsidRDefault="00961527" w:rsidP="00240193">
      <w:pPr>
        <w:pStyle w:val="Normlnweb"/>
        <w:numPr>
          <w:ilvl w:val="0"/>
          <w:numId w:val="25"/>
        </w:numPr>
        <w:shd w:val="clear" w:color="auto" w:fill="FFFFFF"/>
        <w:spacing w:before="60" w:beforeAutospacing="0" w:after="60" w:afterAutospacing="0" w:line="276" w:lineRule="auto"/>
        <w:jc w:val="both"/>
      </w:pPr>
      <w:r w:rsidRPr="00847BE1">
        <w:t>Nabyvatel se zavazuje poskytnout poskytovatel</w:t>
      </w:r>
      <w:r w:rsidR="00B76B0B" w:rsidRPr="00847BE1">
        <w:t>ům</w:t>
      </w:r>
      <w:r w:rsidR="00240193" w:rsidRPr="00847BE1">
        <w:t xml:space="preserve"> odměnu za poskytnutou licenci. </w:t>
      </w:r>
    </w:p>
    <w:p w14:paraId="1A56CBCC" w14:textId="0FF99426" w:rsidR="00240193" w:rsidRPr="00847BE1" w:rsidRDefault="00B76B0B" w:rsidP="00D5740C">
      <w:pPr>
        <w:pStyle w:val="Normlnweb"/>
        <w:numPr>
          <w:ilvl w:val="0"/>
          <w:numId w:val="25"/>
        </w:numPr>
        <w:shd w:val="clear" w:color="auto" w:fill="FFFFFF"/>
        <w:spacing w:before="60" w:beforeAutospacing="0" w:after="60" w:afterAutospacing="0" w:line="276" w:lineRule="auto"/>
        <w:jc w:val="both"/>
      </w:pPr>
      <w:r w:rsidRPr="00847BE1">
        <w:t xml:space="preserve">Pro výpočet výše odměny </w:t>
      </w:r>
      <w:r w:rsidR="00B26425" w:rsidRPr="00847BE1">
        <w:t>(bez DPH)</w:t>
      </w:r>
      <w:r w:rsidR="00240193" w:rsidRPr="00847BE1">
        <w:t xml:space="preserve"> </w:t>
      </w:r>
      <w:r w:rsidRPr="00847BE1">
        <w:t>se n</w:t>
      </w:r>
      <w:r w:rsidR="00961527" w:rsidRPr="00847BE1">
        <w:t xml:space="preserve">abyvatel </w:t>
      </w:r>
      <w:r w:rsidRPr="00847BE1">
        <w:t xml:space="preserve">zavazuje poskytnout </w:t>
      </w:r>
      <w:r w:rsidR="00B26425" w:rsidRPr="00847BE1">
        <w:t xml:space="preserve">nejpozději do 31.3. každého roku platné licence </w:t>
      </w:r>
      <w:r w:rsidRPr="00847BE1">
        <w:t xml:space="preserve">nabyvatelům výkaz o </w:t>
      </w:r>
      <w:r w:rsidR="00356FE3" w:rsidRPr="00847BE1">
        <w:t>obratu (</w:t>
      </w:r>
      <w:r w:rsidRPr="00847BE1">
        <w:t>prodeji</w:t>
      </w:r>
      <w:r w:rsidR="00356FE3" w:rsidRPr="00847BE1">
        <w:t>)</w:t>
      </w:r>
      <w:r w:rsidRPr="00847BE1">
        <w:t xml:space="preserve"> produktů </w:t>
      </w:r>
      <w:r w:rsidR="00356FE3" w:rsidRPr="00847BE1">
        <w:t>vyrobených</w:t>
      </w:r>
      <w:r w:rsidR="00240193" w:rsidRPr="00847BE1">
        <w:t xml:space="preserve"> na základě licence k 31.12.</w:t>
      </w:r>
      <w:r w:rsidR="00356FE3" w:rsidRPr="00847BE1">
        <w:t>daného roku</w:t>
      </w:r>
      <w:r w:rsidR="00356FE3" w:rsidRPr="00C1664F">
        <w:t>.</w:t>
      </w:r>
      <w:r w:rsidR="00240193" w:rsidRPr="00C1664F">
        <w:t xml:space="preserve"> </w:t>
      </w:r>
      <w:r w:rsidR="00356FE3" w:rsidRPr="004D0790">
        <w:t>Částka určená k</w:t>
      </w:r>
      <w:r w:rsidR="00E44826" w:rsidRPr="004D0790">
        <w:t> </w:t>
      </w:r>
      <w:r w:rsidR="00281684" w:rsidRPr="004D0790">
        <w:t>odměnám činí</w:t>
      </w:r>
      <w:r w:rsidR="00240193" w:rsidRPr="004D0790">
        <w:t xml:space="preserve"> </w:t>
      </w:r>
      <w:r w:rsidR="00B03EE2" w:rsidRPr="004D0790">
        <w:t>4,5</w:t>
      </w:r>
      <w:r w:rsidR="00240193" w:rsidRPr="004D0790">
        <w:t xml:space="preserve"> %</w:t>
      </w:r>
      <w:r w:rsidR="00356FE3" w:rsidRPr="004D0790">
        <w:t xml:space="preserve"> z tohoto obratu</w:t>
      </w:r>
      <w:r w:rsidR="00240193" w:rsidRPr="004D0790">
        <w:t xml:space="preserve">, </w:t>
      </w:r>
      <w:r w:rsidR="00D5740C" w:rsidRPr="009E3FC8">
        <w:t>o</w:t>
      </w:r>
      <w:r w:rsidR="00240193" w:rsidRPr="009E3FC8">
        <w:t>dměna se rozdělí mezi smluv</w:t>
      </w:r>
      <w:r w:rsidR="00240193" w:rsidRPr="00847BE1">
        <w:t xml:space="preserve">ní strany </w:t>
      </w:r>
      <w:r w:rsidR="00D5740C">
        <w:t xml:space="preserve">UACH a UFCH a TUL </w:t>
      </w:r>
      <w:r w:rsidR="00240193" w:rsidRPr="00847BE1">
        <w:t>podle výše jejich spolumajitelských podílů</w:t>
      </w:r>
      <w:r w:rsidR="0043120C" w:rsidRPr="00847BE1">
        <w:t xml:space="preserve"> a rozdělení odměn pro smluvní strany bude uvedeno ve výkazu.</w:t>
      </w:r>
      <w:r w:rsidR="00D5740C" w:rsidRPr="00D5740C">
        <w:t xml:space="preserve"> </w:t>
      </w:r>
      <w:r w:rsidR="00D5740C">
        <w:t xml:space="preserve">Odměna </w:t>
      </w:r>
      <w:r w:rsidR="00D5740C" w:rsidRPr="00D5740C">
        <w:t>však</w:t>
      </w:r>
      <w:r w:rsidR="006E36DB">
        <w:t xml:space="preserve"> bude</w:t>
      </w:r>
      <w:r w:rsidR="00D5740C" w:rsidRPr="00D5740C">
        <w:t xml:space="preserve"> </w:t>
      </w:r>
      <w:r w:rsidR="00D5740C">
        <w:t xml:space="preserve">nejméně </w:t>
      </w:r>
      <w:r w:rsidR="00D5740C" w:rsidRPr="00D5740C">
        <w:t xml:space="preserve">každoročně činit </w:t>
      </w:r>
      <w:r w:rsidR="00D5740C">
        <w:t>částku 15</w:t>
      </w:r>
      <w:r w:rsidR="00D5740C" w:rsidRPr="00D5740C">
        <w:t>.000,-Kč</w:t>
      </w:r>
      <w:r w:rsidR="00C1664F">
        <w:t xml:space="preserve"> pro každou instituci (UACH, UFCH, TUL)</w:t>
      </w:r>
      <w:bookmarkStart w:id="4" w:name="_Hlk58316778"/>
      <w:r w:rsidR="00D5740C" w:rsidRPr="00D5740C">
        <w:t xml:space="preserve"> bez ohledu na</w:t>
      </w:r>
      <w:r w:rsidR="00C1664F">
        <w:t xml:space="preserve"> reálný objem</w:t>
      </w:r>
      <w:r w:rsidR="00D5740C" w:rsidRPr="00D5740C">
        <w:t xml:space="preserve"> prodej</w:t>
      </w:r>
      <w:r w:rsidR="00C1664F">
        <w:t>e</w:t>
      </w:r>
      <w:r w:rsidR="00D5740C" w:rsidRPr="00D5740C">
        <w:t xml:space="preserve"> produktů</w:t>
      </w:r>
      <w:bookmarkEnd w:id="4"/>
      <w:r w:rsidR="00D5740C" w:rsidRPr="00D5740C">
        <w:t>.</w:t>
      </w:r>
      <w:r w:rsidR="00C1664F">
        <w:t xml:space="preserve"> Minimální</w:t>
      </w:r>
      <w:r w:rsidR="00D5740C">
        <w:t xml:space="preserve"> </w:t>
      </w:r>
      <w:r w:rsidR="00C1664F">
        <w:t>o</w:t>
      </w:r>
      <w:r w:rsidR="00D5740C">
        <w:t xml:space="preserve">dměna </w:t>
      </w:r>
      <w:r w:rsidR="00C1664F">
        <w:t>za celou dobu trvání smlouvy (</w:t>
      </w:r>
      <w:r w:rsidR="0025056F">
        <w:t>pět</w:t>
      </w:r>
      <w:r w:rsidR="00C1664F">
        <w:t xml:space="preserve"> let) </w:t>
      </w:r>
      <w:r w:rsidR="00D5740C">
        <w:t xml:space="preserve">bude vyplacena jednorázově a </w:t>
      </w:r>
      <w:r w:rsidR="00C1664F">
        <w:t>bude činit</w:t>
      </w:r>
      <w:r w:rsidR="00D5740C">
        <w:t xml:space="preserve"> 75.000,- Kč</w:t>
      </w:r>
      <w:r w:rsidR="00C1664F">
        <w:t>.</w:t>
      </w:r>
      <w:r w:rsidR="006E36DB">
        <w:t xml:space="preserve"> </w:t>
      </w:r>
    </w:p>
    <w:p w14:paraId="0ED5239C" w14:textId="77777777" w:rsidR="00863329" w:rsidRPr="00847BE1" w:rsidRDefault="00863329" w:rsidP="00863329">
      <w:pPr>
        <w:pStyle w:val="Normlnweb"/>
        <w:numPr>
          <w:ilvl w:val="0"/>
          <w:numId w:val="25"/>
        </w:numPr>
        <w:shd w:val="clear" w:color="auto" w:fill="FFFFFF"/>
        <w:spacing w:before="60" w:beforeAutospacing="0" w:after="60" w:afterAutospacing="0" w:line="276" w:lineRule="auto"/>
        <w:jc w:val="both"/>
      </w:pPr>
      <w:r w:rsidRPr="00847BE1">
        <w:t xml:space="preserve">Nabyvatel se zavazuje umožnit poskytovateli nebo jeho zmocněnci kontrolu svého účetnictví ve vztahu k licenčním výrobkům a zavazuje se vést veškeré platby na samostatném účetním středisku. </w:t>
      </w:r>
    </w:p>
    <w:p w14:paraId="5D9E3F4A" w14:textId="5C524CAE" w:rsidR="00070520" w:rsidRPr="004D0790" w:rsidRDefault="00B26425" w:rsidP="00070520">
      <w:pPr>
        <w:pStyle w:val="Odstavecseseznamem"/>
        <w:numPr>
          <w:ilvl w:val="0"/>
          <w:numId w:val="25"/>
        </w:numPr>
        <w:jc w:val="both"/>
        <w:rPr>
          <w:color w:val="auto"/>
        </w:rPr>
      </w:pPr>
      <w:r w:rsidRPr="00847BE1">
        <w:t xml:space="preserve">Nabyvatel se zavazuje </w:t>
      </w:r>
      <w:r w:rsidR="00961527" w:rsidRPr="00847BE1">
        <w:t>odměn</w:t>
      </w:r>
      <w:r w:rsidR="00402AA2">
        <w:t>y</w:t>
      </w:r>
      <w:r w:rsidR="00961527">
        <w:t xml:space="preserve"> </w:t>
      </w:r>
      <w:r w:rsidR="00402AA2">
        <w:t xml:space="preserve">dle odst. 2 tohoto článku </w:t>
      </w:r>
      <w:r w:rsidR="00961527">
        <w:t xml:space="preserve">zaplatit na základě </w:t>
      </w:r>
      <w:r>
        <w:t xml:space="preserve">jednotlivými </w:t>
      </w:r>
      <w:r w:rsidR="00961527">
        <w:t>poskytovatel</w:t>
      </w:r>
      <w:r>
        <w:t>i</w:t>
      </w:r>
      <w:r w:rsidR="00961527">
        <w:t xml:space="preserve"> vystaven</w:t>
      </w:r>
      <w:r w:rsidR="00402AA2">
        <w:t>ých</w:t>
      </w:r>
      <w:r w:rsidR="00961527">
        <w:t xml:space="preserve"> daňov</w:t>
      </w:r>
      <w:r w:rsidR="00402AA2">
        <w:t>ých</w:t>
      </w:r>
      <w:r w:rsidR="00961527">
        <w:t xml:space="preserve"> doklad</w:t>
      </w:r>
      <w:r w:rsidR="00402AA2">
        <w:t xml:space="preserve">ů </w:t>
      </w:r>
      <w:r w:rsidR="00961527">
        <w:t>(faktur) se splatností 14 dnů ode dne následujícího po jeho doručení nabyvateli.</w:t>
      </w:r>
      <w:r w:rsidR="00070520">
        <w:t xml:space="preserve"> </w:t>
      </w:r>
    </w:p>
    <w:p w14:paraId="34C0FFE0" w14:textId="5C549F4D" w:rsidR="00402AA2" w:rsidRPr="004D0790" w:rsidRDefault="00402AA2" w:rsidP="004D0790">
      <w:pPr>
        <w:pStyle w:val="Odstavecseseznamem"/>
        <w:jc w:val="both"/>
        <w:rPr>
          <w:color w:val="auto"/>
        </w:rPr>
      </w:pPr>
      <w:r>
        <w:t xml:space="preserve">Úhrada odměn bude probíhat následujícím způsobem: </w:t>
      </w:r>
    </w:p>
    <w:p w14:paraId="566E86CE" w14:textId="14261D14" w:rsidR="00402AA2" w:rsidRPr="004D0790" w:rsidRDefault="00402AA2" w:rsidP="004D0790">
      <w:pPr>
        <w:pStyle w:val="Odstavecseseznamem"/>
        <w:numPr>
          <w:ilvl w:val="0"/>
          <w:numId w:val="34"/>
        </w:numPr>
        <w:jc w:val="both"/>
        <w:rPr>
          <w:color w:val="auto"/>
        </w:rPr>
      </w:pPr>
      <w:r>
        <w:t>jednorázová</w:t>
      </w:r>
      <w:r w:rsidR="00070520">
        <w:t xml:space="preserve"> minimální</w:t>
      </w:r>
      <w:r>
        <w:t xml:space="preserve"> odměna</w:t>
      </w:r>
      <w:r w:rsidR="00C1664F">
        <w:t xml:space="preserve"> dle odst. 2 tohoto článku</w:t>
      </w:r>
      <w:r>
        <w:t xml:space="preserve"> </w:t>
      </w:r>
      <w:r w:rsidRPr="00402AA2">
        <w:t>j</w:t>
      </w:r>
      <w:r>
        <w:t>e</w:t>
      </w:r>
      <w:r w:rsidRPr="00402AA2">
        <w:t xml:space="preserve"> splatn</w:t>
      </w:r>
      <w:r>
        <w:t xml:space="preserve">á </w:t>
      </w:r>
      <w:r w:rsidRPr="00402AA2">
        <w:t>na základě faktury vystavené</w:t>
      </w:r>
      <w:r w:rsidR="00C1664F">
        <w:t xml:space="preserve"> jednotlivými institucemi (UACH, UFCH a TUL)</w:t>
      </w:r>
      <w:r>
        <w:t xml:space="preserve"> </w:t>
      </w:r>
      <w:r w:rsidRPr="00402AA2">
        <w:t xml:space="preserve">po </w:t>
      </w:r>
      <w:r>
        <w:t xml:space="preserve">nabytí účinnosti </w:t>
      </w:r>
      <w:r w:rsidRPr="00402AA2">
        <w:t>této smlouvy</w:t>
      </w:r>
      <w:r>
        <w:t>,</w:t>
      </w:r>
    </w:p>
    <w:p w14:paraId="5143FAB7" w14:textId="153649E8" w:rsidR="00402AA2" w:rsidRPr="004D0790" w:rsidRDefault="00402AA2" w:rsidP="004D0790">
      <w:pPr>
        <w:pStyle w:val="Odstavecseseznamem"/>
        <w:numPr>
          <w:ilvl w:val="0"/>
          <w:numId w:val="34"/>
        </w:numPr>
        <w:jc w:val="both"/>
        <w:rPr>
          <w:color w:val="auto"/>
        </w:rPr>
      </w:pPr>
      <w:r>
        <w:rPr>
          <w:color w:val="auto"/>
        </w:rPr>
        <w:t xml:space="preserve">částka určená k odměnám ve výši </w:t>
      </w:r>
      <w:r w:rsidR="00070520">
        <w:rPr>
          <w:color w:val="auto"/>
        </w:rPr>
        <w:t>4</w:t>
      </w:r>
      <w:r>
        <w:rPr>
          <w:color w:val="auto"/>
        </w:rPr>
        <w:t xml:space="preserve">,5% z obratu </w:t>
      </w:r>
      <w:r w:rsidRPr="00402AA2">
        <w:rPr>
          <w:color w:val="auto"/>
        </w:rPr>
        <w:t xml:space="preserve">je splatná </w:t>
      </w:r>
      <w:r w:rsidR="00070520">
        <w:rPr>
          <w:color w:val="auto"/>
        </w:rPr>
        <w:t xml:space="preserve">na základě faktur vystavených jednotlivými poskytovateli UACH, UFCH a TUL </w:t>
      </w:r>
      <w:r w:rsidRPr="00402AA2">
        <w:rPr>
          <w:color w:val="auto"/>
        </w:rPr>
        <w:t xml:space="preserve">jednou </w:t>
      </w:r>
      <w:r>
        <w:rPr>
          <w:color w:val="auto"/>
        </w:rPr>
        <w:t>ročně nejpozději</w:t>
      </w:r>
      <w:r w:rsidR="00070520">
        <w:rPr>
          <w:color w:val="auto"/>
        </w:rPr>
        <w:t xml:space="preserve"> </w:t>
      </w:r>
      <w:r w:rsidRPr="004D0790">
        <w:rPr>
          <w:color w:val="auto"/>
        </w:rPr>
        <w:t xml:space="preserve">do </w:t>
      </w:r>
      <w:proofErr w:type="gramStart"/>
      <w:r w:rsidRPr="004D0790">
        <w:rPr>
          <w:color w:val="auto"/>
        </w:rPr>
        <w:t>31.3. každého</w:t>
      </w:r>
      <w:proofErr w:type="gramEnd"/>
      <w:r w:rsidRPr="004D0790">
        <w:rPr>
          <w:color w:val="auto"/>
        </w:rPr>
        <w:t xml:space="preserve"> rok</w:t>
      </w:r>
      <w:r w:rsidR="00070520" w:rsidRPr="004D0790">
        <w:rPr>
          <w:color w:val="auto"/>
        </w:rPr>
        <w:t>u</w:t>
      </w:r>
      <w:r w:rsidR="009E3FC8">
        <w:rPr>
          <w:color w:val="auto"/>
        </w:rPr>
        <w:t>. Od této částky bude vždy odečtena částka minimální roční odměny pro každou instituci 15.000,- Kč vyplacené zálohově na celé obdo</w:t>
      </w:r>
      <w:r w:rsidR="0025056F">
        <w:rPr>
          <w:color w:val="auto"/>
        </w:rPr>
        <w:t>bí platnosti licenční smlouvy (pět</w:t>
      </w:r>
      <w:r w:rsidR="009E3FC8">
        <w:rPr>
          <w:color w:val="auto"/>
        </w:rPr>
        <w:t xml:space="preserve"> let)</w:t>
      </w:r>
      <w:r w:rsidR="0025056F">
        <w:rPr>
          <w:color w:val="auto"/>
        </w:rPr>
        <w:t>.</w:t>
      </w:r>
    </w:p>
    <w:p w14:paraId="21C3CAA0" w14:textId="0B656076" w:rsidR="00961527" w:rsidRDefault="00961527" w:rsidP="00240193">
      <w:pPr>
        <w:pStyle w:val="Normlnweb"/>
        <w:numPr>
          <w:ilvl w:val="0"/>
          <w:numId w:val="25"/>
        </w:numPr>
        <w:shd w:val="clear" w:color="auto" w:fill="FFFFFF"/>
        <w:spacing w:before="60" w:beforeAutospacing="0" w:after="60" w:afterAutospacing="0" w:line="276" w:lineRule="auto"/>
        <w:jc w:val="both"/>
      </w:pPr>
      <w:r>
        <w:t>Odměn</w:t>
      </w:r>
      <w:r w:rsidR="00402AA2">
        <w:t>y poskytovatelům dle odst. 4 tohoto článku</w:t>
      </w:r>
      <w:r>
        <w:t xml:space="preserve"> bud</w:t>
      </w:r>
      <w:r w:rsidR="00402AA2">
        <w:t>ou</w:t>
      </w:r>
      <w:r>
        <w:t xml:space="preserve"> nabyvatelem zaplacen</w:t>
      </w:r>
      <w:r w:rsidR="00402AA2">
        <w:t>y</w:t>
      </w:r>
      <w:r>
        <w:t xml:space="preserve"> bezhotovostně na úč</w:t>
      </w:r>
      <w:r w:rsidR="00402AA2">
        <w:t>ty</w:t>
      </w:r>
      <w:r>
        <w:t xml:space="preserve"> poskytovatel</w:t>
      </w:r>
      <w:r w:rsidR="00402AA2">
        <w:t xml:space="preserve">ů </w:t>
      </w:r>
      <w:r>
        <w:t xml:space="preserve"> uveden</w:t>
      </w:r>
      <w:r w:rsidR="00402AA2">
        <w:t>é</w:t>
      </w:r>
      <w:r>
        <w:t xml:space="preserve"> v záhlaví této licenční smlouvy.</w:t>
      </w:r>
    </w:p>
    <w:p w14:paraId="6F412361" w14:textId="77777777" w:rsidR="00961527" w:rsidRDefault="00961527" w:rsidP="00240193">
      <w:pPr>
        <w:pStyle w:val="Normlnweb"/>
        <w:numPr>
          <w:ilvl w:val="0"/>
          <w:numId w:val="25"/>
        </w:numPr>
        <w:shd w:val="clear" w:color="auto" w:fill="FFFFFF"/>
        <w:spacing w:before="60" w:beforeAutospacing="0" w:after="60" w:afterAutospacing="0" w:line="276" w:lineRule="auto"/>
        <w:jc w:val="both"/>
      </w:pPr>
      <w:r>
        <w:t>Pro případ prodlení nabyvatele se zaplacením odměny sjednávají smluvní strany smluvní pokutu ve výši 0,05 % z dlužné částky za každý, byť i jen započatý, den prodlení. Nabyvatel je povinen poskytovateli zaplatit smluvní pokutu do sedmi (7) dnů od doručení písemné výzvy k jejímu zaplacení.</w:t>
      </w:r>
    </w:p>
    <w:p w14:paraId="30F7367A" w14:textId="3D0DAC13" w:rsidR="00961527" w:rsidRDefault="00961527" w:rsidP="0096329A">
      <w:pPr>
        <w:pStyle w:val="Normlnweb"/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</w:p>
    <w:p w14:paraId="28C6D0C8" w14:textId="77777777" w:rsidR="00C1664F" w:rsidRDefault="00C1664F" w:rsidP="0096329A">
      <w:pPr>
        <w:pStyle w:val="Normlnweb"/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</w:p>
    <w:p w14:paraId="508F308A" w14:textId="77777777" w:rsidR="00070520" w:rsidRDefault="00070520" w:rsidP="004D0790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</w:p>
    <w:p w14:paraId="16F1B213" w14:textId="77777777" w:rsidR="00961527" w:rsidRDefault="007878A8" w:rsidP="002E691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center"/>
        <w:rPr>
          <w:b/>
          <w:bCs/>
          <w:spacing w:val="22"/>
        </w:rPr>
      </w:pPr>
      <w:r w:rsidRPr="00961527">
        <w:rPr>
          <w:b/>
        </w:rPr>
        <w:lastRenderedPageBreak/>
        <w:t>Práva a povinnosti poskytovatel</w:t>
      </w:r>
      <w:r>
        <w:rPr>
          <w:b/>
        </w:rPr>
        <w:t>ů</w:t>
      </w:r>
    </w:p>
    <w:p w14:paraId="51494EE1" w14:textId="77777777" w:rsidR="0066414B" w:rsidRDefault="0066414B" w:rsidP="00961527">
      <w:pPr>
        <w:pStyle w:val="Normlnweb"/>
        <w:numPr>
          <w:ilvl w:val="0"/>
          <w:numId w:val="22"/>
        </w:numPr>
        <w:shd w:val="clear" w:color="auto" w:fill="FFFFFF"/>
        <w:spacing w:before="60" w:beforeAutospacing="0" w:after="60" w:afterAutospacing="0" w:line="276" w:lineRule="auto"/>
        <w:jc w:val="both"/>
      </w:pPr>
      <w:r>
        <w:t>Poskytovatel</w:t>
      </w:r>
      <w:r w:rsidR="00961527">
        <w:t>é</w:t>
      </w:r>
      <w:r>
        <w:t xml:space="preserve"> poskytn</w:t>
      </w:r>
      <w:r w:rsidR="00961527">
        <w:t>ou</w:t>
      </w:r>
      <w:r>
        <w:t xml:space="preserve"> nabyvateli bez zbytečného odkladu po uzavření této licenční smlouvy veškeré podklady</w:t>
      </w:r>
      <w:r w:rsidR="00961527">
        <w:t xml:space="preserve">, </w:t>
      </w:r>
      <w:r>
        <w:t xml:space="preserve">informace </w:t>
      </w:r>
      <w:r w:rsidR="00961527">
        <w:t xml:space="preserve">a technickou podporu </w:t>
      </w:r>
      <w:r>
        <w:t>potřebné k výkonu licence.</w:t>
      </w:r>
    </w:p>
    <w:p w14:paraId="0463EEA0" w14:textId="77777777" w:rsidR="00C637FB" w:rsidRDefault="00C637FB" w:rsidP="00961527">
      <w:pPr>
        <w:pStyle w:val="Normlnweb"/>
        <w:numPr>
          <w:ilvl w:val="0"/>
          <w:numId w:val="22"/>
        </w:numPr>
        <w:shd w:val="clear" w:color="auto" w:fill="FFFFFF"/>
        <w:spacing w:before="60" w:beforeAutospacing="0" w:after="60" w:afterAutospacing="0" w:line="276" w:lineRule="auto"/>
        <w:jc w:val="both"/>
      </w:pPr>
      <w:r>
        <w:t>Poskytovatel</w:t>
      </w:r>
      <w:r w:rsidR="00961527">
        <w:t>é</w:t>
      </w:r>
      <w:r>
        <w:t xml:space="preserve"> poskytn</w:t>
      </w:r>
      <w:r w:rsidR="00961527">
        <w:t>ou</w:t>
      </w:r>
      <w:r>
        <w:t xml:space="preserve"> nabyvateli bez zbytečného odkladu na vyžádání součinnost k právní </w:t>
      </w:r>
      <w:r w:rsidR="00FC7405">
        <w:t>ochraně jeho licence, dojde-li k ohrožení nebo porušení nabyvatelovy licence.</w:t>
      </w:r>
    </w:p>
    <w:p w14:paraId="08C61E49" w14:textId="77777777" w:rsidR="00A324DC" w:rsidRDefault="00A324DC" w:rsidP="00961527">
      <w:pPr>
        <w:pStyle w:val="Normlnweb"/>
        <w:numPr>
          <w:ilvl w:val="0"/>
          <w:numId w:val="22"/>
        </w:numPr>
        <w:shd w:val="clear" w:color="auto" w:fill="FFFFFF"/>
        <w:spacing w:before="60" w:beforeAutospacing="0" w:after="60" w:afterAutospacing="0" w:line="276" w:lineRule="auto"/>
        <w:jc w:val="both"/>
      </w:pPr>
      <w:r>
        <w:t xml:space="preserve">Poskytovatelé </w:t>
      </w:r>
      <w:r w:rsidR="002E691C">
        <w:t>se zavazují</w:t>
      </w:r>
      <w:r>
        <w:t xml:space="preserve"> ke spolupráci s nabyvatelem na </w:t>
      </w:r>
      <w:r w:rsidR="002E691C">
        <w:t xml:space="preserve">případném </w:t>
      </w:r>
      <w:r>
        <w:t xml:space="preserve">dalším </w:t>
      </w:r>
      <w:r w:rsidR="00863329">
        <w:t>(</w:t>
      </w:r>
      <w:r>
        <w:t>smluvním</w:t>
      </w:r>
      <w:r w:rsidR="00863329">
        <w:t>)</w:t>
      </w:r>
      <w:r>
        <w:t xml:space="preserve"> vývoji </w:t>
      </w:r>
      <w:r w:rsidR="002E691C">
        <w:t xml:space="preserve">fotokatalytických </w:t>
      </w:r>
      <w:r>
        <w:t>směsí</w:t>
      </w:r>
      <w:r w:rsidR="002E691C">
        <w:t>.</w:t>
      </w:r>
    </w:p>
    <w:p w14:paraId="338485CD" w14:textId="545BFE12" w:rsidR="000E43ED" w:rsidRDefault="000E43ED" w:rsidP="000E43ED">
      <w:pPr>
        <w:pStyle w:val="Normlnweb"/>
        <w:numPr>
          <w:ilvl w:val="0"/>
          <w:numId w:val="22"/>
        </w:numPr>
        <w:shd w:val="clear" w:color="auto" w:fill="FFFFFF"/>
        <w:spacing w:before="60" w:beforeAutospacing="0" w:after="60" w:afterAutospacing="0" w:line="276" w:lineRule="auto"/>
        <w:jc w:val="both"/>
      </w:pPr>
      <w:r>
        <w:t xml:space="preserve">Poskytovatelé podpisem této licenční smlouvy výslovně prohlašují, že jiná </w:t>
      </w:r>
      <w:r w:rsidR="00281684">
        <w:t>osoba,</w:t>
      </w:r>
      <w:r>
        <w:t xml:space="preserve"> než nabyvatel není oprávněna </w:t>
      </w:r>
      <w:r w:rsidR="00863329">
        <w:t>PUV</w:t>
      </w:r>
      <w:r>
        <w:t xml:space="preserve"> užít.</w:t>
      </w:r>
    </w:p>
    <w:p w14:paraId="7E0DD48C" w14:textId="77777777" w:rsidR="00287CFC" w:rsidRDefault="00287CFC" w:rsidP="00287CFC">
      <w:pPr>
        <w:pStyle w:val="Normlnweb"/>
        <w:numPr>
          <w:ilvl w:val="0"/>
          <w:numId w:val="22"/>
        </w:numPr>
        <w:shd w:val="clear" w:color="auto" w:fill="FFFFFF"/>
        <w:spacing w:before="60" w:beforeAutospacing="0" w:after="60" w:afterAutospacing="0" w:line="276" w:lineRule="auto"/>
        <w:jc w:val="both"/>
      </w:pPr>
      <w:r>
        <w:t>Poskytovatelé se vzdávají práva na odstoupení od smlouvy pro nečinnost nabyvatele po dobu trvání smlouvy.</w:t>
      </w:r>
    </w:p>
    <w:p w14:paraId="739FFF35" w14:textId="77777777" w:rsidR="0066414B" w:rsidRDefault="0066414B" w:rsidP="0066414B">
      <w:pPr>
        <w:pStyle w:val="Normlnweb"/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</w:p>
    <w:p w14:paraId="5C0E9A4D" w14:textId="77777777" w:rsidR="007A045A" w:rsidRDefault="007A045A" w:rsidP="0066414B">
      <w:pPr>
        <w:pStyle w:val="Normlnweb"/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</w:p>
    <w:p w14:paraId="3742542A" w14:textId="77777777" w:rsidR="007A045A" w:rsidRDefault="007A045A" w:rsidP="0066414B">
      <w:pPr>
        <w:pStyle w:val="Normlnweb"/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</w:p>
    <w:p w14:paraId="06A3A115" w14:textId="77777777" w:rsidR="00961527" w:rsidRDefault="007878A8" w:rsidP="002E691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center"/>
        <w:rPr>
          <w:b/>
          <w:bCs/>
          <w:spacing w:val="22"/>
        </w:rPr>
      </w:pPr>
      <w:r>
        <w:rPr>
          <w:b/>
        </w:rPr>
        <w:t>Práva a povinnosti naby</w:t>
      </w:r>
      <w:r w:rsidRPr="00961527">
        <w:rPr>
          <w:b/>
        </w:rPr>
        <w:t>vatele</w:t>
      </w:r>
    </w:p>
    <w:p w14:paraId="4E676397" w14:textId="71096252" w:rsidR="006B1131" w:rsidRPr="00281684" w:rsidRDefault="006B1131" w:rsidP="00961527">
      <w:pPr>
        <w:pStyle w:val="Normlnweb"/>
        <w:numPr>
          <w:ilvl w:val="0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>Nabyvate</w:t>
      </w:r>
      <w:r w:rsidR="000E43ED">
        <w:t>l není povinen licenci využít</w:t>
      </w:r>
      <w:r w:rsidR="002E691C">
        <w:t xml:space="preserve"> za podmínky </w:t>
      </w:r>
      <w:r w:rsidR="00D32F1E">
        <w:t xml:space="preserve">zachování </w:t>
      </w:r>
      <w:r w:rsidR="002E691C">
        <w:t>platby minimální odměny podle čl</w:t>
      </w:r>
      <w:r>
        <w:t>.</w:t>
      </w:r>
      <w:r w:rsidR="002E691C">
        <w:t xml:space="preserve"> VII, odst. 2. nabyvatelům.</w:t>
      </w:r>
      <w:r w:rsidR="006C3A10">
        <w:t xml:space="preserve"> </w:t>
      </w:r>
      <w:r w:rsidR="006C3A10" w:rsidRPr="00281684">
        <w:t>Nabyvatel je povinen hradit platby podle předchozí věty po celou dobu trvání smluvního vztahu.</w:t>
      </w:r>
    </w:p>
    <w:p w14:paraId="6F648433" w14:textId="77777777" w:rsidR="00D32F1E" w:rsidRDefault="00D32F1E" w:rsidP="00961527">
      <w:pPr>
        <w:pStyle w:val="Normlnweb"/>
        <w:numPr>
          <w:ilvl w:val="0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 xml:space="preserve">Nabyvatel se zavazuje </w:t>
      </w:r>
      <w:r w:rsidRPr="00D32F1E">
        <w:t xml:space="preserve">po dobu platnosti licenční smlouvy udržovat </w:t>
      </w:r>
      <w:r>
        <w:t>obě PUV</w:t>
      </w:r>
      <w:r w:rsidRPr="00D32F1E">
        <w:t xml:space="preserve"> v platnosti</w:t>
      </w:r>
      <w:r>
        <w:t>.</w:t>
      </w:r>
    </w:p>
    <w:p w14:paraId="7E308B64" w14:textId="77777777" w:rsidR="00D32F1E" w:rsidRDefault="00D32F1E" w:rsidP="00961527">
      <w:pPr>
        <w:pStyle w:val="Normlnweb"/>
        <w:numPr>
          <w:ilvl w:val="0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D32F1E">
        <w:t>Nabyvatel je povinen neprodleně seznámit poskytovatele s případným porušováním patentu třetími osobami, které zjistí.</w:t>
      </w:r>
    </w:p>
    <w:p w14:paraId="276066B4" w14:textId="77777777" w:rsidR="006B1131" w:rsidRDefault="006B1131" w:rsidP="00961527">
      <w:pPr>
        <w:pStyle w:val="Normlnweb"/>
        <w:numPr>
          <w:ilvl w:val="0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 xml:space="preserve">Nabyvatel </w:t>
      </w:r>
      <w:r w:rsidR="00A324DC">
        <w:t xml:space="preserve">se zavazuje </w:t>
      </w:r>
      <w:r w:rsidR="000E43ED">
        <w:t xml:space="preserve">provádět další </w:t>
      </w:r>
      <w:r w:rsidR="002E691C">
        <w:t xml:space="preserve">případný </w:t>
      </w:r>
      <w:r w:rsidR="000E43ED">
        <w:t xml:space="preserve">vývoj vedoucí ke změnám </w:t>
      </w:r>
      <w:r w:rsidR="00A324DC">
        <w:t xml:space="preserve">složení </w:t>
      </w:r>
      <w:r w:rsidR="002E691C">
        <w:t xml:space="preserve">fotokatalytických </w:t>
      </w:r>
      <w:r w:rsidR="00A324DC">
        <w:t xml:space="preserve">směsí chráněných příslušným </w:t>
      </w:r>
      <w:r w:rsidR="000E43ED">
        <w:t>PUV</w:t>
      </w:r>
      <w:r w:rsidR="00A324DC">
        <w:t xml:space="preserve"> ve spolupráci s poskytovateli.</w:t>
      </w:r>
      <w:r w:rsidR="000E43ED">
        <w:t xml:space="preserve"> </w:t>
      </w:r>
    </w:p>
    <w:p w14:paraId="0DCCD4ED" w14:textId="77777777" w:rsidR="002E691C" w:rsidRDefault="002E691C" w:rsidP="002E691C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</w:p>
    <w:p w14:paraId="061136C8" w14:textId="77777777" w:rsidR="002E691C" w:rsidRDefault="007878A8" w:rsidP="002E691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center"/>
        <w:rPr>
          <w:b/>
          <w:bCs/>
          <w:spacing w:val="22"/>
        </w:rPr>
      </w:pPr>
      <w:r w:rsidRPr="002E691C">
        <w:rPr>
          <w:b/>
        </w:rPr>
        <w:t xml:space="preserve">Zánik </w:t>
      </w:r>
      <w:r w:rsidR="00C92ECA">
        <w:rPr>
          <w:b/>
        </w:rPr>
        <w:t>nebo</w:t>
      </w:r>
      <w:r w:rsidR="00D32F1E">
        <w:rPr>
          <w:b/>
        </w:rPr>
        <w:t xml:space="preserve"> ukončení </w:t>
      </w:r>
      <w:r w:rsidRPr="002E691C">
        <w:rPr>
          <w:b/>
        </w:rPr>
        <w:t>licence</w:t>
      </w:r>
    </w:p>
    <w:p w14:paraId="5D6F5059" w14:textId="77777777" w:rsidR="00855763" w:rsidRDefault="007878A8" w:rsidP="00C92ECA">
      <w:pPr>
        <w:pStyle w:val="Normlnweb"/>
        <w:numPr>
          <w:ilvl w:val="0"/>
          <w:numId w:val="32"/>
        </w:numPr>
        <w:shd w:val="clear" w:color="auto" w:fill="FFFFFF"/>
        <w:spacing w:before="60" w:beforeAutospacing="0" w:after="60" w:afterAutospacing="0" w:line="276" w:lineRule="auto"/>
        <w:jc w:val="both"/>
      </w:pPr>
      <w:r>
        <w:t>Pokud nebude mezi sml</w:t>
      </w:r>
      <w:r w:rsidR="00E44826">
        <w:t>uvními stranami dohodnuto jinak,</w:t>
      </w:r>
      <w:r>
        <w:t xml:space="preserve"> z</w:t>
      </w:r>
      <w:r w:rsidR="00855763" w:rsidRPr="002E691C">
        <w:t>ánikem</w:t>
      </w:r>
      <w:r w:rsidR="00855763">
        <w:t xml:space="preserve"> nabyvatele </w:t>
      </w:r>
      <w:r w:rsidR="002E691C">
        <w:t>zanikají</w:t>
      </w:r>
      <w:r w:rsidR="00855763">
        <w:t xml:space="preserve"> </w:t>
      </w:r>
      <w:r>
        <w:t xml:space="preserve">jeho </w:t>
      </w:r>
      <w:r w:rsidR="00855763">
        <w:t>práva a povinnost</w:t>
      </w:r>
      <w:r w:rsidR="002E691C">
        <w:t>i</w:t>
      </w:r>
      <w:r w:rsidR="00855763">
        <w:t xml:space="preserve"> z této licenční smlouvy.</w:t>
      </w:r>
    </w:p>
    <w:p w14:paraId="126A614B" w14:textId="77777777" w:rsidR="00D32F1E" w:rsidRDefault="00D32F1E" w:rsidP="00D32F1E">
      <w:pPr>
        <w:pStyle w:val="Normlnweb"/>
        <w:numPr>
          <w:ilvl w:val="0"/>
          <w:numId w:val="32"/>
        </w:numPr>
        <w:shd w:val="clear" w:color="auto" w:fill="FFFFFF"/>
        <w:spacing w:before="60" w:beforeAutospacing="0" w:after="60" w:afterAutospacing="0" w:line="276" w:lineRule="auto"/>
        <w:jc w:val="both"/>
      </w:pPr>
      <w:r w:rsidRPr="00D32F1E">
        <w:t>Na základě písemné dohody mezi poskytovatelem a nabyvatelem je možno ukončit platnost této licenční smlouvy kdykoliv.</w:t>
      </w:r>
    </w:p>
    <w:p w14:paraId="1623307F" w14:textId="77777777" w:rsidR="00B750C0" w:rsidRDefault="00B750C0" w:rsidP="00D32F1E">
      <w:pPr>
        <w:pStyle w:val="Normlnweb"/>
        <w:numPr>
          <w:ilvl w:val="0"/>
          <w:numId w:val="32"/>
        </w:numPr>
        <w:shd w:val="clear" w:color="auto" w:fill="FFFFFF"/>
        <w:spacing w:before="60" w:beforeAutospacing="0" w:after="60" w:afterAutospacing="0" w:line="276" w:lineRule="auto"/>
        <w:jc w:val="both"/>
      </w:pPr>
      <w:r>
        <w:t>Poskytovatel</w:t>
      </w:r>
      <w:r w:rsidR="00647FC2">
        <w:t>é</w:t>
      </w:r>
      <w:r>
        <w:t xml:space="preserve"> m</w:t>
      </w:r>
      <w:r w:rsidR="00647FC2">
        <w:t>ohou</w:t>
      </w:r>
      <w:r>
        <w:t xml:space="preserve"> odstoupit od smlouvy v případě prodlení se zaplacením odměny dle čl. VII. Delším než 30 dnů.</w:t>
      </w:r>
    </w:p>
    <w:p w14:paraId="5F083F18" w14:textId="77777777" w:rsidR="00586661" w:rsidRDefault="00586661" w:rsidP="00586661">
      <w:pPr>
        <w:pStyle w:val="Normlnweb"/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</w:p>
    <w:p w14:paraId="4C25461E" w14:textId="77777777" w:rsidR="00C1664F" w:rsidRDefault="00C1664F" w:rsidP="00586661">
      <w:pPr>
        <w:pStyle w:val="Normlnweb"/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</w:p>
    <w:p w14:paraId="5A695615" w14:textId="77777777" w:rsidR="007878A8" w:rsidRDefault="007878A8" w:rsidP="007878A8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center"/>
        <w:rPr>
          <w:b/>
          <w:bCs/>
          <w:spacing w:val="22"/>
        </w:rPr>
      </w:pPr>
      <w:r w:rsidRPr="007878A8">
        <w:rPr>
          <w:b/>
        </w:rPr>
        <w:lastRenderedPageBreak/>
        <w:t>Platnost a účinnost smlouvy</w:t>
      </w:r>
      <w:r w:rsidRPr="002E691C">
        <w:rPr>
          <w:b/>
        </w:rPr>
        <w:t xml:space="preserve"> </w:t>
      </w:r>
    </w:p>
    <w:p w14:paraId="16183FB8" w14:textId="25CDC025" w:rsidR="00D32F1E" w:rsidRDefault="00586661" w:rsidP="00281684">
      <w:pPr>
        <w:pStyle w:val="Normlnweb"/>
        <w:shd w:val="clear" w:color="auto" w:fill="FFFFFF"/>
        <w:spacing w:before="60" w:beforeAutospacing="0" w:after="60" w:afterAutospacing="0" w:line="276" w:lineRule="auto"/>
        <w:ind w:left="705"/>
        <w:jc w:val="both"/>
      </w:pPr>
      <w:r>
        <w:t xml:space="preserve">Tato licenční smlouva je platná dnem podpisu smluvními stranami. </w:t>
      </w:r>
      <w:r w:rsidR="008C4716">
        <w:t>Smlouva nabývá účinnosti dnem jejího uveřejnění v Registru smluv vedeném Ministerstvem vnitra ČR.</w:t>
      </w:r>
      <w:r w:rsidR="00086467">
        <w:t xml:space="preserve"> Smlouvu má povinnost uveřejnit</w:t>
      </w:r>
      <w:r w:rsidR="00281684">
        <w:t xml:space="preserve"> Technická univerzita v Liberci</w:t>
      </w:r>
    </w:p>
    <w:p w14:paraId="3B513263" w14:textId="77777777" w:rsidR="00855763" w:rsidRDefault="00855763" w:rsidP="00855763">
      <w:pPr>
        <w:pStyle w:val="Normlnweb"/>
        <w:shd w:val="clear" w:color="auto" w:fill="FFFFFF"/>
        <w:spacing w:before="60" w:beforeAutospacing="0" w:after="60" w:afterAutospacing="0" w:line="276" w:lineRule="auto"/>
        <w:ind w:left="709" w:hanging="709"/>
        <w:jc w:val="both"/>
      </w:pPr>
    </w:p>
    <w:p w14:paraId="3506D0D0" w14:textId="77777777" w:rsidR="007878A8" w:rsidRDefault="007878A8" w:rsidP="007878A8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center"/>
        <w:rPr>
          <w:b/>
          <w:bCs/>
          <w:spacing w:val="22"/>
        </w:rPr>
      </w:pPr>
      <w:r w:rsidRPr="007878A8">
        <w:rPr>
          <w:b/>
        </w:rPr>
        <w:t xml:space="preserve">Závěrečná ustanovení </w:t>
      </w:r>
    </w:p>
    <w:p w14:paraId="61859506" w14:textId="77777777" w:rsidR="001C5D98" w:rsidRPr="002D4127" w:rsidRDefault="001C5D98" w:rsidP="00C92ECA">
      <w:pPr>
        <w:pStyle w:val="Normlnweb"/>
        <w:numPr>
          <w:ilvl w:val="0"/>
          <w:numId w:val="33"/>
        </w:numPr>
        <w:shd w:val="clear" w:color="auto" w:fill="FFFFFF"/>
        <w:spacing w:before="60" w:beforeAutospacing="0" w:after="60" w:afterAutospacing="0" w:line="276" w:lineRule="auto"/>
        <w:jc w:val="both"/>
        <w:rPr>
          <w:rFonts w:eastAsia="MS Mincho"/>
        </w:rPr>
      </w:pPr>
      <w:r w:rsidRPr="002D4127">
        <w:rPr>
          <w:rFonts w:eastAsia="MS Mincho"/>
        </w:rPr>
        <w:t xml:space="preserve">Změny této </w:t>
      </w:r>
      <w:r w:rsidR="00586661">
        <w:rPr>
          <w:rFonts w:eastAsia="MS Mincho"/>
        </w:rPr>
        <w:t xml:space="preserve">licenční </w:t>
      </w:r>
      <w:r w:rsidRPr="002D4127">
        <w:rPr>
          <w:rFonts w:eastAsia="MS Mincho"/>
        </w:rPr>
        <w:t xml:space="preserve">smlouvy lze činit pouze po dohodě </w:t>
      </w:r>
      <w:r w:rsidR="006B6DB1">
        <w:rPr>
          <w:rFonts w:eastAsia="MS Mincho"/>
        </w:rPr>
        <w:t xml:space="preserve">smluvních </w:t>
      </w:r>
      <w:r w:rsidRPr="002D4127">
        <w:rPr>
          <w:rFonts w:eastAsia="MS Mincho"/>
        </w:rPr>
        <w:t xml:space="preserve">stran písemnou formou. </w:t>
      </w:r>
    </w:p>
    <w:p w14:paraId="5CB302BC" w14:textId="77777777" w:rsidR="001C5D98" w:rsidRPr="00847BE1" w:rsidRDefault="001C5D98" w:rsidP="00C92ECA">
      <w:pPr>
        <w:pStyle w:val="Normlnweb"/>
        <w:numPr>
          <w:ilvl w:val="0"/>
          <w:numId w:val="33"/>
        </w:numPr>
        <w:shd w:val="clear" w:color="auto" w:fill="FFFFFF"/>
        <w:spacing w:before="60" w:beforeAutospacing="0" w:after="60" w:afterAutospacing="0" w:line="276" w:lineRule="auto"/>
        <w:jc w:val="both"/>
        <w:rPr>
          <w:rFonts w:eastAsia="MS Mincho"/>
        </w:rPr>
      </w:pPr>
      <w:r>
        <w:rPr>
          <w:rFonts w:eastAsia="MS Mincho"/>
        </w:rPr>
        <w:t xml:space="preserve">Tato </w:t>
      </w:r>
      <w:r w:rsidR="00586661">
        <w:rPr>
          <w:rFonts w:eastAsia="MS Mincho"/>
        </w:rPr>
        <w:t xml:space="preserve">licenční </w:t>
      </w:r>
      <w:r>
        <w:rPr>
          <w:rFonts w:eastAsia="MS Mincho"/>
        </w:rPr>
        <w:t>s</w:t>
      </w:r>
      <w:r w:rsidRPr="002D4127">
        <w:rPr>
          <w:rFonts w:eastAsia="MS Mincho"/>
        </w:rPr>
        <w:t xml:space="preserve">mlouva, jakož i práva a povinnosti vzniklé na základě této </w:t>
      </w:r>
      <w:r w:rsidR="00586661">
        <w:rPr>
          <w:rFonts w:eastAsia="MS Mincho"/>
        </w:rPr>
        <w:t xml:space="preserve">licenční </w:t>
      </w:r>
      <w:r>
        <w:rPr>
          <w:rFonts w:eastAsia="MS Mincho"/>
        </w:rPr>
        <w:t>s</w:t>
      </w:r>
      <w:r w:rsidRPr="002D4127">
        <w:rPr>
          <w:rFonts w:eastAsia="MS Mincho"/>
        </w:rPr>
        <w:t>mlouvy nebo v souvislosti s ní,</w:t>
      </w:r>
      <w:r w:rsidR="00586661">
        <w:rPr>
          <w:rFonts w:eastAsia="MS Mincho"/>
        </w:rPr>
        <w:t xml:space="preserve"> se řídí zákonem č. 89/2012 Sb., </w:t>
      </w:r>
      <w:r w:rsidRPr="002D4127">
        <w:rPr>
          <w:rFonts w:eastAsia="MS Mincho"/>
        </w:rPr>
        <w:t>ve znění pozdějších předpisů, občanský zákoník</w:t>
      </w:r>
      <w:r w:rsidR="00586661">
        <w:rPr>
          <w:rFonts w:eastAsia="MS Mincho"/>
        </w:rPr>
        <w:t>,</w:t>
      </w:r>
      <w:r w:rsidRPr="002D4127">
        <w:rPr>
          <w:rFonts w:eastAsia="MS Mincho"/>
        </w:rPr>
        <w:t xml:space="preserve"> a </w:t>
      </w:r>
      <w:r w:rsidRPr="00847BE1">
        <w:rPr>
          <w:rFonts w:eastAsia="MS Mincho"/>
        </w:rPr>
        <w:t>ostatními právními předpisy České republiky.</w:t>
      </w:r>
    </w:p>
    <w:p w14:paraId="5A7CD44A" w14:textId="77777777" w:rsidR="001C5D98" w:rsidRPr="00847BE1" w:rsidRDefault="001C5D98" w:rsidP="00C92ECA">
      <w:pPr>
        <w:pStyle w:val="Normlnweb"/>
        <w:numPr>
          <w:ilvl w:val="0"/>
          <w:numId w:val="33"/>
        </w:numPr>
        <w:shd w:val="clear" w:color="auto" w:fill="FFFFFF"/>
        <w:spacing w:before="60" w:beforeAutospacing="0" w:after="60" w:afterAutospacing="0" w:line="276" w:lineRule="auto"/>
        <w:jc w:val="both"/>
        <w:rPr>
          <w:rFonts w:eastAsia="MS Mincho"/>
        </w:rPr>
      </w:pPr>
      <w:r w:rsidRPr="00847BE1">
        <w:rPr>
          <w:rFonts w:eastAsia="MS Mincho"/>
        </w:rPr>
        <w:t xml:space="preserve">Tato </w:t>
      </w:r>
      <w:r w:rsidR="00586661" w:rsidRPr="00847BE1">
        <w:rPr>
          <w:rFonts w:eastAsia="MS Mincho"/>
        </w:rPr>
        <w:t xml:space="preserve">licenční </w:t>
      </w:r>
      <w:r w:rsidRPr="00847BE1">
        <w:rPr>
          <w:rFonts w:eastAsia="MS Mincho"/>
        </w:rPr>
        <w:t>s</w:t>
      </w:r>
      <w:r w:rsidR="00D32F1E" w:rsidRPr="00847BE1">
        <w:rPr>
          <w:rFonts w:eastAsia="MS Mincho"/>
        </w:rPr>
        <w:t xml:space="preserve">mlouva je uzavřena v </w:t>
      </w:r>
      <w:r w:rsidR="00AF7817" w:rsidRPr="00281684">
        <w:rPr>
          <w:rFonts w:eastAsia="MS Mincho"/>
        </w:rPr>
        <w:t>čtyřech</w:t>
      </w:r>
      <w:r w:rsidRPr="00847BE1">
        <w:rPr>
          <w:rFonts w:eastAsia="MS Mincho"/>
        </w:rPr>
        <w:t xml:space="preserve"> vyhotoveních, z nichž každá </w:t>
      </w:r>
      <w:r w:rsidR="006B6DB1" w:rsidRPr="00847BE1">
        <w:rPr>
          <w:rFonts w:eastAsia="MS Mincho"/>
        </w:rPr>
        <w:t xml:space="preserve">smluvní </w:t>
      </w:r>
      <w:r w:rsidRPr="00847BE1">
        <w:rPr>
          <w:rFonts w:eastAsia="MS Mincho"/>
        </w:rPr>
        <w:t>strana obdrží po jednom (1) vyhotovení.</w:t>
      </w:r>
    </w:p>
    <w:p w14:paraId="01E90D9A" w14:textId="77777777" w:rsidR="001C5D98" w:rsidRPr="002D4127" w:rsidRDefault="001C5D98" w:rsidP="00C92ECA">
      <w:pPr>
        <w:pStyle w:val="Normlnweb"/>
        <w:numPr>
          <w:ilvl w:val="0"/>
          <w:numId w:val="33"/>
        </w:numPr>
        <w:shd w:val="clear" w:color="auto" w:fill="FFFFFF"/>
        <w:spacing w:before="60" w:beforeAutospacing="0" w:after="60" w:afterAutospacing="0" w:line="276" w:lineRule="auto"/>
        <w:jc w:val="both"/>
        <w:rPr>
          <w:rFonts w:eastAsia="MS Mincho"/>
        </w:rPr>
      </w:pPr>
      <w:r w:rsidRPr="00847BE1">
        <w:t>S</w:t>
      </w:r>
      <w:r w:rsidR="006B6DB1" w:rsidRPr="00847BE1">
        <w:t>mluvní s</w:t>
      </w:r>
      <w:r w:rsidRPr="00847BE1">
        <w:t xml:space="preserve">trany po přečtení této </w:t>
      </w:r>
      <w:r w:rsidR="00586661" w:rsidRPr="00847BE1">
        <w:t>licenční</w:t>
      </w:r>
      <w:r w:rsidR="00586661">
        <w:t xml:space="preserve"> </w:t>
      </w:r>
      <w:r w:rsidRPr="009E1616">
        <w:t xml:space="preserve">smlouvy prohlašují, že souhlasí s jejím obsahem, že tato </w:t>
      </w:r>
      <w:r w:rsidR="00586661">
        <w:t xml:space="preserve">licenční </w:t>
      </w:r>
      <w:r w:rsidRPr="009E1616">
        <w:t>smlouva byla sepsána vážně, určitě, srozumitelně a na základě jejich pravé a svobodné vůle, na důkaz čehož připojují níže své podpisy</w:t>
      </w:r>
      <w:r w:rsidRPr="002D4127">
        <w:rPr>
          <w:rFonts w:eastAsia="MS Mincho"/>
        </w:rPr>
        <w:t xml:space="preserve">. </w:t>
      </w:r>
    </w:p>
    <w:p w14:paraId="2E47E056" w14:textId="77777777" w:rsidR="007878A8" w:rsidRPr="00CF5482" w:rsidRDefault="007878A8" w:rsidP="007878A8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</w:p>
    <w:tbl>
      <w:tblPr>
        <w:tblW w:w="94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4820"/>
      </w:tblGrid>
      <w:tr w:rsidR="007878A8" w:rsidRPr="00BC6800" w14:paraId="0FE2023C" w14:textId="77777777" w:rsidTr="005F4851">
        <w:trPr>
          <w:trHeight w:val="1648"/>
        </w:trPr>
        <w:tc>
          <w:tcPr>
            <w:tcW w:w="465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167605EE" w14:textId="77777777" w:rsidR="007878A8" w:rsidRPr="00BC6800" w:rsidRDefault="007878A8" w:rsidP="005F4851">
            <w:pPr>
              <w:spacing w:after="60"/>
              <w:jc w:val="center"/>
              <w:rPr>
                <w:b/>
                <w:bCs/>
              </w:rPr>
            </w:pPr>
            <w:r w:rsidRPr="00BC6800">
              <w:rPr>
                <w:b/>
                <w:bCs/>
              </w:rPr>
              <w:t>BETOSAN s.r.o.</w:t>
            </w:r>
          </w:p>
          <w:p w14:paraId="48CE4843" w14:textId="74621D00" w:rsidR="007878A8" w:rsidRPr="00BC6800" w:rsidRDefault="007878A8" w:rsidP="005F4851">
            <w:pPr>
              <w:autoSpaceDE w:val="0"/>
              <w:autoSpaceDN w:val="0"/>
              <w:spacing w:after="60"/>
              <w:jc w:val="center"/>
            </w:pPr>
            <w:r w:rsidRPr="00BC6800">
              <w:t>V </w:t>
            </w:r>
            <w:r>
              <w:t>Praze</w:t>
            </w:r>
            <w:r w:rsidRPr="00BC6800">
              <w:t xml:space="preserve"> dne </w:t>
            </w:r>
            <w:bookmarkStart w:id="5" w:name="Text43"/>
            <w:r w:rsidR="004D0790">
              <w:t>13.01.2021</w:t>
            </w:r>
          </w:p>
          <w:bookmarkEnd w:id="5"/>
          <w:p w14:paraId="2CB71326" w14:textId="77777777" w:rsidR="007878A8" w:rsidRDefault="007878A8" w:rsidP="005F4851">
            <w:pPr>
              <w:spacing w:after="60"/>
              <w:jc w:val="center"/>
            </w:pPr>
          </w:p>
          <w:p w14:paraId="0666665C" w14:textId="77777777" w:rsidR="007878A8" w:rsidRPr="00BC6800" w:rsidRDefault="007878A8" w:rsidP="005F4851">
            <w:pPr>
              <w:spacing w:after="60"/>
              <w:jc w:val="center"/>
            </w:pPr>
          </w:p>
          <w:p w14:paraId="21718AD3" w14:textId="77777777" w:rsidR="007878A8" w:rsidRPr="00BC6800" w:rsidRDefault="007878A8" w:rsidP="005F4851">
            <w:pPr>
              <w:spacing w:after="60"/>
              <w:jc w:val="center"/>
            </w:pPr>
            <w:r w:rsidRPr="00BC6800">
              <w:t>………………………………………….</w:t>
            </w:r>
          </w:p>
          <w:p w14:paraId="1BE78B5C" w14:textId="77777777" w:rsidR="007878A8" w:rsidRPr="00BC6800" w:rsidRDefault="007878A8" w:rsidP="005F4851">
            <w:pPr>
              <w:spacing w:after="60"/>
              <w:jc w:val="center"/>
            </w:pPr>
            <w:r w:rsidRPr="008526DC">
              <w:t>Ing. Pavel Dohnálek, Ph.D.</w:t>
            </w:r>
            <w:r>
              <w:t>, jednatel</w:t>
            </w:r>
          </w:p>
          <w:p w14:paraId="1CD9FF92" w14:textId="77777777" w:rsidR="007878A8" w:rsidRDefault="007878A8" w:rsidP="005F4851">
            <w:pPr>
              <w:spacing w:after="60"/>
              <w:jc w:val="center"/>
            </w:pPr>
          </w:p>
          <w:p w14:paraId="722E51E3" w14:textId="77777777" w:rsidR="007878A8" w:rsidRPr="00BC6800" w:rsidRDefault="007878A8" w:rsidP="005F4851">
            <w:pPr>
              <w:spacing w:after="60"/>
              <w:jc w:val="center"/>
            </w:pPr>
          </w:p>
          <w:p w14:paraId="76086719" w14:textId="77777777" w:rsidR="007878A8" w:rsidRPr="00BC6800" w:rsidRDefault="007878A8" w:rsidP="005F4851">
            <w:pPr>
              <w:spacing w:after="60"/>
              <w:jc w:val="center"/>
            </w:pPr>
            <w:r w:rsidRPr="00BC6800">
              <w:t>………………………………………….</w:t>
            </w:r>
          </w:p>
          <w:p w14:paraId="3B68312E" w14:textId="77777777" w:rsidR="007878A8" w:rsidRDefault="007878A8" w:rsidP="005F4851">
            <w:pPr>
              <w:spacing w:after="60"/>
              <w:jc w:val="center"/>
            </w:pPr>
            <w:r w:rsidRPr="008526DC">
              <w:t>Ing. Václav Pumpr, CSc.</w:t>
            </w:r>
            <w:r>
              <w:t>, jednatel</w:t>
            </w:r>
          </w:p>
          <w:p w14:paraId="2733785F" w14:textId="77777777" w:rsidR="007878A8" w:rsidRDefault="007878A8" w:rsidP="005F4851">
            <w:pPr>
              <w:spacing w:after="60"/>
              <w:jc w:val="center"/>
            </w:pPr>
          </w:p>
          <w:p w14:paraId="7C9D9300" w14:textId="77777777" w:rsidR="007878A8" w:rsidRPr="00BC6800" w:rsidRDefault="007878A8" w:rsidP="00AF7817">
            <w:pPr>
              <w:spacing w:after="60"/>
            </w:pPr>
          </w:p>
          <w:p w14:paraId="441D5392" w14:textId="77777777" w:rsidR="007878A8" w:rsidRPr="00BC6800" w:rsidRDefault="007878A8" w:rsidP="005F4851">
            <w:pPr>
              <w:spacing w:after="60"/>
              <w:jc w:val="center"/>
            </w:pPr>
            <w:r w:rsidRPr="00BC6800">
              <w:t>………………………………………….</w:t>
            </w:r>
          </w:p>
          <w:p w14:paraId="341BE986" w14:textId="77777777" w:rsidR="007878A8" w:rsidRDefault="00AF7817" w:rsidP="005F4851">
            <w:pPr>
              <w:spacing w:after="60"/>
              <w:jc w:val="center"/>
            </w:pPr>
            <w:r>
              <w:t>Ing. Zdeněk Vávra,</w:t>
            </w:r>
            <w:r w:rsidR="007878A8">
              <w:t xml:space="preserve"> jednatel</w:t>
            </w:r>
          </w:p>
          <w:p w14:paraId="2DDA7938" w14:textId="77777777" w:rsidR="00AF7817" w:rsidRDefault="00AF7817" w:rsidP="005F4851">
            <w:pPr>
              <w:spacing w:after="60"/>
              <w:jc w:val="center"/>
            </w:pPr>
          </w:p>
          <w:p w14:paraId="31693462" w14:textId="77777777" w:rsidR="00AF7817" w:rsidRDefault="00AF7817" w:rsidP="00AF7817">
            <w:pPr>
              <w:spacing w:after="60"/>
            </w:pPr>
          </w:p>
          <w:p w14:paraId="2C0B61AE" w14:textId="77777777" w:rsidR="00AF7817" w:rsidRPr="00BC6800" w:rsidRDefault="00AF7817" w:rsidP="00AF7817">
            <w:pPr>
              <w:spacing w:after="60"/>
              <w:jc w:val="center"/>
            </w:pPr>
            <w:r w:rsidRPr="00BC6800">
              <w:t>………………………………………….</w:t>
            </w:r>
          </w:p>
          <w:p w14:paraId="4BAF0E07" w14:textId="77777777" w:rsidR="00AF7817" w:rsidRPr="00BC6800" w:rsidRDefault="007A045A" w:rsidP="00AF7817">
            <w:pPr>
              <w:spacing w:after="60"/>
              <w:jc w:val="center"/>
            </w:pPr>
            <w:r>
              <w:t>Miroslav Pumpr</w:t>
            </w:r>
            <w:r w:rsidR="00AF7817">
              <w:t>, jednatel</w:t>
            </w:r>
          </w:p>
        </w:tc>
        <w:tc>
          <w:tcPr>
            <w:tcW w:w="48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B9F6C4" w14:textId="77777777" w:rsidR="007878A8" w:rsidRPr="00847BE1" w:rsidRDefault="007878A8" w:rsidP="005F4851">
            <w:pPr>
              <w:spacing w:after="60"/>
              <w:jc w:val="center"/>
              <w:rPr>
                <w:b/>
                <w:bCs/>
              </w:rPr>
            </w:pPr>
            <w:r w:rsidRPr="00847BE1">
              <w:t> </w:t>
            </w:r>
            <w:r w:rsidRPr="00847BE1">
              <w:rPr>
                <w:b/>
                <w:bCs/>
              </w:rPr>
              <w:t>Technická univerzita v Liberci</w:t>
            </w:r>
          </w:p>
          <w:p w14:paraId="1A3C76FA" w14:textId="40C68B6A" w:rsidR="007878A8" w:rsidRPr="00847BE1" w:rsidRDefault="007878A8" w:rsidP="005F4851">
            <w:pPr>
              <w:spacing w:after="60"/>
              <w:jc w:val="center"/>
            </w:pPr>
            <w:r w:rsidRPr="00847BE1">
              <w:t>V Liberci dne</w:t>
            </w:r>
            <w:r w:rsidR="004D0790">
              <w:t xml:space="preserve"> 17.12.2020</w:t>
            </w:r>
          </w:p>
          <w:p w14:paraId="1CAD0A06" w14:textId="77777777" w:rsidR="007878A8" w:rsidRPr="00847BE1" w:rsidRDefault="007878A8" w:rsidP="005F4851">
            <w:pPr>
              <w:spacing w:after="60"/>
              <w:jc w:val="center"/>
            </w:pPr>
          </w:p>
          <w:p w14:paraId="35663A4F" w14:textId="77777777" w:rsidR="007878A8" w:rsidRPr="00847BE1" w:rsidRDefault="007878A8" w:rsidP="005F4851">
            <w:pPr>
              <w:spacing w:after="60"/>
              <w:jc w:val="center"/>
            </w:pPr>
          </w:p>
          <w:p w14:paraId="2DD7B008" w14:textId="77777777" w:rsidR="007878A8" w:rsidRPr="00847BE1" w:rsidRDefault="007878A8" w:rsidP="005F4851">
            <w:pPr>
              <w:spacing w:after="60"/>
              <w:jc w:val="center"/>
            </w:pPr>
            <w:r w:rsidRPr="00847BE1">
              <w:t>……………………………………………</w:t>
            </w:r>
          </w:p>
          <w:p w14:paraId="4688F9C0" w14:textId="77777777" w:rsidR="007878A8" w:rsidRPr="00847BE1" w:rsidRDefault="007878A8" w:rsidP="005F4851">
            <w:pPr>
              <w:jc w:val="center"/>
            </w:pPr>
            <w:r w:rsidRPr="00281684">
              <w:rPr>
                <w:bCs/>
              </w:rPr>
              <w:t xml:space="preserve">doc. RNDr. Miroslav </w:t>
            </w:r>
            <w:proofErr w:type="spellStart"/>
            <w:r w:rsidRPr="00281684">
              <w:rPr>
                <w:bCs/>
              </w:rPr>
              <w:t>Brzezina</w:t>
            </w:r>
            <w:proofErr w:type="spellEnd"/>
            <w:r w:rsidRPr="00281684">
              <w:rPr>
                <w:bCs/>
              </w:rPr>
              <w:t>, CSc., rektor</w:t>
            </w:r>
            <w:r w:rsidRPr="00847BE1">
              <w:rPr>
                <w:rStyle w:val="Siln"/>
                <w:rFonts w:ascii="Calibri" w:hAnsi="Calibri"/>
              </w:rPr>
              <w:t xml:space="preserve"> </w:t>
            </w:r>
          </w:p>
        </w:tc>
      </w:tr>
      <w:tr w:rsidR="007878A8" w:rsidRPr="00BC6800" w14:paraId="53D10A4A" w14:textId="77777777" w:rsidTr="005F4851">
        <w:trPr>
          <w:trHeight w:val="1648"/>
        </w:trPr>
        <w:tc>
          <w:tcPr>
            <w:tcW w:w="4655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6C7C7636" w14:textId="77777777" w:rsidR="007878A8" w:rsidRPr="00BC6800" w:rsidRDefault="007878A8" w:rsidP="005F4851">
            <w:pPr>
              <w:spacing w:after="60"/>
              <w:jc w:val="center"/>
            </w:pPr>
          </w:p>
        </w:tc>
        <w:tc>
          <w:tcPr>
            <w:tcW w:w="48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CFDB37" w14:textId="77777777" w:rsidR="007878A8" w:rsidRPr="00847BE1" w:rsidRDefault="007878A8" w:rsidP="005F4851">
            <w:pPr>
              <w:pStyle w:val="Zkladntext"/>
              <w:jc w:val="center"/>
              <w:rPr>
                <w:rFonts w:ascii="Times New Roman" w:hAnsi="Times New Roman"/>
                <w:b/>
                <w:bCs/>
              </w:rPr>
            </w:pPr>
            <w:r w:rsidRPr="00847BE1">
              <w:rPr>
                <w:rFonts w:ascii="Times New Roman" w:hAnsi="Times New Roman"/>
                <w:b/>
                <w:bCs/>
              </w:rPr>
              <w:t>Ústav anorganické chemie AV ČR, v.v.i.</w:t>
            </w:r>
          </w:p>
          <w:p w14:paraId="2A19D8E0" w14:textId="2A8E6E22" w:rsidR="007878A8" w:rsidRPr="00847BE1" w:rsidRDefault="007878A8" w:rsidP="005F4851">
            <w:pPr>
              <w:spacing w:after="60"/>
              <w:jc w:val="center"/>
            </w:pPr>
            <w:r w:rsidRPr="00847BE1">
              <w:t xml:space="preserve"> V Praze dne </w:t>
            </w:r>
            <w:r w:rsidR="004D0790">
              <w:t>04.01.2021</w:t>
            </w:r>
          </w:p>
          <w:p w14:paraId="3CA1C1A6" w14:textId="77777777" w:rsidR="007878A8" w:rsidRPr="00847BE1" w:rsidRDefault="007878A8" w:rsidP="005F4851">
            <w:pPr>
              <w:spacing w:after="60"/>
              <w:jc w:val="center"/>
            </w:pPr>
          </w:p>
          <w:p w14:paraId="248EC098" w14:textId="77777777" w:rsidR="007878A8" w:rsidRPr="00847BE1" w:rsidRDefault="007878A8" w:rsidP="005F4851">
            <w:pPr>
              <w:spacing w:after="60"/>
              <w:jc w:val="center"/>
            </w:pPr>
          </w:p>
          <w:p w14:paraId="137F3F0B" w14:textId="77777777" w:rsidR="007878A8" w:rsidRPr="00847BE1" w:rsidRDefault="007878A8" w:rsidP="005F4851">
            <w:pPr>
              <w:spacing w:after="60"/>
              <w:jc w:val="center"/>
            </w:pPr>
            <w:r w:rsidRPr="00847BE1">
              <w:t>………………………………………….</w:t>
            </w:r>
          </w:p>
          <w:p w14:paraId="13A248D7" w14:textId="77777777" w:rsidR="007878A8" w:rsidRPr="00847BE1" w:rsidRDefault="007878A8" w:rsidP="005F4851">
            <w:pPr>
              <w:spacing w:after="60"/>
              <w:jc w:val="center"/>
            </w:pPr>
            <w:r w:rsidRPr="00281684">
              <w:t xml:space="preserve">Ing. Kamil Lang, CSc., </w:t>
            </w:r>
            <w:proofErr w:type="spellStart"/>
            <w:r w:rsidRPr="00281684">
              <w:t>DSc</w:t>
            </w:r>
            <w:proofErr w:type="spellEnd"/>
            <w:r w:rsidRPr="00281684">
              <w:t>., ředitel</w:t>
            </w:r>
          </w:p>
        </w:tc>
      </w:tr>
      <w:tr w:rsidR="007878A8" w:rsidRPr="00BC6800" w14:paraId="19DB7E34" w14:textId="77777777" w:rsidTr="005F4851">
        <w:trPr>
          <w:trHeight w:val="1648"/>
        </w:trPr>
        <w:tc>
          <w:tcPr>
            <w:tcW w:w="465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5849CD7" w14:textId="77777777" w:rsidR="007878A8" w:rsidRPr="00BC6800" w:rsidRDefault="007878A8" w:rsidP="005F4851">
            <w:pPr>
              <w:spacing w:after="60"/>
              <w:jc w:val="center"/>
            </w:pPr>
          </w:p>
        </w:tc>
        <w:tc>
          <w:tcPr>
            <w:tcW w:w="48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B81A36C" w14:textId="77777777" w:rsidR="007878A8" w:rsidRPr="00847BE1" w:rsidRDefault="007878A8" w:rsidP="005F4851">
            <w:pPr>
              <w:pStyle w:val="Zkladntext"/>
              <w:jc w:val="center"/>
              <w:rPr>
                <w:rFonts w:ascii="Times New Roman" w:hAnsi="Times New Roman"/>
                <w:b/>
                <w:bCs/>
              </w:rPr>
            </w:pPr>
            <w:r w:rsidRPr="00847BE1">
              <w:rPr>
                <w:rFonts w:ascii="Times New Roman" w:hAnsi="Times New Roman"/>
                <w:b/>
                <w:bCs/>
              </w:rPr>
              <w:t>Ústav fyzikální chemie J. Heyrovského AV ČR, v.v.i.</w:t>
            </w:r>
          </w:p>
          <w:p w14:paraId="57672C5E" w14:textId="2756BF12" w:rsidR="007878A8" w:rsidRPr="00847BE1" w:rsidRDefault="007878A8" w:rsidP="005F4851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847BE1">
              <w:rPr>
                <w:rFonts w:ascii="Times New Roman" w:hAnsi="Times New Roman"/>
              </w:rPr>
              <w:t>V Praze dne</w:t>
            </w:r>
            <w:r w:rsidR="004D0790">
              <w:rPr>
                <w:rFonts w:ascii="Times New Roman" w:hAnsi="Times New Roman"/>
              </w:rPr>
              <w:t xml:space="preserve"> 07.01.2021</w:t>
            </w:r>
          </w:p>
          <w:p w14:paraId="2C1DEC97" w14:textId="77777777" w:rsidR="007878A8" w:rsidRPr="00847BE1" w:rsidRDefault="007878A8" w:rsidP="005F4851">
            <w:pPr>
              <w:spacing w:after="60"/>
              <w:jc w:val="center"/>
            </w:pPr>
          </w:p>
          <w:p w14:paraId="130A198D" w14:textId="77777777" w:rsidR="007878A8" w:rsidRPr="00847BE1" w:rsidRDefault="007878A8" w:rsidP="005F4851">
            <w:pPr>
              <w:spacing w:after="60"/>
              <w:jc w:val="center"/>
            </w:pPr>
          </w:p>
          <w:p w14:paraId="0582EEA6" w14:textId="77777777" w:rsidR="007878A8" w:rsidRPr="00847BE1" w:rsidRDefault="007878A8" w:rsidP="005F4851">
            <w:pPr>
              <w:spacing w:after="60"/>
              <w:jc w:val="center"/>
            </w:pPr>
            <w:r w:rsidRPr="00847BE1">
              <w:t>………………………………………….</w:t>
            </w:r>
          </w:p>
          <w:p w14:paraId="0B0A012B" w14:textId="77777777" w:rsidR="007878A8" w:rsidRPr="00847BE1" w:rsidRDefault="007878A8" w:rsidP="005F4851">
            <w:pPr>
              <w:spacing w:after="60"/>
              <w:jc w:val="center"/>
            </w:pPr>
            <w:r w:rsidRPr="00281684">
              <w:t xml:space="preserve">prof. Martin </w:t>
            </w:r>
            <w:proofErr w:type="spellStart"/>
            <w:r w:rsidRPr="00281684">
              <w:t>Hof</w:t>
            </w:r>
            <w:proofErr w:type="spellEnd"/>
            <w:r w:rsidRPr="00281684">
              <w:t xml:space="preserve"> Dr. </w:t>
            </w:r>
            <w:proofErr w:type="spellStart"/>
            <w:r w:rsidRPr="00281684">
              <w:t>rer</w:t>
            </w:r>
            <w:proofErr w:type="spellEnd"/>
            <w:r w:rsidRPr="00281684">
              <w:t xml:space="preserve">. </w:t>
            </w:r>
            <w:proofErr w:type="spellStart"/>
            <w:r w:rsidRPr="00281684">
              <w:t>nat</w:t>
            </w:r>
            <w:proofErr w:type="spellEnd"/>
            <w:r w:rsidRPr="00281684">
              <w:t xml:space="preserve">. </w:t>
            </w:r>
            <w:proofErr w:type="spellStart"/>
            <w:r w:rsidRPr="00281684">
              <w:t>DSc</w:t>
            </w:r>
            <w:proofErr w:type="spellEnd"/>
            <w:r w:rsidRPr="00281684">
              <w:t>., ředitel</w:t>
            </w:r>
          </w:p>
        </w:tc>
      </w:tr>
    </w:tbl>
    <w:p w14:paraId="1485517B" w14:textId="77777777" w:rsidR="007878A8" w:rsidRPr="0010577F" w:rsidRDefault="007878A8" w:rsidP="004D0790">
      <w:pPr>
        <w:spacing w:before="60" w:after="60" w:line="276" w:lineRule="auto"/>
        <w:jc w:val="both"/>
      </w:pPr>
    </w:p>
    <w:sectPr w:rsidR="007878A8" w:rsidRPr="0010577F" w:rsidSect="005F48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55" w:right="1418" w:bottom="215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89EDA" w14:textId="77777777" w:rsidR="00D47281" w:rsidRDefault="00D47281" w:rsidP="00BE045D">
      <w:r>
        <w:separator/>
      </w:r>
    </w:p>
  </w:endnote>
  <w:endnote w:type="continuationSeparator" w:id="0">
    <w:p w14:paraId="0AA6DBAE" w14:textId="77777777" w:rsidR="00D47281" w:rsidRDefault="00D47281" w:rsidP="00BE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E1D57" w14:textId="77777777" w:rsidR="00BE045D" w:rsidRDefault="00BE04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6C4D5" w14:textId="77777777" w:rsidR="00BE045D" w:rsidRDefault="00BE045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E19AD" w14:textId="77777777" w:rsidR="00BE045D" w:rsidRDefault="00BE04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24915" w14:textId="77777777" w:rsidR="00D47281" w:rsidRDefault="00D47281" w:rsidP="00BE045D">
      <w:r>
        <w:separator/>
      </w:r>
    </w:p>
  </w:footnote>
  <w:footnote w:type="continuationSeparator" w:id="0">
    <w:p w14:paraId="3B1461DB" w14:textId="77777777" w:rsidR="00D47281" w:rsidRDefault="00D47281" w:rsidP="00BE0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506F3" w14:textId="77777777" w:rsidR="00BE045D" w:rsidRDefault="00BE04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C9766" w14:textId="77777777" w:rsidR="00BE045D" w:rsidRDefault="00BE045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7953C" w14:textId="77777777" w:rsidR="00BE045D" w:rsidRDefault="00BE04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E8A"/>
    <w:multiLevelType w:val="multilevel"/>
    <w:tmpl w:val="02164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4"/>
      </w:rPr>
    </w:lvl>
  </w:abstractNum>
  <w:abstractNum w:abstractNumId="1" w15:restartNumberingAfterBreak="0">
    <w:nsid w:val="02B15FB2"/>
    <w:multiLevelType w:val="multilevel"/>
    <w:tmpl w:val="E4C8810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038411E3"/>
    <w:multiLevelType w:val="hybridMultilevel"/>
    <w:tmpl w:val="0DA2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24018"/>
    <w:multiLevelType w:val="multilevel"/>
    <w:tmpl w:val="ECF63E9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745221"/>
    <w:multiLevelType w:val="multilevel"/>
    <w:tmpl w:val="ECF63E9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BE3599"/>
    <w:multiLevelType w:val="hybridMultilevel"/>
    <w:tmpl w:val="78887846"/>
    <w:lvl w:ilvl="0" w:tplc="63A665A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E6744"/>
    <w:multiLevelType w:val="hybridMultilevel"/>
    <w:tmpl w:val="2BDE65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74359"/>
    <w:multiLevelType w:val="hybridMultilevel"/>
    <w:tmpl w:val="8058439A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654B9"/>
    <w:multiLevelType w:val="multilevel"/>
    <w:tmpl w:val="ECF63E9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E36DDB"/>
    <w:multiLevelType w:val="hybridMultilevel"/>
    <w:tmpl w:val="8D2E8AE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83F86"/>
    <w:multiLevelType w:val="hybridMultilevel"/>
    <w:tmpl w:val="7F881578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722D9"/>
    <w:multiLevelType w:val="hybridMultilevel"/>
    <w:tmpl w:val="0DA2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4585A"/>
    <w:multiLevelType w:val="hybridMultilevel"/>
    <w:tmpl w:val="81FE7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E538E"/>
    <w:multiLevelType w:val="hybridMultilevel"/>
    <w:tmpl w:val="5DA27FBC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D6B6C"/>
    <w:multiLevelType w:val="hybridMultilevel"/>
    <w:tmpl w:val="0262AEA0"/>
    <w:lvl w:ilvl="0" w:tplc="3866073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E95B69"/>
    <w:multiLevelType w:val="hybridMultilevel"/>
    <w:tmpl w:val="2BDE65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D1D2B"/>
    <w:multiLevelType w:val="hybridMultilevel"/>
    <w:tmpl w:val="739810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2778E"/>
    <w:multiLevelType w:val="hybridMultilevel"/>
    <w:tmpl w:val="CDD865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34925"/>
    <w:multiLevelType w:val="hybridMultilevel"/>
    <w:tmpl w:val="614AD2F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93DCF"/>
    <w:multiLevelType w:val="hybridMultilevel"/>
    <w:tmpl w:val="2BDE65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013B2"/>
    <w:multiLevelType w:val="hybridMultilevel"/>
    <w:tmpl w:val="A7840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C6DE0"/>
    <w:multiLevelType w:val="hybridMultilevel"/>
    <w:tmpl w:val="CF80F4C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E1DE2"/>
    <w:multiLevelType w:val="hybridMultilevel"/>
    <w:tmpl w:val="49B28D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57E32"/>
    <w:multiLevelType w:val="multilevel"/>
    <w:tmpl w:val="02164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4"/>
      </w:rPr>
    </w:lvl>
  </w:abstractNum>
  <w:abstractNum w:abstractNumId="24" w15:restartNumberingAfterBreak="0">
    <w:nsid w:val="5DE900DC"/>
    <w:multiLevelType w:val="hybridMultilevel"/>
    <w:tmpl w:val="F6AE0F20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9234F"/>
    <w:multiLevelType w:val="hybridMultilevel"/>
    <w:tmpl w:val="739810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826309"/>
    <w:multiLevelType w:val="hybridMultilevel"/>
    <w:tmpl w:val="5DA27FBC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30E8B"/>
    <w:multiLevelType w:val="hybridMultilevel"/>
    <w:tmpl w:val="54AA878E"/>
    <w:lvl w:ilvl="0" w:tplc="04050013">
      <w:start w:val="1"/>
      <w:numFmt w:val="upperRoman"/>
      <w:lvlText w:val="%1."/>
      <w:lvlJc w:val="right"/>
      <w:pPr>
        <w:ind w:left="72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A244D6"/>
    <w:multiLevelType w:val="hybridMultilevel"/>
    <w:tmpl w:val="0DA2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FA69A8"/>
    <w:multiLevelType w:val="hybridMultilevel"/>
    <w:tmpl w:val="2BDE65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94A62"/>
    <w:multiLevelType w:val="hybridMultilevel"/>
    <w:tmpl w:val="909EA0F4"/>
    <w:lvl w:ilvl="0" w:tplc="63A665A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06C77"/>
    <w:multiLevelType w:val="multilevel"/>
    <w:tmpl w:val="332A3C1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8B21BEB"/>
    <w:multiLevelType w:val="hybridMultilevel"/>
    <w:tmpl w:val="ED8C97A6"/>
    <w:lvl w:ilvl="0" w:tplc="63A66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CE5D36"/>
    <w:multiLevelType w:val="hybridMultilevel"/>
    <w:tmpl w:val="64B275B4"/>
    <w:lvl w:ilvl="0" w:tplc="0405000F">
      <w:start w:val="1"/>
      <w:numFmt w:val="decimal"/>
      <w:lvlText w:val="%1."/>
      <w:lvlJc w:val="left"/>
      <w:pPr>
        <w:ind w:left="72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31"/>
  </w:num>
  <w:num w:numId="4">
    <w:abstractNumId w:val="0"/>
  </w:num>
  <w:num w:numId="5">
    <w:abstractNumId w:val="8"/>
  </w:num>
  <w:num w:numId="6">
    <w:abstractNumId w:val="1"/>
  </w:num>
  <w:num w:numId="7">
    <w:abstractNumId w:val="20"/>
  </w:num>
  <w:num w:numId="8">
    <w:abstractNumId w:val="32"/>
  </w:num>
  <w:num w:numId="9">
    <w:abstractNumId w:val="5"/>
  </w:num>
  <w:num w:numId="10">
    <w:abstractNumId w:val="16"/>
  </w:num>
  <w:num w:numId="11">
    <w:abstractNumId w:val="3"/>
  </w:num>
  <w:num w:numId="12">
    <w:abstractNumId w:val="25"/>
  </w:num>
  <w:num w:numId="13">
    <w:abstractNumId w:val="11"/>
  </w:num>
  <w:num w:numId="14">
    <w:abstractNumId w:val="22"/>
  </w:num>
  <w:num w:numId="15">
    <w:abstractNumId w:val="30"/>
  </w:num>
  <w:num w:numId="16">
    <w:abstractNumId w:val="24"/>
  </w:num>
  <w:num w:numId="17">
    <w:abstractNumId w:val="26"/>
  </w:num>
  <w:num w:numId="18">
    <w:abstractNumId w:val="2"/>
  </w:num>
  <w:num w:numId="19">
    <w:abstractNumId w:val="13"/>
  </w:num>
  <w:num w:numId="20">
    <w:abstractNumId w:val="28"/>
  </w:num>
  <w:num w:numId="21">
    <w:abstractNumId w:val="7"/>
  </w:num>
  <w:num w:numId="22">
    <w:abstractNumId w:val="29"/>
  </w:num>
  <w:num w:numId="23">
    <w:abstractNumId w:val="6"/>
  </w:num>
  <w:num w:numId="24">
    <w:abstractNumId w:val="21"/>
  </w:num>
  <w:num w:numId="25">
    <w:abstractNumId w:val="12"/>
  </w:num>
  <w:num w:numId="26">
    <w:abstractNumId w:val="10"/>
  </w:num>
  <w:num w:numId="27">
    <w:abstractNumId w:val="15"/>
  </w:num>
  <w:num w:numId="28">
    <w:abstractNumId w:val="9"/>
  </w:num>
  <w:num w:numId="29">
    <w:abstractNumId w:val="18"/>
  </w:num>
  <w:num w:numId="30">
    <w:abstractNumId w:val="27"/>
  </w:num>
  <w:num w:numId="31">
    <w:abstractNumId w:val="33"/>
  </w:num>
  <w:num w:numId="32">
    <w:abstractNumId w:val="19"/>
  </w:num>
  <w:num w:numId="33">
    <w:abstractNumId w:val="17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49"/>
    <w:rsid w:val="00016E14"/>
    <w:rsid w:val="00033B1C"/>
    <w:rsid w:val="0004313D"/>
    <w:rsid w:val="00070520"/>
    <w:rsid w:val="00086467"/>
    <w:rsid w:val="000C0929"/>
    <w:rsid w:val="000D5B49"/>
    <w:rsid w:val="000E43ED"/>
    <w:rsid w:val="0010291A"/>
    <w:rsid w:val="001870AC"/>
    <w:rsid w:val="001C5D98"/>
    <w:rsid w:val="001C6CB7"/>
    <w:rsid w:val="001D0EA7"/>
    <w:rsid w:val="001D2F78"/>
    <w:rsid w:val="00231F91"/>
    <w:rsid w:val="00232568"/>
    <w:rsid w:val="00234D46"/>
    <w:rsid w:val="00240193"/>
    <w:rsid w:val="002456E9"/>
    <w:rsid w:val="0025056F"/>
    <w:rsid w:val="002715AB"/>
    <w:rsid w:val="0027782F"/>
    <w:rsid w:val="00281684"/>
    <w:rsid w:val="00287CFC"/>
    <w:rsid w:val="002974C1"/>
    <w:rsid w:val="002E691C"/>
    <w:rsid w:val="00347EDD"/>
    <w:rsid w:val="00356FE3"/>
    <w:rsid w:val="00397AA3"/>
    <w:rsid w:val="00402AA2"/>
    <w:rsid w:val="00423D21"/>
    <w:rsid w:val="0043120C"/>
    <w:rsid w:val="0044623D"/>
    <w:rsid w:val="004469C8"/>
    <w:rsid w:val="00496386"/>
    <w:rsid w:val="004969EE"/>
    <w:rsid w:val="004B192C"/>
    <w:rsid w:val="004B69A7"/>
    <w:rsid w:val="004C45EB"/>
    <w:rsid w:val="004D0790"/>
    <w:rsid w:val="00510E79"/>
    <w:rsid w:val="0052562A"/>
    <w:rsid w:val="00530649"/>
    <w:rsid w:val="00541F44"/>
    <w:rsid w:val="00573A75"/>
    <w:rsid w:val="00586661"/>
    <w:rsid w:val="00591D5F"/>
    <w:rsid w:val="005F4851"/>
    <w:rsid w:val="00647FC2"/>
    <w:rsid w:val="0066414B"/>
    <w:rsid w:val="00685E8E"/>
    <w:rsid w:val="006B1131"/>
    <w:rsid w:val="006B6DB1"/>
    <w:rsid w:val="006B6E95"/>
    <w:rsid w:val="006C3A10"/>
    <w:rsid w:val="006E36DB"/>
    <w:rsid w:val="00773D79"/>
    <w:rsid w:val="00785205"/>
    <w:rsid w:val="007878A8"/>
    <w:rsid w:val="007A045A"/>
    <w:rsid w:val="007A57CF"/>
    <w:rsid w:val="007A6F09"/>
    <w:rsid w:val="007D36B1"/>
    <w:rsid w:val="007D64DE"/>
    <w:rsid w:val="007F39AA"/>
    <w:rsid w:val="007F4526"/>
    <w:rsid w:val="00847BE1"/>
    <w:rsid w:val="00855763"/>
    <w:rsid w:val="00863329"/>
    <w:rsid w:val="00895712"/>
    <w:rsid w:val="008C4716"/>
    <w:rsid w:val="008F64F2"/>
    <w:rsid w:val="00907D8E"/>
    <w:rsid w:val="0092010A"/>
    <w:rsid w:val="00926F4E"/>
    <w:rsid w:val="009420E7"/>
    <w:rsid w:val="00961527"/>
    <w:rsid w:val="0096329A"/>
    <w:rsid w:val="00981B28"/>
    <w:rsid w:val="009A45CA"/>
    <w:rsid w:val="009A7C39"/>
    <w:rsid w:val="009C1172"/>
    <w:rsid w:val="009C11D1"/>
    <w:rsid w:val="009D29F1"/>
    <w:rsid w:val="009E3FC8"/>
    <w:rsid w:val="009F5BDD"/>
    <w:rsid w:val="00A10561"/>
    <w:rsid w:val="00A3056C"/>
    <w:rsid w:val="00A324DC"/>
    <w:rsid w:val="00A87B99"/>
    <w:rsid w:val="00A91B06"/>
    <w:rsid w:val="00AC05F8"/>
    <w:rsid w:val="00AF7817"/>
    <w:rsid w:val="00B03EE2"/>
    <w:rsid w:val="00B14B34"/>
    <w:rsid w:val="00B26425"/>
    <w:rsid w:val="00B46497"/>
    <w:rsid w:val="00B6610E"/>
    <w:rsid w:val="00B750C0"/>
    <w:rsid w:val="00B76B0B"/>
    <w:rsid w:val="00BE045D"/>
    <w:rsid w:val="00C04A7D"/>
    <w:rsid w:val="00C1664F"/>
    <w:rsid w:val="00C53011"/>
    <w:rsid w:val="00C569C0"/>
    <w:rsid w:val="00C637FB"/>
    <w:rsid w:val="00C92ECA"/>
    <w:rsid w:val="00CA7E74"/>
    <w:rsid w:val="00CF2F2A"/>
    <w:rsid w:val="00D1548F"/>
    <w:rsid w:val="00D32F1E"/>
    <w:rsid w:val="00D35BFB"/>
    <w:rsid w:val="00D46EEF"/>
    <w:rsid w:val="00D47281"/>
    <w:rsid w:val="00D507F6"/>
    <w:rsid w:val="00D5740C"/>
    <w:rsid w:val="00D72098"/>
    <w:rsid w:val="00D81D5B"/>
    <w:rsid w:val="00D869F2"/>
    <w:rsid w:val="00DE312E"/>
    <w:rsid w:val="00DE3C56"/>
    <w:rsid w:val="00E16076"/>
    <w:rsid w:val="00E25237"/>
    <w:rsid w:val="00E26C29"/>
    <w:rsid w:val="00E30E68"/>
    <w:rsid w:val="00E3620F"/>
    <w:rsid w:val="00E44826"/>
    <w:rsid w:val="00E91BF1"/>
    <w:rsid w:val="00F05D72"/>
    <w:rsid w:val="00F11531"/>
    <w:rsid w:val="00F22847"/>
    <w:rsid w:val="00F81E4E"/>
    <w:rsid w:val="00F90544"/>
    <w:rsid w:val="00FA3797"/>
    <w:rsid w:val="00FC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38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5D9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5D98"/>
    <w:pPr>
      <w:spacing w:before="100" w:beforeAutospacing="1" w:after="100" w:afterAutospacing="1"/>
    </w:pPr>
    <w:rPr>
      <w:color w:val="auto"/>
    </w:rPr>
  </w:style>
  <w:style w:type="paragraph" w:styleId="Bezmezer">
    <w:name w:val="No Spacing"/>
    <w:uiPriority w:val="1"/>
    <w:qFormat/>
    <w:rsid w:val="001C5D9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cotext">
    <w:name w:val="co_text"/>
    <w:basedOn w:val="Normln"/>
    <w:rsid w:val="001C5D98"/>
    <w:pPr>
      <w:widowControl w:val="0"/>
      <w:spacing w:before="120"/>
      <w:ind w:left="720"/>
      <w:jc w:val="both"/>
    </w:pPr>
    <w:rPr>
      <w:rFonts w:ascii="Arial Narrow" w:hAnsi="Arial Narrow" w:cs="Arial"/>
      <w:color w:val="auto"/>
      <w:sz w:val="22"/>
    </w:rPr>
  </w:style>
  <w:style w:type="character" w:styleId="Zdraznn">
    <w:name w:val="Emphasis"/>
    <w:basedOn w:val="Standardnpsmoodstavce"/>
    <w:uiPriority w:val="20"/>
    <w:qFormat/>
    <w:rsid w:val="001C5D98"/>
    <w:rPr>
      <w:i/>
      <w:iCs/>
    </w:rPr>
  </w:style>
  <w:style w:type="character" w:customStyle="1" w:styleId="platne">
    <w:name w:val="platne"/>
    <w:basedOn w:val="Standardnpsmoodstavce"/>
    <w:rsid w:val="001C5D98"/>
  </w:style>
  <w:style w:type="paragraph" w:styleId="Zhlav">
    <w:name w:val="header"/>
    <w:basedOn w:val="Normln"/>
    <w:link w:val="ZhlavChar"/>
    <w:uiPriority w:val="99"/>
    <w:unhideWhenUsed/>
    <w:rsid w:val="00BE04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045D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E04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045D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semiHidden/>
    <w:rsid w:val="00E26C29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26C29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2974C1"/>
    <w:pPr>
      <w:spacing w:after="200"/>
    </w:pPr>
    <w:rPr>
      <w:b/>
      <w:bCs/>
      <w:color w:val="4F81BD" w:themeColor="accent1"/>
      <w:sz w:val="18"/>
      <w:szCs w:val="18"/>
    </w:rPr>
  </w:style>
  <w:style w:type="character" w:styleId="Siln">
    <w:name w:val="Strong"/>
    <w:uiPriority w:val="22"/>
    <w:qFormat/>
    <w:rsid w:val="007878A8"/>
    <w:rPr>
      <w:b/>
      <w:bCs/>
    </w:rPr>
  </w:style>
  <w:style w:type="paragraph" w:styleId="Zkladntext">
    <w:name w:val="Body Text"/>
    <w:basedOn w:val="Normln"/>
    <w:link w:val="ZkladntextChar"/>
    <w:rsid w:val="007878A8"/>
    <w:pPr>
      <w:autoSpaceDE w:val="0"/>
      <w:autoSpaceDN w:val="0"/>
      <w:jc w:val="both"/>
    </w:pPr>
    <w:rPr>
      <w:rFonts w:ascii="Tms Rmn" w:hAnsi="Tms Rmn"/>
      <w:color w:val="auto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7878A8"/>
    <w:rPr>
      <w:rFonts w:ascii="Tms Rmn" w:eastAsia="Times New Roman" w:hAnsi="Tms Rm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7C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CFC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6F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6F09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6F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6F09"/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A6F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16042-D751-4851-B444-67FF7ABF2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1382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2021-01-19T10:53:00Z</dcterms:created>
  <dcterms:modified xsi:type="dcterms:W3CDTF">2021-01-19T10:53:00Z</dcterms:modified>
</cp:coreProperties>
</file>