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4BE2032C"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CA5C83" w:rsidRPr="005E1927">
        <w:rPr>
          <w:rFonts w:ascii="Calibri" w:hAnsi="Calibri" w:cs="Calibri"/>
          <w:b/>
          <w:sz w:val="26"/>
          <w:szCs w:val="26"/>
        </w:rPr>
        <w:t xml:space="preserve">č. </w:t>
      </w:r>
      <w:r w:rsidR="005E1927" w:rsidRPr="005E1927">
        <w:rPr>
          <w:rFonts w:ascii="Calibri" w:hAnsi="Calibri" w:cs="Calibri"/>
          <w:b/>
          <w:sz w:val="26"/>
          <w:szCs w:val="26"/>
        </w:rPr>
        <w:t>5</w:t>
      </w:r>
      <w:r w:rsidR="005D33DB" w:rsidRPr="005E1927">
        <w:rPr>
          <w:rFonts w:ascii="Calibri" w:hAnsi="Calibri" w:cs="Calibri"/>
          <w:b/>
          <w:sz w:val="26"/>
          <w:szCs w:val="26"/>
        </w:rPr>
        <w:t>/2021</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4FEA101D"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059AE49D" w14:textId="56DA255C" w:rsidR="008C0B7A" w:rsidRPr="00CA5C83" w:rsidRDefault="006A4216" w:rsidP="008C0B7A">
      <w:pPr>
        <w:rPr>
          <w:rFonts w:asciiTheme="minorHAnsi" w:hAnsiTheme="minorHAnsi" w:cstheme="minorHAnsi"/>
          <w:b/>
          <w:snapToGrid w:val="0"/>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sidR="005D33DB">
        <w:rPr>
          <w:rFonts w:asciiTheme="minorHAnsi" w:hAnsiTheme="minorHAnsi" w:cstheme="minorHAnsi"/>
          <w:b/>
        </w:rPr>
        <w:t>Gecons s.</w:t>
      </w:r>
      <w:r w:rsidR="00CA5C83" w:rsidRPr="00CA5C83">
        <w:rPr>
          <w:rFonts w:asciiTheme="minorHAnsi" w:hAnsiTheme="minorHAnsi" w:cstheme="minorHAnsi"/>
          <w:b/>
        </w:rPr>
        <w:t>r.o.</w:t>
      </w:r>
    </w:p>
    <w:p w14:paraId="1B1A082B" w14:textId="1A59B0A3" w:rsidR="00C9180A" w:rsidRPr="00CA5C83" w:rsidRDefault="00F5417B" w:rsidP="00C9180A">
      <w:pPr>
        <w:rPr>
          <w:rFonts w:asciiTheme="minorHAnsi" w:hAnsiTheme="minorHAnsi" w:cstheme="minorHAnsi"/>
          <w:sz w:val="22"/>
          <w:szCs w:val="22"/>
        </w:rPr>
      </w:pPr>
      <w:r w:rsidRPr="00CA5C83">
        <w:rPr>
          <w:rFonts w:asciiTheme="minorHAnsi" w:hAnsiTheme="minorHAnsi" w:cstheme="minorHAnsi"/>
          <w:sz w:val="22"/>
          <w:szCs w:val="22"/>
        </w:rPr>
        <w:t xml:space="preserve">     </w:t>
      </w:r>
      <w:r w:rsidR="008C0B7A" w:rsidRPr="00CA5C83">
        <w:rPr>
          <w:rFonts w:asciiTheme="minorHAnsi" w:hAnsiTheme="minorHAnsi" w:cstheme="minorHAnsi"/>
          <w:sz w:val="22"/>
          <w:szCs w:val="22"/>
        </w:rPr>
        <w:t xml:space="preserve"> </w:t>
      </w:r>
      <w:r w:rsidR="00CA5C83">
        <w:rPr>
          <w:rFonts w:asciiTheme="minorHAnsi" w:hAnsiTheme="minorHAnsi" w:cstheme="minorHAnsi"/>
          <w:sz w:val="22"/>
          <w:szCs w:val="22"/>
        </w:rPr>
        <w:t xml:space="preserve">zapsaná  v obchodním rejstříku vedeném u Krajského soudu v Brně, oddíl C, vložka </w:t>
      </w:r>
      <w:r w:rsidR="005D33DB">
        <w:rPr>
          <w:rFonts w:asciiTheme="minorHAnsi" w:hAnsiTheme="minorHAnsi" w:cstheme="minorHAnsi"/>
          <w:sz w:val="22"/>
          <w:szCs w:val="22"/>
        </w:rPr>
        <w:t>110371</w:t>
      </w:r>
    </w:p>
    <w:p w14:paraId="331FACDD" w14:textId="6D7A4237" w:rsidR="00906858" w:rsidRPr="00906858" w:rsidRDefault="006A4216" w:rsidP="008C0B7A">
      <w:pPr>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00CA5C83">
        <w:rPr>
          <w:rFonts w:ascii="Calibri" w:hAnsi="Calibri"/>
          <w:sz w:val="22"/>
          <w:szCs w:val="22"/>
        </w:rPr>
        <w:t>sídlo</w:t>
      </w:r>
      <w:r w:rsidRPr="000F159F">
        <w:rPr>
          <w:rFonts w:ascii="Calibri" w:hAnsi="Calibri"/>
          <w:sz w:val="22"/>
          <w:szCs w:val="22"/>
        </w:rPr>
        <w:t>:</w:t>
      </w:r>
      <w:r w:rsidR="00CA5C83">
        <w:rPr>
          <w:rFonts w:ascii="Calibri" w:hAnsi="Calibri"/>
          <w:sz w:val="22"/>
          <w:szCs w:val="22"/>
        </w:rPr>
        <w:tab/>
      </w:r>
      <w:r w:rsidR="00CA5C83">
        <w:rPr>
          <w:rFonts w:ascii="Calibri" w:hAnsi="Calibri"/>
          <w:sz w:val="22"/>
          <w:szCs w:val="22"/>
        </w:rPr>
        <w:tab/>
      </w:r>
      <w:r w:rsidR="005D33DB">
        <w:rPr>
          <w:rFonts w:ascii="Calibri" w:hAnsi="Calibri"/>
          <w:sz w:val="22"/>
          <w:szCs w:val="22"/>
        </w:rPr>
        <w:t>Jana Babáka 2733/11</w:t>
      </w:r>
      <w:r w:rsidR="00CA5C83" w:rsidRPr="00CA5C83">
        <w:rPr>
          <w:rFonts w:ascii="Calibri" w:hAnsi="Calibri"/>
          <w:sz w:val="22"/>
          <w:szCs w:val="22"/>
        </w:rPr>
        <w:t xml:space="preserve">, </w:t>
      </w:r>
      <w:r w:rsidR="005D33DB">
        <w:rPr>
          <w:rFonts w:ascii="Calibri" w:hAnsi="Calibri"/>
          <w:sz w:val="22"/>
          <w:szCs w:val="22"/>
        </w:rPr>
        <w:t>612 00</w:t>
      </w:r>
      <w:r w:rsidR="00CA5C83" w:rsidRPr="00CA5C83">
        <w:rPr>
          <w:rFonts w:ascii="Calibri" w:hAnsi="Calibri"/>
          <w:sz w:val="22"/>
          <w:szCs w:val="22"/>
        </w:rPr>
        <w:t xml:space="preserve"> </w:t>
      </w:r>
      <w:r w:rsidR="005D33DB">
        <w:rPr>
          <w:rFonts w:ascii="Calibri" w:hAnsi="Calibri"/>
          <w:sz w:val="22"/>
          <w:szCs w:val="22"/>
        </w:rPr>
        <w:t>Brno</w:t>
      </w:r>
      <w:r w:rsidRPr="000F159F">
        <w:rPr>
          <w:rFonts w:ascii="Calibri" w:hAnsi="Calibri"/>
          <w:sz w:val="22"/>
          <w:szCs w:val="22"/>
        </w:rPr>
        <w:tab/>
      </w:r>
      <w:r w:rsidR="00265A2B">
        <w:rPr>
          <w:rFonts w:ascii="Calibri" w:hAnsi="Calibri"/>
          <w:sz w:val="22"/>
          <w:szCs w:val="22"/>
        </w:rPr>
        <w:t xml:space="preserve">               </w:t>
      </w:r>
      <w:r w:rsidR="00E74761">
        <w:rPr>
          <w:rFonts w:ascii="Calibri" w:hAnsi="Calibri"/>
          <w:sz w:val="22"/>
          <w:szCs w:val="22"/>
        </w:rPr>
        <w:tab/>
        <w:t xml:space="preserve">    </w:t>
      </w:r>
    </w:p>
    <w:p w14:paraId="61375A59" w14:textId="0449C3E3" w:rsidR="003525ED" w:rsidRDefault="006A4216" w:rsidP="001E5190">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8C0B7A">
        <w:rPr>
          <w:rFonts w:ascii="Calibri" w:hAnsi="Calibri"/>
          <w:sz w:val="22"/>
          <w:szCs w:val="22"/>
        </w:rPr>
        <w:t>O</w:t>
      </w:r>
      <w:r w:rsidR="00CA5C83">
        <w:rPr>
          <w:rFonts w:ascii="Calibri" w:hAnsi="Calibri"/>
          <w:sz w:val="22"/>
          <w:szCs w:val="22"/>
        </w:rPr>
        <w:t xml:space="preserve">: </w:t>
      </w:r>
      <w:r w:rsidR="00CA5C83">
        <w:rPr>
          <w:rFonts w:ascii="Calibri" w:hAnsi="Calibri"/>
          <w:sz w:val="22"/>
          <w:szCs w:val="22"/>
        </w:rPr>
        <w:tab/>
      </w:r>
      <w:r w:rsidR="00CA5C83">
        <w:rPr>
          <w:rFonts w:ascii="Calibri" w:hAnsi="Calibri"/>
          <w:sz w:val="22"/>
          <w:szCs w:val="22"/>
        </w:rPr>
        <w:tab/>
      </w:r>
      <w:r w:rsidR="001E5190" w:rsidRPr="001E5190">
        <w:rPr>
          <w:rFonts w:ascii="Calibri" w:hAnsi="Calibri"/>
          <w:sz w:val="22"/>
          <w:szCs w:val="22"/>
        </w:rPr>
        <w:t>07809069</w:t>
      </w:r>
      <w:r w:rsidR="00265A2B">
        <w:rPr>
          <w:rFonts w:ascii="Calibri" w:hAnsi="Calibri"/>
          <w:sz w:val="22"/>
          <w:szCs w:val="22"/>
        </w:rPr>
        <w:t xml:space="preserve">           </w:t>
      </w:r>
      <w:r w:rsidR="000F159F">
        <w:rPr>
          <w:rFonts w:ascii="Calibri" w:hAnsi="Calibri"/>
          <w:sz w:val="22"/>
          <w:szCs w:val="22"/>
        </w:rPr>
        <w:t xml:space="preserve">         </w:t>
      </w:r>
    </w:p>
    <w:p w14:paraId="2391EDC9" w14:textId="57CAB2C0" w:rsidR="006A4216" w:rsidRPr="000F159F" w:rsidRDefault="006A4216" w:rsidP="001E5190">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CA5C83">
        <w:rPr>
          <w:rFonts w:ascii="Calibri" w:hAnsi="Calibri"/>
          <w:sz w:val="22"/>
          <w:szCs w:val="22"/>
        </w:rPr>
        <w:t xml:space="preserve">              CZ</w:t>
      </w:r>
      <w:r w:rsidR="001E5190" w:rsidRPr="001E5190">
        <w:rPr>
          <w:rFonts w:ascii="Calibri" w:hAnsi="Calibri"/>
          <w:sz w:val="22"/>
          <w:szCs w:val="22"/>
        </w:rPr>
        <w:t>07809069</w:t>
      </w:r>
      <w:r w:rsidR="00CA5C83" w:rsidRPr="000F159F">
        <w:rPr>
          <w:rFonts w:ascii="Calibri" w:hAnsi="Calibri"/>
          <w:sz w:val="22"/>
          <w:szCs w:val="22"/>
        </w:rPr>
        <w:t xml:space="preserve"> </w:t>
      </w:r>
      <w:r w:rsidR="00CA5C83">
        <w:rPr>
          <w:rFonts w:ascii="Calibri" w:hAnsi="Calibri"/>
          <w:sz w:val="22"/>
          <w:szCs w:val="22"/>
        </w:rPr>
        <w:t xml:space="preserve">  </w:t>
      </w:r>
      <w:r w:rsidRPr="000F159F">
        <w:rPr>
          <w:rFonts w:ascii="Calibri" w:hAnsi="Calibri"/>
          <w:sz w:val="22"/>
          <w:szCs w:val="22"/>
        </w:rPr>
        <w:tab/>
        <w:t xml:space="preserve">    </w:t>
      </w:r>
    </w:p>
    <w:p w14:paraId="305C0F9D" w14:textId="36062830"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260831">
        <w:rPr>
          <w:rFonts w:ascii="Calibri" w:hAnsi="Calibri"/>
          <w:sz w:val="22"/>
          <w:szCs w:val="22"/>
        </w:rPr>
        <w:t>Komerční banka a.s.</w:t>
      </w:r>
    </w:p>
    <w:p w14:paraId="56CFBA79" w14:textId="7C397E3F"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260831">
        <w:rPr>
          <w:rFonts w:ascii="Calibri" w:hAnsi="Calibri"/>
          <w:sz w:val="22"/>
          <w:szCs w:val="22"/>
        </w:rPr>
        <w:t xml:space="preserve">                      115-8596640207/0100</w:t>
      </w:r>
    </w:p>
    <w:p w14:paraId="7A3195E3" w14:textId="2A6F08C9"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Pr>
          <w:rFonts w:ascii="Calibri" w:hAnsi="Calibri"/>
          <w:sz w:val="22"/>
          <w:szCs w:val="22"/>
        </w:rPr>
        <w:tab/>
      </w:r>
      <w:r w:rsidR="006E68EB">
        <w:rPr>
          <w:rFonts w:ascii="Calibri" w:hAnsi="Calibri"/>
          <w:sz w:val="22"/>
          <w:szCs w:val="22"/>
        </w:rPr>
        <w:t>Ing. Petrem Hekerle, jednatelem</w:t>
      </w:r>
    </w:p>
    <w:p w14:paraId="4347F63A" w14:textId="3AC2A1F7" w:rsidR="006A4216" w:rsidRPr="008C0B7A" w:rsidRDefault="00E74761" w:rsidP="006A4216">
      <w:pPr>
        <w:pStyle w:val="Default"/>
        <w:rPr>
          <w:rFonts w:ascii="Calibri" w:hAnsi="Calibri"/>
          <w:i/>
          <w:sz w:val="22"/>
          <w:szCs w:val="22"/>
        </w:rPr>
      </w:pPr>
      <w:r w:rsidRPr="008C0B7A">
        <w:rPr>
          <w:rFonts w:ascii="Calibri" w:hAnsi="Calibri"/>
          <w:i/>
          <w:sz w:val="22"/>
          <w:szCs w:val="22"/>
        </w:rPr>
        <w:t xml:space="preserve">      </w:t>
      </w:r>
      <w:r w:rsidR="006A4216" w:rsidRPr="008C0B7A">
        <w:rPr>
          <w:rFonts w:ascii="Calibri" w:hAnsi="Calibri"/>
          <w:i/>
          <w:sz w:val="22"/>
          <w:szCs w:val="22"/>
        </w:rPr>
        <w:t>(dále jen „</w:t>
      </w:r>
      <w:r w:rsidR="000F159F" w:rsidRPr="008C0B7A">
        <w:rPr>
          <w:rFonts w:ascii="Calibri" w:hAnsi="Calibri"/>
          <w:i/>
          <w:sz w:val="22"/>
          <w:szCs w:val="22"/>
        </w:rPr>
        <w:t>z</w:t>
      </w:r>
      <w:r w:rsidR="006A4216" w:rsidRPr="008C0B7A">
        <w:rPr>
          <w:rFonts w:ascii="Calibri" w:hAnsi="Calibri"/>
          <w: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45B18DCB" w:rsidR="00FF2F9F" w:rsidRPr="006852E0" w:rsidRDefault="006A4216" w:rsidP="006852E0">
      <w:pPr>
        <w:pStyle w:val="Odstavecseseznamem"/>
        <w:numPr>
          <w:ilvl w:val="0"/>
          <w:numId w:val="2"/>
        </w:numPr>
        <w:jc w:val="both"/>
        <w:rPr>
          <w:rFonts w:asciiTheme="minorHAnsi" w:eastAsia="Calibri" w:hAnsiTheme="minorHAnsi" w:cstheme="minorHAnsi"/>
          <w:sz w:val="22"/>
          <w:szCs w:val="22"/>
        </w:rPr>
      </w:pPr>
      <w:r w:rsidRPr="00C04403">
        <w:rPr>
          <w:rFonts w:ascii="Calibri" w:hAnsi="Calibri"/>
          <w:sz w:val="22"/>
          <w:szCs w:val="22"/>
        </w:rPr>
        <w:t xml:space="preserve">Předmětem této smlouvy </w:t>
      </w:r>
      <w:r w:rsidRPr="00C04403">
        <w:rPr>
          <w:rFonts w:asciiTheme="minorHAnsi" w:hAnsiTheme="minorHAnsi" w:cstheme="minorHAnsi"/>
          <w:sz w:val="22"/>
          <w:szCs w:val="22"/>
        </w:rPr>
        <w:t xml:space="preserve">je </w:t>
      </w:r>
      <w:r w:rsidR="001E5190">
        <w:rPr>
          <w:rFonts w:asciiTheme="minorHAnsi" w:hAnsiTheme="minorHAnsi" w:cstheme="minorHAnsi"/>
          <w:sz w:val="22"/>
          <w:szCs w:val="22"/>
        </w:rPr>
        <w:t>geotechnické posouzení skalního bloku u vstupní brány na zřícenině hradu Cornštejn, včetně jeho začištění (odstranění uvolněných kamenů) a následného</w:t>
      </w:r>
      <w:r w:rsidR="005D2669">
        <w:rPr>
          <w:rFonts w:asciiTheme="minorHAnsi" w:hAnsiTheme="minorHAnsi" w:cstheme="minorHAnsi"/>
          <w:sz w:val="22"/>
          <w:szCs w:val="22"/>
        </w:rPr>
        <w:t xml:space="preserve"> monitoringu, dle parametrů uvedených v cenové nabídce zhotovitele ze dne 17.12.2020.</w:t>
      </w:r>
    </w:p>
    <w:p w14:paraId="44154FA3" w14:textId="13A7CE7F" w:rsidR="00C87296" w:rsidRPr="00775D8E" w:rsidRDefault="00C87296" w:rsidP="0068604E">
      <w:pPr>
        <w:widowControl w:val="0"/>
        <w:spacing w:after="120"/>
        <w:ind w:left="345"/>
        <w:jc w:val="both"/>
        <w:rPr>
          <w:rFonts w:ascii="Calibri" w:hAnsi="Calibri" w:cs="Arial"/>
          <w:snapToGrid w:val="0"/>
          <w:sz w:val="22"/>
          <w:szCs w:val="22"/>
        </w:rPr>
      </w:pPr>
      <w:r w:rsidRPr="0099371A">
        <w:rPr>
          <w:rFonts w:ascii="Calibri" w:hAnsi="Calibri" w:cs="Arial"/>
          <w:snapToGrid w:val="0"/>
          <w:sz w:val="22"/>
          <w:szCs w:val="22"/>
        </w:rPr>
        <w:t xml:space="preserve">Zhotovením díla se rozumí úplné, funkční a bezvadné provedení všech služeb, dodávek, prací, </w:t>
      </w:r>
      <w:r w:rsidR="001E5190">
        <w:rPr>
          <w:rFonts w:ascii="Calibri" w:hAnsi="Calibri" w:cs="Arial"/>
          <w:snapToGrid w:val="0"/>
          <w:sz w:val="22"/>
          <w:szCs w:val="22"/>
        </w:rPr>
        <w:t xml:space="preserve">   </w:t>
      </w:r>
      <w:r w:rsidRPr="0099371A">
        <w:rPr>
          <w:rFonts w:ascii="Calibri" w:hAnsi="Calibri" w:cs="Arial"/>
          <w:snapToGrid w:val="0"/>
          <w:sz w:val="22"/>
          <w:szCs w:val="22"/>
        </w:rPr>
        <w:t>jejichž provedení je pr</w:t>
      </w:r>
      <w:r>
        <w:rPr>
          <w:rFonts w:ascii="Calibri" w:hAnsi="Calibri" w:cs="Arial"/>
          <w:snapToGrid w:val="0"/>
          <w:sz w:val="22"/>
          <w:szCs w:val="22"/>
        </w:rPr>
        <w:t>o řádné dokončení díla nezbytné.</w:t>
      </w: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14:paraId="4DA078FD" w14:textId="440E6906" w:rsidR="000431B5" w:rsidRPr="00E330DD" w:rsidRDefault="005D2669" w:rsidP="000431B5">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geotechnické posouzení skalního bloku</w:t>
      </w:r>
    </w:p>
    <w:p w14:paraId="77DFF13B" w14:textId="1405F272" w:rsidR="00E330DD" w:rsidRPr="000431B5" w:rsidRDefault="00E330DD" w:rsidP="000431B5">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geodetické zaměření</w:t>
      </w:r>
    </w:p>
    <w:p w14:paraId="204E6B56" w14:textId="707C9EBC" w:rsidR="000431B5" w:rsidRPr="000431B5" w:rsidRDefault="005D2669" w:rsidP="000431B5">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odstranění uvolněných kamenů</w:t>
      </w:r>
    </w:p>
    <w:p w14:paraId="7B788B85" w14:textId="21D8A3C5" w:rsidR="000431B5" w:rsidRPr="000431B5" w:rsidRDefault="005D2669" w:rsidP="00B37C81">
      <w:pPr>
        <w:pStyle w:val="Default"/>
        <w:numPr>
          <w:ilvl w:val="0"/>
          <w:numId w:val="26"/>
        </w:numPr>
        <w:ind w:left="709" w:hanging="283"/>
        <w:jc w:val="both"/>
        <w:rPr>
          <w:rFonts w:asciiTheme="minorHAnsi" w:eastAsia="Calibri" w:hAnsiTheme="minorHAnsi" w:cstheme="minorHAnsi"/>
          <w:sz w:val="22"/>
          <w:szCs w:val="22"/>
        </w:rPr>
      </w:pPr>
      <w:r>
        <w:rPr>
          <w:rFonts w:asciiTheme="minorHAnsi" w:hAnsiTheme="minorHAnsi" w:cstheme="minorHAnsi"/>
          <w:color w:val="auto"/>
          <w:sz w:val="22"/>
          <w:szCs w:val="22"/>
        </w:rPr>
        <w:t>osazení monitorovacích prvků (ocelových trnů)</w:t>
      </w:r>
    </w:p>
    <w:p w14:paraId="5A8D5FE1" w14:textId="2CC6C1F5" w:rsidR="000431B5" w:rsidRPr="0004587D" w:rsidRDefault="005D2669" w:rsidP="00B37C81">
      <w:pPr>
        <w:pStyle w:val="Default"/>
        <w:numPr>
          <w:ilvl w:val="0"/>
          <w:numId w:val="26"/>
        </w:numPr>
        <w:ind w:left="709" w:hanging="283"/>
        <w:jc w:val="both"/>
        <w:rPr>
          <w:rFonts w:asciiTheme="minorHAnsi" w:eastAsia="Calibri" w:hAnsiTheme="minorHAnsi" w:cstheme="minorHAnsi"/>
          <w:sz w:val="22"/>
          <w:szCs w:val="22"/>
        </w:rPr>
      </w:pPr>
      <w:r>
        <w:rPr>
          <w:rFonts w:asciiTheme="minorHAnsi" w:hAnsiTheme="minorHAnsi" w:cstheme="minorHAnsi"/>
          <w:color w:val="auto"/>
          <w:sz w:val="22"/>
          <w:szCs w:val="22"/>
        </w:rPr>
        <w:t>monitoring – sledování vzájemného pohybu ocelových trnů (před zahájením návštěvnické sezóny a dále pravidelně 1x měsíčně v květnu, červnu, červenci, srpnu, září a po ukončení návštěvnické sezóny).</w:t>
      </w:r>
    </w:p>
    <w:p w14:paraId="67264272" w14:textId="20D79FE6" w:rsidR="0004587D" w:rsidRPr="00B37C81" w:rsidRDefault="005D2669" w:rsidP="00B37C81">
      <w:pPr>
        <w:pStyle w:val="Default"/>
        <w:numPr>
          <w:ilvl w:val="0"/>
          <w:numId w:val="26"/>
        </w:numPr>
        <w:ind w:left="709" w:hanging="283"/>
        <w:jc w:val="both"/>
        <w:rPr>
          <w:rFonts w:asciiTheme="minorHAnsi" w:eastAsia="Calibri" w:hAnsiTheme="minorHAnsi" w:cstheme="minorHAnsi"/>
          <w:sz w:val="22"/>
          <w:szCs w:val="22"/>
        </w:rPr>
      </w:pPr>
      <w:r>
        <w:rPr>
          <w:rFonts w:asciiTheme="minorHAnsi" w:hAnsiTheme="minorHAnsi" w:cstheme="minorHAnsi"/>
          <w:color w:val="auto"/>
          <w:sz w:val="22"/>
          <w:szCs w:val="22"/>
        </w:rPr>
        <w:t>vyhotovení protokolů s vyhodnocením zaznamenaných údajů monitoringu</w:t>
      </w:r>
      <w:r w:rsidR="00715C0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6008D9DC" w14:textId="48CF0195" w:rsidR="00B37C81" w:rsidRDefault="00B37C81" w:rsidP="00B37C81">
      <w:pPr>
        <w:pStyle w:val="Default"/>
        <w:ind w:left="709"/>
        <w:jc w:val="both"/>
        <w:rPr>
          <w:rFonts w:asciiTheme="minorHAnsi" w:eastAsia="Calibri" w:hAnsiTheme="minorHAnsi" w:cstheme="minorHAnsi"/>
          <w:sz w:val="22"/>
          <w:szCs w:val="22"/>
        </w:rPr>
      </w:pPr>
    </w:p>
    <w:p w14:paraId="487C7B02" w14:textId="77777777" w:rsidR="00B37C81" w:rsidRPr="00872640" w:rsidRDefault="00B37C81" w:rsidP="00B37C81">
      <w:pPr>
        <w:pStyle w:val="Default"/>
        <w:ind w:left="709"/>
        <w:jc w:val="both"/>
        <w:rPr>
          <w:rFonts w:asciiTheme="minorHAnsi" w:eastAsia="Calibri" w:hAnsiTheme="minorHAnsi" w:cstheme="minorHAnsi"/>
          <w:sz w:val="22"/>
          <w:szCs w:val="22"/>
        </w:rPr>
      </w:pPr>
    </w:p>
    <w:p w14:paraId="6134DAC2" w14:textId="10A28575" w:rsidR="00B37C81" w:rsidRDefault="00B37C81" w:rsidP="00775D8E">
      <w:pPr>
        <w:numPr>
          <w:ilvl w:val="0"/>
          <w:numId w:val="2"/>
        </w:numPr>
        <w:tabs>
          <w:tab w:val="num" w:pos="567"/>
        </w:tabs>
        <w:spacing w:before="60"/>
        <w:jc w:val="both"/>
        <w:rPr>
          <w:rFonts w:asciiTheme="minorHAnsi" w:hAnsiTheme="minorHAnsi"/>
          <w:sz w:val="22"/>
          <w:szCs w:val="22"/>
        </w:rPr>
      </w:pPr>
      <w:r>
        <w:rPr>
          <w:rFonts w:asciiTheme="minorHAnsi" w:hAnsiTheme="minorHAnsi"/>
          <w:sz w:val="22"/>
          <w:szCs w:val="22"/>
        </w:rPr>
        <w:t>Dílo je rozděleno na níže uvedené části:</w:t>
      </w:r>
    </w:p>
    <w:p w14:paraId="6342A6ED" w14:textId="000188ED" w:rsidR="00B37C81" w:rsidRDefault="00B37C81" w:rsidP="00B37C81">
      <w:pPr>
        <w:tabs>
          <w:tab w:val="num" w:pos="567"/>
        </w:tabs>
        <w:spacing w:before="60"/>
        <w:jc w:val="both"/>
        <w:rPr>
          <w:rFonts w:ascii="Calibri" w:hAnsi="Calibri"/>
          <w:iCs/>
          <w:sz w:val="22"/>
          <w:szCs w:val="22"/>
        </w:rPr>
      </w:pPr>
      <w:r>
        <w:rPr>
          <w:rFonts w:asciiTheme="minorHAnsi" w:hAnsiTheme="minorHAnsi"/>
          <w:sz w:val="22"/>
          <w:szCs w:val="22"/>
        </w:rPr>
        <w:tab/>
      </w:r>
      <w:r w:rsidRPr="00B37C81">
        <w:rPr>
          <w:rFonts w:asciiTheme="minorHAnsi" w:hAnsiTheme="minorHAnsi"/>
          <w:b/>
          <w:sz w:val="22"/>
          <w:szCs w:val="22"/>
        </w:rPr>
        <w:t>I.etapa</w:t>
      </w:r>
      <w:r>
        <w:rPr>
          <w:rFonts w:asciiTheme="minorHAnsi" w:hAnsiTheme="minorHAnsi"/>
          <w:sz w:val="22"/>
          <w:szCs w:val="22"/>
        </w:rPr>
        <w:t xml:space="preserve"> - </w:t>
      </w:r>
      <w:r>
        <w:rPr>
          <w:rFonts w:ascii="Calibri" w:hAnsi="Calibri"/>
          <w:iCs/>
          <w:sz w:val="22"/>
          <w:szCs w:val="22"/>
        </w:rPr>
        <w:t>geotechnické posouzení</w:t>
      </w:r>
    </w:p>
    <w:p w14:paraId="54F2C74B" w14:textId="24B11041" w:rsidR="00B37C81" w:rsidRDefault="00B37C81" w:rsidP="00B37C81">
      <w:pPr>
        <w:tabs>
          <w:tab w:val="num" w:pos="567"/>
        </w:tabs>
        <w:spacing w:before="60"/>
        <w:jc w:val="both"/>
        <w:rPr>
          <w:rFonts w:ascii="Calibri" w:hAnsi="Calibri"/>
          <w:iCs/>
          <w:sz w:val="22"/>
          <w:szCs w:val="22"/>
        </w:rPr>
      </w:pPr>
      <w:r>
        <w:rPr>
          <w:rFonts w:asciiTheme="minorHAnsi" w:hAnsiTheme="minorHAnsi"/>
          <w:sz w:val="22"/>
          <w:szCs w:val="22"/>
        </w:rPr>
        <w:tab/>
      </w:r>
      <w:r w:rsidRPr="00B37C81">
        <w:rPr>
          <w:rFonts w:ascii="Calibri" w:hAnsi="Calibri"/>
          <w:b/>
          <w:iCs/>
          <w:sz w:val="22"/>
          <w:szCs w:val="22"/>
        </w:rPr>
        <w:t>II.etapa</w:t>
      </w:r>
      <w:r>
        <w:rPr>
          <w:rFonts w:ascii="Calibri" w:hAnsi="Calibri"/>
          <w:iCs/>
          <w:sz w:val="22"/>
          <w:szCs w:val="22"/>
        </w:rPr>
        <w:t xml:space="preserve"> – osazení monitorovacích prvků a odstranění uvolněných kamenů</w:t>
      </w:r>
    </w:p>
    <w:p w14:paraId="37C94416" w14:textId="214F996A" w:rsidR="00B37C81" w:rsidRPr="00B37C81" w:rsidRDefault="00B37C81" w:rsidP="00B37C81">
      <w:pPr>
        <w:tabs>
          <w:tab w:val="num" w:pos="567"/>
        </w:tabs>
        <w:spacing w:before="60"/>
        <w:jc w:val="both"/>
        <w:rPr>
          <w:rFonts w:asciiTheme="minorHAnsi" w:hAnsiTheme="minorHAnsi"/>
          <w:sz w:val="22"/>
          <w:szCs w:val="22"/>
        </w:rPr>
      </w:pPr>
      <w:r>
        <w:rPr>
          <w:rFonts w:ascii="Calibri" w:hAnsi="Calibri"/>
          <w:iCs/>
          <w:sz w:val="22"/>
          <w:szCs w:val="22"/>
        </w:rPr>
        <w:tab/>
      </w:r>
      <w:r w:rsidRPr="00B37C81">
        <w:rPr>
          <w:rFonts w:ascii="Calibri" w:hAnsi="Calibri"/>
          <w:b/>
          <w:iCs/>
          <w:sz w:val="22"/>
          <w:szCs w:val="22"/>
        </w:rPr>
        <w:t>III.etapa</w:t>
      </w:r>
      <w:r>
        <w:rPr>
          <w:rFonts w:ascii="Calibri" w:hAnsi="Calibri"/>
          <w:iCs/>
          <w:sz w:val="22"/>
          <w:szCs w:val="22"/>
        </w:rPr>
        <w:t xml:space="preserve"> – monitoring včetně vyhodnocení</w:t>
      </w:r>
    </w:p>
    <w:p w14:paraId="57A205BE" w14:textId="2EF752EB"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16F3738E" w:rsidR="00206F78" w:rsidRDefault="00D930EB" w:rsidP="0068604E">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ráce musí probíhat tak, aby nedošlo k</w:t>
      </w:r>
      <w:r w:rsidR="001E5190">
        <w:rPr>
          <w:rFonts w:asciiTheme="minorHAnsi" w:eastAsia="Calibri" w:hAnsiTheme="minorHAnsi"/>
          <w:sz w:val="22"/>
          <w:szCs w:val="22"/>
        </w:rPr>
        <w:t> </w:t>
      </w:r>
      <w:r w:rsidRPr="00206F78">
        <w:rPr>
          <w:rFonts w:asciiTheme="minorHAnsi" w:eastAsia="Calibri" w:hAnsiTheme="minorHAnsi"/>
          <w:sz w:val="22"/>
          <w:szCs w:val="22"/>
        </w:rPr>
        <w:t>poškození</w:t>
      </w:r>
      <w:r w:rsidR="001E5190">
        <w:rPr>
          <w:rFonts w:asciiTheme="minorHAnsi" w:eastAsia="Calibri" w:hAnsiTheme="minorHAnsi"/>
          <w:sz w:val="22"/>
          <w:szCs w:val="22"/>
        </w:rPr>
        <w:t xml:space="preserve"> památkově chráněného objektu zříceniny hradu Cornštejna</w:t>
      </w:r>
      <w:r w:rsidR="00715C0B">
        <w:rPr>
          <w:rFonts w:asciiTheme="minorHAnsi" w:eastAsia="Calibri" w:hAnsiTheme="minorHAnsi"/>
          <w:sz w:val="22"/>
          <w:szCs w:val="22"/>
        </w:rPr>
        <w:t xml:space="preserve"> a přírodní rezervace Cornštejn.</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4B4287B0" w:rsidR="00E950E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507C6437" w14:textId="77777777" w:rsidR="00E330DD" w:rsidRDefault="00E330DD" w:rsidP="00E330DD">
      <w:pPr>
        <w:pStyle w:val="Odstavecseseznamem"/>
        <w:widowControl w:val="0"/>
        <w:numPr>
          <w:ilvl w:val="0"/>
          <w:numId w:val="12"/>
        </w:numPr>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w:t>
      </w:r>
      <w:r>
        <w:rPr>
          <w:rFonts w:asciiTheme="minorHAnsi" w:hAnsiTheme="minorHAnsi" w:cstheme="minorHAnsi"/>
          <w:b/>
          <w:iCs/>
          <w:sz w:val="22"/>
          <w:szCs w:val="22"/>
        </w:rPr>
        <w:t>zahájení prací</w:t>
      </w:r>
      <w:r w:rsidRPr="004B1A9F">
        <w:rPr>
          <w:rFonts w:asciiTheme="minorHAnsi" w:hAnsiTheme="minorHAnsi" w:cstheme="minorHAnsi"/>
          <w:b/>
          <w:iCs/>
          <w:sz w:val="22"/>
          <w:szCs w:val="22"/>
        </w:rPr>
        <w:t xml:space="preserve">:  </w:t>
      </w:r>
      <w:r>
        <w:rPr>
          <w:rFonts w:asciiTheme="minorHAnsi" w:hAnsiTheme="minorHAnsi" w:cstheme="minorHAnsi"/>
          <w:b/>
          <w:iCs/>
          <w:sz w:val="22"/>
          <w:szCs w:val="22"/>
        </w:rPr>
        <w:t xml:space="preserve">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Pr>
          <w:rFonts w:asciiTheme="minorHAnsi" w:hAnsiTheme="minorHAnsi" w:cstheme="minorHAnsi"/>
          <w:b/>
          <w:iCs/>
          <w:sz w:val="22"/>
          <w:szCs w:val="22"/>
        </w:rPr>
        <w:t>3</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od </w:t>
      </w:r>
      <w:r>
        <w:rPr>
          <w:rFonts w:asciiTheme="minorHAnsi" w:hAnsiTheme="minorHAnsi" w:cstheme="minorHAnsi"/>
          <w:iCs/>
          <w:sz w:val="22"/>
          <w:szCs w:val="22"/>
        </w:rPr>
        <w:t>podpisu této smlouvy.</w:t>
      </w:r>
    </w:p>
    <w:p w14:paraId="525C52DD" w14:textId="78C9B42E" w:rsidR="001E5190" w:rsidRPr="00260831" w:rsidRDefault="001E5190" w:rsidP="001E5190">
      <w:pPr>
        <w:widowControl w:val="0"/>
        <w:ind w:left="426"/>
        <w:jc w:val="both"/>
        <w:rPr>
          <w:rFonts w:ascii="Calibri" w:hAnsi="Calibri"/>
          <w:b/>
          <w:iCs/>
          <w:sz w:val="22"/>
          <w:szCs w:val="22"/>
        </w:rPr>
      </w:pPr>
      <w:r>
        <w:rPr>
          <w:rFonts w:ascii="Calibri" w:hAnsi="Calibri"/>
          <w:iCs/>
          <w:sz w:val="22"/>
          <w:szCs w:val="22"/>
        </w:rPr>
        <w:t>I.</w:t>
      </w:r>
      <w:r w:rsidR="00E330DD">
        <w:rPr>
          <w:rFonts w:ascii="Calibri" w:hAnsi="Calibri"/>
          <w:iCs/>
          <w:sz w:val="22"/>
          <w:szCs w:val="22"/>
        </w:rPr>
        <w:t xml:space="preserve"> </w:t>
      </w:r>
      <w:r>
        <w:rPr>
          <w:rFonts w:ascii="Calibri" w:hAnsi="Calibri"/>
          <w:iCs/>
          <w:sz w:val="22"/>
          <w:szCs w:val="22"/>
        </w:rPr>
        <w:t>etapa</w:t>
      </w:r>
      <w:r w:rsidR="00E330DD">
        <w:rPr>
          <w:rFonts w:ascii="Calibri" w:hAnsi="Calibri"/>
          <w:iCs/>
          <w:sz w:val="22"/>
          <w:szCs w:val="22"/>
        </w:rPr>
        <w:t xml:space="preserve"> </w:t>
      </w:r>
      <w:r>
        <w:rPr>
          <w:rFonts w:ascii="Calibri" w:hAnsi="Calibri"/>
          <w:iCs/>
          <w:sz w:val="22"/>
          <w:szCs w:val="22"/>
        </w:rPr>
        <w:t xml:space="preserve"> – </w:t>
      </w:r>
      <w:r w:rsidR="00B37C81">
        <w:rPr>
          <w:rFonts w:ascii="Calibri" w:hAnsi="Calibri"/>
          <w:iCs/>
          <w:sz w:val="22"/>
          <w:szCs w:val="22"/>
        </w:rPr>
        <w:t>g</w:t>
      </w:r>
      <w:r>
        <w:rPr>
          <w:rFonts w:ascii="Calibri" w:hAnsi="Calibri"/>
          <w:iCs/>
          <w:sz w:val="22"/>
          <w:szCs w:val="22"/>
        </w:rPr>
        <w:t>eotechnické posouzení</w:t>
      </w:r>
      <w:r w:rsidR="005D2669">
        <w:rPr>
          <w:rFonts w:ascii="Calibri" w:hAnsi="Calibri"/>
          <w:iCs/>
          <w:sz w:val="22"/>
          <w:szCs w:val="22"/>
        </w:rPr>
        <w:t xml:space="preserve"> –</w:t>
      </w:r>
      <w:r w:rsidR="00E330DD">
        <w:rPr>
          <w:rFonts w:ascii="Calibri" w:hAnsi="Calibri"/>
          <w:iCs/>
          <w:sz w:val="22"/>
          <w:szCs w:val="22"/>
        </w:rPr>
        <w:t xml:space="preserve"> </w:t>
      </w:r>
      <w:r w:rsidR="005D2669" w:rsidRPr="00260831">
        <w:rPr>
          <w:rFonts w:ascii="Calibri" w:hAnsi="Calibri"/>
          <w:iCs/>
          <w:sz w:val="22"/>
          <w:szCs w:val="22"/>
        </w:rPr>
        <w:t xml:space="preserve">do </w:t>
      </w:r>
      <w:r w:rsidR="005D2669" w:rsidRPr="00260831">
        <w:rPr>
          <w:rFonts w:ascii="Calibri" w:hAnsi="Calibri"/>
          <w:b/>
          <w:iCs/>
          <w:sz w:val="22"/>
          <w:szCs w:val="22"/>
        </w:rPr>
        <w:t>15.</w:t>
      </w:r>
      <w:r w:rsidR="00B723AD" w:rsidRPr="00260831">
        <w:rPr>
          <w:rFonts w:ascii="Calibri" w:hAnsi="Calibri"/>
          <w:b/>
          <w:iCs/>
          <w:sz w:val="22"/>
          <w:szCs w:val="22"/>
        </w:rPr>
        <w:t xml:space="preserve"> </w:t>
      </w:r>
      <w:r w:rsidR="005D2669" w:rsidRPr="00260831">
        <w:rPr>
          <w:rFonts w:ascii="Calibri" w:hAnsi="Calibri"/>
          <w:b/>
          <w:iCs/>
          <w:sz w:val="22"/>
          <w:szCs w:val="22"/>
        </w:rPr>
        <w:t>2.</w:t>
      </w:r>
      <w:r w:rsidR="00B723AD" w:rsidRPr="00260831">
        <w:rPr>
          <w:rFonts w:ascii="Calibri" w:hAnsi="Calibri"/>
          <w:b/>
          <w:iCs/>
          <w:sz w:val="22"/>
          <w:szCs w:val="22"/>
        </w:rPr>
        <w:t xml:space="preserve"> </w:t>
      </w:r>
      <w:r w:rsidR="005D2669" w:rsidRPr="00260831">
        <w:rPr>
          <w:rFonts w:ascii="Calibri" w:hAnsi="Calibri"/>
          <w:b/>
          <w:iCs/>
          <w:sz w:val="22"/>
          <w:szCs w:val="22"/>
        </w:rPr>
        <w:t>2021</w:t>
      </w:r>
    </w:p>
    <w:p w14:paraId="58C5284E" w14:textId="034D4D14" w:rsidR="005D2669" w:rsidRPr="00260831" w:rsidRDefault="005D2669" w:rsidP="00E330DD">
      <w:pPr>
        <w:widowControl w:val="0"/>
        <w:ind w:left="426"/>
        <w:jc w:val="both"/>
        <w:rPr>
          <w:rFonts w:ascii="Calibri" w:hAnsi="Calibri"/>
          <w:iCs/>
          <w:sz w:val="22"/>
          <w:szCs w:val="22"/>
        </w:rPr>
      </w:pPr>
      <w:r w:rsidRPr="00260831">
        <w:rPr>
          <w:rFonts w:ascii="Calibri" w:hAnsi="Calibri"/>
          <w:iCs/>
          <w:sz w:val="22"/>
          <w:szCs w:val="22"/>
        </w:rPr>
        <w:t>II.</w:t>
      </w:r>
      <w:r w:rsidR="00E330DD" w:rsidRPr="00260831">
        <w:rPr>
          <w:rFonts w:ascii="Calibri" w:hAnsi="Calibri"/>
          <w:iCs/>
          <w:sz w:val="22"/>
          <w:szCs w:val="22"/>
        </w:rPr>
        <w:t xml:space="preserve"> </w:t>
      </w:r>
      <w:r w:rsidRPr="00260831">
        <w:rPr>
          <w:rFonts w:ascii="Calibri" w:hAnsi="Calibri"/>
          <w:iCs/>
          <w:sz w:val="22"/>
          <w:szCs w:val="22"/>
        </w:rPr>
        <w:t xml:space="preserve">etapa – osazení monitorovacích prvků a odstranění uvolněných kamenů – do </w:t>
      </w:r>
      <w:r w:rsidRPr="00260831">
        <w:rPr>
          <w:rFonts w:ascii="Calibri" w:hAnsi="Calibri"/>
          <w:b/>
          <w:iCs/>
          <w:sz w:val="22"/>
          <w:szCs w:val="22"/>
        </w:rPr>
        <w:t>25.</w:t>
      </w:r>
      <w:r w:rsidR="00B723AD" w:rsidRPr="00260831">
        <w:rPr>
          <w:rFonts w:ascii="Calibri" w:hAnsi="Calibri"/>
          <w:b/>
          <w:iCs/>
          <w:sz w:val="22"/>
          <w:szCs w:val="22"/>
        </w:rPr>
        <w:t xml:space="preserve"> </w:t>
      </w:r>
      <w:r w:rsidRPr="00260831">
        <w:rPr>
          <w:rFonts w:ascii="Calibri" w:hAnsi="Calibri"/>
          <w:b/>
          <w:iCs/>
          <w:sz w:val="22"/>
          <w:szCs w:val="22"/>
        </w:rPr>
        <w:t>4.</w:t>
      </w:r>
      <w:r w:rsidR="00B723AD" w:rsidRPr="00260831">
        <w:rPr>
          <w:rFonts w:ascii="Calibri" w:hAnsi="Calibri"/>
          <w:b/>
          <w:iCs/>
          <w:sz w:val="22"/>
          <w:szCs w:val="22"/>
        </w:rPr>
        <w:t xml:space="preserve"> </w:t>
      </w:r>
      <w:r w:rsidRPr="00260831">
        <w:rPr>
          <w:rFonts w:ascii="Calibri" w:hAnsi="Calibri"/>
          <w:b/>
          <w:iCs/>
          <w:sz w:val="22"/>
          <w:szCs w:val="22"/>
        </w:rPr>
        <w:t>2021</w:t>
      </w:r>
    </w:p>
    <w:p w14:paraId="3C2390E3" w14:textId="454180D8" w:rsidR="005D2669" w:rsidRPr="005D2669" w:rsidRDefault="005D2669" w:rsidP="001E5190">
      <w:pPr>
        <w:widowControl w:val="0"/>
        <w:ind w:left="426"/>
        <w:jc w:val="both"/>
        <w:rPr>
          <w:rFonts w:ascii="Calibri" w:hAnsi="Calibri"/>
          <w:b/>
          <w:iCs/>
          <w:sz w:val="22"/>
          <w:szCs w:val="22"/>
        </w:rPr>
      </w:pPr>
      <w:r w:rsidRPr="00260831">
        <w:rPr>
          <w:rFonts w:ascii="Calibri" w:hAnsi="Calibri"/>
          <w:iCs/>
          <w:sz w:val="22"/>
          <w:szCs w:val="22"/>
        </w:rPr>
        <w:t>III.</w:t>
      </w:r>
      <w:r w:rsidR="00E330DD" w:rsidRPr="00260831">
        <w:rPr>
          <w:rFonts w:ascii="Calibri" w:hAnsi="Calibri"/>
          <w:iCs/>
          <w:sz w:val="22"/>
          <w:szCs w:val="22"/>
        </w:rPr>
        <w:t xml:space="preserve"> </w:t>
      </w:r>
      <w:r w:rsidRPr="00260831">
        <w:rPr>
          <w:rFonts w:ascii="Calibri" w:hAnsi="Calibri"/>
          <w:iCs/>
          <w:sz w:val="22"/>
          <w:szCs w:val="22"/>
        </w:rPr>
        <w:t xml:space="preserve">etapa – monitoring včetně vyhodnocení - od </w:t>
      </w:r>
      <w:r w:rsidRPr="00260831">
        <w:rPr>
          <w:rFonts w:ascii="Calibri" w:hAnsi="Calibri"/>
          <w:b/>
          <w:iCs/>
          <w:sz w:val="22"/>
          <w:szCs w:val="22"/>
        </w:rPr>
        <w:t>1.</w:t>
      </w:r>
      <w:r w:rsidR="00B723AD" w:rsidRPr="00260831">
        <w:rPr>
          <w:rFonts w:ascii="Calibri" w:hAnsi="Calibri"/>
          <w:b/>
          <w:iCs/>
          <w:sz w:val="22"/>
          <w:szCs w:val="22"/>
        </w:rPr>
        <w:t xml:space="preserve"> </w:t>
      </w:r>
      <w:r w:rsidRPr="00260831">
        <w:rPr>
          <w:rFonts w:ascii="Calibri" w:hAnsi="Calibri"/>
          <w:b/>
          <w:iCs/>
          <w:sz w:val="22"/>
          <w:szCs w:val="22"/>
        </w:rPr>
        <w:t>5.</w:t>
      </w:r>
      <w:r w:rsidR="00B723AD" w:rsidRPr="00260831">
        <w:rPr>
          <w:rFonts w:ascii="Calibri" w:hAnsi="Calibri"/>
          <w:b/>
          <w:iCs/>
          <w:sz w:val="22"/>
          <w:szCs w:val="22"/>
        </w:rPr>
        <w:t xml:space="preserve"> </w:t>
      </w:r>
      <w:r w:rsidRPr="00260831">
        <w:rPr>
          <w:rFonts w:ascii="Calibri" w:hAnsi="Calibri"/>
          <w:b/>
          <w:iCs/>
          <w:sz w:val="22"/>
          <w:szCs w:val="22"/>
        </w:rPr>
        <w:t xml:space="preserve">2021 </w:t>
      </w:r>
      <w:r w:rsidRPr="00260831">
        <w:rPr>
          <w:rFonts w:ascii="Calibri" w:hAnsi="Calibri"/>
          <w:iCs/>
          <w:sz w:val="22"/>
          <w:szCs w:val="22"/>
        </w:rPr>
        <w:t>do</w:t>
      </w:r>
      <w:r w:rsidRPr="00260831">
        <w:rPr>
          <w:rFonts w:ascii="Calibri" w:hAnsi="Calibri"/>
          <w:b/>
          <w:iCs/>
          <w:sz w:val="22"/>
          <w:szCs w:val="22"/>
        </w:rPr>
        <w:t xml:space="preserve"> </w:t>
      </w:r>
      <w:r w:rsidR="00260831" w:rsidRPr="00260831">
        <w:rPr>
          <w:rFonts w:ascii="Calibri" w:hAnsi="Calibri"/>
          <w:b/>
          <w:iCs/>
          <w:sz w:val="22"/>
          <w:szCs w:val="22"/>
        </w:rPr>
        <w:t>30</w:t>
      </w:r>
      <w:r w:rsidRPr="00260831">
        <w:rPr>
          <w:rFonts w:ascii="Calibri" w:hAnsi="Calibri"/>
          <w:b/>
          <w:iCs/>
          <w:sz w:val="22"/>
          <w:szCs w:val="22"/>
        </w:rPr>
        <w:t>.</w:t>
      </w:r>
      <w:r w:rsidR="00B723AD" w:rsidRPr="00260831">
        <w:rPr>
          <w:rFonts w:ascii="Calibri" w:hAnsi="Calibri"/>
          <w:b/>
          <w:iCs/>
          <w:sz w:val="22"/>
          <w:szCs w:val="22"/>
        </w:rPr>
        <w:t xml:space="preserve"> </w:t>
      </w:r>
      <w:r w:rsidRPr="00260831">
        <w:rPr>
          <w:rFonts w:ascii="Calibri" w:hAnsi="Calibri"/>
          <w:b/>
          <w:iCs/>
          <w:sz w:val="22"/>
          <w:szCs w:val="22"/>
        </w:rPr>
        <w:t>1</w:t>
      </w:r>
      <w:r w:rsidR="00260831" w:rsidRPr="00260831">
        <w:rPr>
          <w:rFonts w:ascii="Calibri" w:hAnsi="Calibri"/>
          <w:b/>
          <w:iCs/>
          <w:sz w:val="22"/>
          <w:szCs w:val="22"/>
        </w:rPr>
        <w:t>1</w:t>
      </w:r>
      <w:r w:rsidRPr="00260831">
        <w:rPr>
          <w:rFonts w:ascii="Calibri" w:hAnsi="Calibri"/>
          <w:b/>
          <w:iCs/>
          <w:sz w:val="22"/>
          <w:szCs w:val="22"/>
        </w:rPr>
        <w:t>.</w:t>
      </w:r>
      <w:r w:rsidR="00B723AD" w:rsidRPr="00260831">
        <w:rPr>
          <w:rFonts w:ascii="Calibri" w:hAnsi="Calibri"/>
          <w:b/>
          <w:iCs/>
          <w:sz w:val="22"/>
          <w:szCs w:val="22"/>
        </w:rPr>
        <w:t xml:space="preserve"> </w:t>
      </w:r>
      <w:r w:rsidRPr="00260831">
        <w:rPr>
          <w:rFonts w:ascii="Calibri" w:hAnsi="Calibri"/>
          <w:b/>
          <w:iCs/>
          <w:sz w:val="22"/>
          <w:szCs w:val="22"/>
        </w:rPr>
        <w:t>2021.</w:t>
      </w:r>
    </w:p>
    <w:p w14:paraId="057B3896" w14:textId="60309189" w:rsidR="001E5190" w:rsidRPr="00B37C81" w:rsidRDefault="00E950E8" w:rsidP="00E330DD">
      <w:pPr>
        <w:pStyle w:val="Odstavecseseznamem"/>
        <w:widowControl w:val="0"/>
        <w:spacing w:before="120"/>
        <w:ind w:left="425"/>
        <w:contextualSpacing w:val="0"/>
        <w:jc w:val="both"/>
        <w:rPr>
          <w:rFonts w:asciiTheme="minorHAnsi" w:hAnsiTheme="minorHAnsi" w:cstheme="minorHAnsi"/>
          <w:iCs/>
          <w:sz w:val="22"/>
          <w:szCs w:val="22"/>
        </w:rPr>
      </w:pPr>
      <w:r w:rsidRPr="00733361">
        <w:rPr>
          <w:rFonts w:ascii="Calibri" w:hAnsi="Calibri"/>
          <w:sz w:val="22"/>
          <w:szCs w:val="22"/>
          <w:lang w:eastAsia="en-US"/>
        </w:rPr>
        <w:t>Termínem provedení</w:t>
      </w:r>
      <w:r w:rsidR="00B37C81">
        <w:rPr>
          <w:rFonts w:ascii="Calibri" w:hAnsi="Calibri"/>
          <w:sz w:val="22"/>
          <w:szCs w:val="22"/>
          <w:lang w:eastAsia="en-US"/>
        </w:rPr>
        <w:t xml:space="preserve"> jednotlivé etapy</w:t>
      </w:r>
      <w:r w:rsidRPr="00733361">
        <w:rPr>
          <w:rFonts w:ascii="Calibri" w:hAnsi="Calibri"/>
          <w:sz w:val="22"/>
          <w:szCs w:val="22"/>
          <w:lang w:eastAsia="en-US"/>
        </w:rPr>
        <w:t xml:space="preserve"> díla se rozumí </w:t>
      </w:r>
      <w:r w:rsidRPr="00733361">
        <w:rPr>
          <w:rFonts w:ascii="Calibri" w:hAnsi="Calibri"/>
          <w:b/>
          <w:sz w:val="22"/>
          <w:szCs w:val="22"/>
          <w:lang w:eastAsia="en-US"/>
        </w:rPr>
        <w:t xml:space="preserve">předání </w:t>
      </w:r>
      <w:r w:rsidR="00B37C81">
        <w:rPr>
          <w:rFonts w:ascii="Calibri" w:hAnsi="Calibri"/>
          <w:b/>
          <w:sz w:val="22"/>
          <w:szCs w:val="22"/>
          <w:lang w:eastAsia="en-US"/>
        </w:rPr>
        <w:t>etapy díla</w:t>
      </w:r>
      <w:r w:rsidRPr="00733361">
        <w:rPr>
          <w:rFonts w:ascii="Calibri" w:hAnsi="Calibri"/>
          <w:b/>
          <w:sz w:val="22"/>
          <w:szCs w:val="22"/>
          <w:lang w:eastAsia="en-US"/>
        </w:rPr>
        <w:t xml:space="preserve"> bez vad a nedodělků</w:t>
      </w:r>
      <w:r w:rsidRPr="00027D98">
        <w:rPr>
          <w:rFonts w:ascii="Calibri" w:hAnsi="Calibri"/>
          <w:sz w:val="22"/>
          <w:szCs w:val="22"/>
          <w:lang w:eastAsia="en-US"/>
        </w:rPr>
        <w:t>.</w:t>
      </w:r>
      <w:r w:rsidRPr="00027D98">
        <w:rPr>
          <w:rFonts w:ascii="Calibri" w:hAnsi="Calibri" w:cs="Calibri"/>
          <w:sz w:val="22"/>
          <w:szCs w:val="22"/>
        </w:rPr>
        <w:t xml:space="preserve"> </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0CEF3E96" w14:textId="6D4650E6" w:rsidR="00C8143B" w:rsidRPr="00C8143B" w:rsidRDefault="004B1A9F" w:rsidP="008C0B7A">
      <w:pPr>
        <w:pStyle w:val="Odstavecseseznamem"/>
        <w:numPr>
          <w:ilvl w:val="0"/>
          <w:numId w:val="22"/>
        </w:numPr>
        <w:ind w:left="426" w:hanging="426"/>
        <w:jc w:val="both"/>
        <w:rPr>
          <w:rFonts w:ascii="Calibri" w:hAnsi="Calibri" w:cs="Calibri"/>
          <w:bCs/>
          <w:sz w:val="22"/>
          <w:szCs w:val="22"/>
        </w:rPr>
      </w:pPr>
      <w:r w:rsidRPr="00C8143B">
        <w:rPr>
          <w:rFonts w:asciiTheme="minorHAnsi" w:eastAsia="Calibri" w:hAnsiTheme="minorHAnsi" w:cstheme="minorHAnsi"/>
          <w:sz w:val="22"/>
          <w:szCs w:val="22"/>
        </w:rPr>
        <w:t>Místem plnění zakázky</w:t>
      </w:r>
      <w:r w:rsidR="000431B5">
        <w:rPr>
          <w:rFonts w:asciiTheme="minorHAnsi" w:eastAsia="Calibri" w:hAnsiTheme="minorHAnsi" w:cstheme="minorHAnsi"/>
          <w:sz w:val="22"/>
          <w:szCs w:val="22"/>
        </w:rPr>
        <w:t xml:space="preserve"> j</w:t>
      </w:r>
      <w:r w:rsidR="0004587D">
        <w:rPr>
          <w:rFonts w:asciiTheme="minorHAnsi" w:eastAsia="Calibri" w:hAnsiTheme="minorHAnsi" w:cstheme="minorHAnsi"/>
          <w:sz w:val="22"/>
          <w:szCs w:val="22"/>
        </w:rPr>
        <w:t xml:space="preserve">e </w:t>
      </w:r>
      <w:r w:rsidR="00D432E8">
        <w:rPr>
          <w:rFonts w:asciiTheme="minorHAnsi" w:eastAsia="Calibri" w:hAnsiTheme="minorHAnsi" w:cstheme="minorHAnsi"/>
          <w:sz w:val="22"/>
          <w:szCs w:val="22"/>
        </w:rPr>
        <w:t>areál</w:t>
      </w:r>
      <w:r w:rsidR="00B37C81">
        <w:rPr>
          <w:rFonts w:asciiTheme="minorHAnsi" w:eastAsia="Calibri" w:hAnsiTheme="minorHAnsi" w:cstheme="minorHAnsi"/>
          <w:sz w:val="22"/>
          <w:szCs w:val="22"/>
        </w:rPr>
        <w:t xml:space="preserve"> zříceniny hradu Cornštejna</w:t>
      </w:r>
      <w:r w:rsidR="00E330DD">
        <w:rPr>
          <w:rFonts w:asciiTheme="minorHAnsi" w:eastAsia="Calibri" w:hAnsiTheme="minorHAnsi" w:cstheme="minorHAnsi"/>
          <w:sz w:val="22"/>
          <w:szCs w:val="22"/>
        </w:rPr>
        <w:t xml:space="preserve">, </w:t>
      </w:r>
      <w:r w:rsidR="00E330DD">
        <w:rPr>
          <w:rFonts w:asciiTheme="minorHAnsi" w:hAnsiTheme="minorHAnsi"/>
          <w:sz w:val="22"/>
          <w:szCs w:val="22"/>
        </w:rPr>
        <w:t>par.</w:t>
      </w:r>
      <w:r w:rsidR="00E330DD" w:rsidRPr="000822E9">
        <w:rPr>
          <w:rFonts w:asciiTheme="minorHAnsi" w:hAnsiTheme="minorHAnsi"/>
          <w:sz w:val="22"/>
          <w:szCs w:val="22"/>
        </w:rPr>
        <w:t xml:space="preserve"> č. 6</w:t>
      </w:r>
      <w:r w:rsidR="00E330DD">
        <w:rPr>
          <w:rFonts w:asciiTheme="minorHAnsi" w:hAnsiTheme="minorHAnsi"/>
          <w:sz w:val="22"/>
          <w:szCs w:val="22"/>
        </w:rPr>
        <w:t>8,</w:t>
      </w:r>
      <w:r w:rsidR="00E330DD" w:rsidRPr="000822E9">
        <w:rPr>
          <w:rFonts w:asciiTheme="minorHAnsi" w:hAnsiTheme="minorHAnsi"/>
          <w:sz w:val="22"/>
          <w:szCs w:val="22"/>
        </w:rPr>
        <w:t xml:space="preserve"> v k. ú. </w:t>
      </w:r>
      <w:r w:rsidR="00E330DD">
        <w:rPr>
          <w:rFonts w:asciiTheme="minorHAnsi" w:hAnsiTheme="minorHAnsi"/>
          <w:sz w:val="22"/>
          <w:szCs w:val="22"/>
        </w:rPr>
        <w:t>Bítov</w:t>
      </w:r>
      <w:r w:rsidR="00D432E8">
        <w:rPr>
          <w:rFonts w:asciiTheme="minorHAnsi" w:hAnsiTheme="minorHAnsi"/>
          <w:sz w:val="22"/>
          <w:szCs w:val="22"/>
        </w:rPr>
        <w:t>.</w:t>
      </w:r>
    </w:p>
    <w:p w14:paraId="0348620C" w14:textId="0E2DD82C" w:rsidR="00C8707B" w:rsidRPr="00C8707B" w:rsidRDefault="008E7C1F" w:rsidP="00C8707B">
      <w:pPr>
        <w:pStyle w:val="Odstavecseseznamem"/>
        <w:numPr>
          <w:ilvl w:val="0"/>
          <w:numId w:val="8"/>
        </w:numPr>
        <w:spacing w:before="240" w:after="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209EB926" w14:textId="3578D17B" w:rsidR="00D432E8" w:rsidRPr="00D432E8" w:rsidRDefault="00D432E8" w:rsidP="00D432E8">
      <w:pPr>
        <w:pStyle w:val="Odstavecseseznamem"/>
        <w:numPr>
          <w:ilvl w:val="0"/>
          <w:numId w:val="24"/>
        </w:numPr>
        <w:spacing w:before="60"/>
        <w:ind w:left="567" w:hanging="567"/>
        <w:jc w:val="both"/>
        <w:rPr>
          <w:rFonts w:ascii="Calibri" w:hAnsi="Calibri" w:cs="Calibri"/>
          <w:sz w:val="22"/>
          <w:szCs w:val="22"/>
        </w:rPr>
      </w:pPr>
      <w:r w:rsidRPr="00D432E8">
        <w:rPr>
          <w:rFonts w:ascii="Calibri" w:hAnsi="Calibri" w:cs="Calibri"/>
          <w:b/>
          <w:sz w:val="22"/>
          <w:szCs w:val="22"/>
        </w:rPr>
        <w:t>Celková cena díla</w:t>
      </w:r>
      <w:r w:rsidRPr="00D432E8">
        <w:rPr>
          <w:rFonts w:ascii="Calibri" w:hAnsi="Calibri" w:cs="Calibri"/>
          <w:sz w:val="22"/>
          <w:szCs w:val="22"/>
        </w:rPr>
        <w:t xml:space="preserve"> je sjednána na částku </w:t>
      </w:r>
      <w:r w:rsidRPr="00D432E8">
        <w:rPr>
          <w:rFonts w:ascii="Calibri" w:hAnsi="Calibri" w:cs="Calibri"/>
          <w:b/>
          <w:sz w:val="22"/>
          <w:szCs w:val="22"/>
        </w:rPr>
        <w:t>120 526,-</w:t>
      </w:r>
      <w:r>
        <w:rPr>
          <w:rFonts w:ascii="Calibri" w:hAnsi="Calibri" w:cs="Calibri"/>
          <w:b/>
          <w:sz w:val="22"/>
          <w:szCs w:val="22"/>
        </w:rPr>
        <w:t xml:space="preserve"> </w:t>
      </w:r>
      <w:r w:rsidRPr="00D432E8">
        <w:rPr>
          <w:rFonts w:ascii="Calibri" w:hAnsi="Calibri" w:cs="Calibri"/>
          <w:b/>
          <w:sz w:val="22"/>
          <w:szCs w:val="22"/>
        </w:rPr>
        <w:t>Kč</w:t>
      </w:r>
      <w:r w:rsidRPr="00D432E8">
        <w:rPr>
          <w:rFonts w:ascii="Calibri" w:hAnsi="Calibri" w:cs="Calibri"/>
          <w:sz w:val="22"/>
          <w:szCs w:val="22"/>
        </w:rPr>
        <w:t xml:space="preserve"> včetně DPH, přičemž </w:t>
      </w:r>
    </w:p>
    <w:p w14:paraId="0431A646" w14:textId="4D8543BC" w:rsidR="00D432E8" w:rsidRPr="00D432E8" w:rsidRDefault="00D432E8" w:rsidP="00D432E8">
      <w:pPr>
        <w:jc w:val="both"/>
        <w:rPr>
          <w:rFonts w:ascii="Calibri" w:hAnsi="Calibri" w:cs="Calibri"/>
          <w:sz w:val="22"/>
          <w:szCs w:val="22"/>
        </w:rPr>
      </w:pPr>
      <w:r>
        <w:rPr>
          <w:rFonts w:ascii="Calibri" w:hAnsi="Calibri" w:cs="Calibri"/>
          <w:sz w:val="22"/>
          <w:szCs w:val="22"/>
        </w:rPr>
        <w:t xml:space="preserve">            </w:t>
      </w:r>
      <w:r w:rsidRPr="00D432E8">
        <w:rPr>
          <w:rFonts w:ascii="Calibri" w:hAnsi="Calibri" w:cs="Calibri"/>
          <w:sz w:val="22"/>
          <w:szCs w:val="22"/>
        </w:rPr>
        <w:t xml:space="preserve">cena bez DPH činí      99 608,-Kč, </w:t>
      </w:r>
    </w:p>
    <w:p w14:paraId="7FC47922" w14:textId="5E466DCE" w:rsidR="00D432E8" w:rsidRPr="00D432E8" w:rsidRDefault="00D432E8" w:rsidP="00D432E8">
      <w:pPr>
        <w:jc w:val="both"/>
        <w:rPr>
          <w:rFonts w:ascii="Calibri" w:hAnsi="Calibri" w:cs="Calibri"/>
          <w:sz w:val="22"/>
          <w:szCs w:val="22"/>
        </w:rPr>
      </w:pPr>
      <w:r>
        <w:rPr>
          <w:rFonts w:ascii="Calibri" w:hAnsi="Calibri" w:cs="Calibri"/>
          <w:sz w:val="22"/>
          <w:szCs w:val="22"/>
        </w:rPr>
        <w:t xml:space="preserve">            </w:t>
      </w:r>
      <w:r w:rsidRPr="00D432E8">
        <w:rPr>
          <w:rFonts w:ascii="Calibri" w:hAnsi="Calibri" w:cs="Calibri"/>
          <w:sz w:val="22"/>
          <w:szCs w:val="22"/>
        </w:rPr>
        <w:t>výše DPH činí              20 918,-Kč,</w:t>
      </w:r>
    </w:p>
    <w:p w14:paraId="2F6805EA" w14:textId="4F29ACDC" w:rsidR="00D432E8" w:rsidRPr="00D432E8" w:rsidRDefault="00D432E8" w:rsidP="00D432E8">
      <w:pPr>
        <w:jc w:val="both"/>
        <w:rPr>
          <w:rFonts w:ascii="Calibri" w:hAnsi="Calibri" w:cs="Calibri"/>
          <w:sz w:val="22"/>
          <w:szCs w:val="22"/>
        </w:rPr>
      </w:pPr>
      <w:r>
        <w:rPr>
          <w:rFonts w:ascii="Calibri" w:hAnsi="Calibri" w:cs="Calibri"/>
          <w:sz w:val="22"/>
          <w:szCs w:val="22"/>
        </w:rPr>
        <w:t xml:space="preserve">            </w:t>
      </w:r>
      <w:r w:rsidRPr="00D432E8">
        <w:rPr>
          <w:rFonts w:ascii="Calibri" w:hAnsi="Calibri" w:cs="Calibri"/>
          <w:sz w:val="22"/>
          <w:szCs w:val="22"/>
        </w:rPr>
        <w:t xml:space="preserve">sazba DPH       </w:t>
      </w:r>
      <w:r>
        <w:rPr>
          <w:rFonts w:ascii="Calibri" w:hAnsi="Calibri" w:cs="Calibri"/>
          <w:sz w:val="22"/>
          <w:szCs w:val="22"/>
        </w:rPr>
        <w:t xml:space="preserve">     </w:t>
      </w:r>
      <w:r w:rsidRPr="00D432E8">
        <w:rPr>
          <w:rFonts w:ascii="Calibri" w:hAnsi="Calibri" w:cs="Calibri"/>
          <w:sz w:val="22"/>
          <w:szCs w:val="22"/>
        </w:rPr>
        <w:t xml:space="preserve">        21 %.</w:t>
      </w:r>
    </w:p>
    <w:p w14:paraId="47059DC3" w14:textId="77777777" w:rsidR="00D432E8" w:rsidRDefault="00D432E8" w:rsidP="00D432E8">
      <w:pPr>
        <w:pStyle w:val="Odstavecseseznamem"/>
        <w:spacing w:before="60"/>
        <w:ind w:left="567"/>
        <w:jc w:val="both"/>
        <w:rPr>
          <w:rFonts w:ascii="Calibri" w:hAnsi="Calibri" w:cs="Calibri"/>
          <w:sz w:val="22"/>
          <w:szCs w:val="22"/>
        </w:rPr>
      </w:pPr>
    </w:p>
    <w:p w14:paraId="005BD1ED" w14:textId="76B80191" w:rsidR="00D432E8" w:rsidRDefault="00D432E8" w:rsidP="00C8707B">
      <w:pPr>
        <w:pStyle w:val="Odstavecseseznamem"/>
        <w:numPr>
          <w:ilvl w:val="0"/>
          <w:numId w:val="24"/>
        </w:numPr>
        <w:spacing w:before="60"/>
        <w:ind w:left="567" w:hanging="567"/>
        <w:jc w:val="both"/>
        <w:rPr>
          <w:rFonts w:ascii="Calibri" w:hAnsi="Calibri" w:cs="Calibri"/>
          <w:sz w:val="22"/>
          <w:szCs w:val="22"/>
        </w:rPr>
      </w:pPr>
      <w:r>
        <w:rPr>
          <w:rFonts w:ascii="Calibri" w:hAnsi="Calibri" w:cs="Calibri"/>
          <w:sz w:val="22"/>
          <w:szCs w:val="22"/>
        </w:rPr>
        <w:t>Cena díla za jednotlivé etapy činí:</w:t>
      </w:r>
    </w:p>
    <w:p w14:paraId="27EFD218" w14:textId="1C67BCB1" w:rsidR="00C8707B" w:rsidRPr="00C8707B" w:rsidRDefault="00C8707B" w:rsidP="00D432E8">
      <w:pPr>
        <w:pStyle w:val="Odstavecseseznamem"/>
        <w:spacing w:before="60"/>
        <w:ind w:left="567"/>
        <w:jc w:val="both"/>
        <w:rPr>
          <w:rFonts w:ascii="Calibri" w:hAnsi="Calibri" w:cs="Calibri"/>
          <w:sz w:val="22"/>
          <w:szCs w:val="22"/>
        </w:rPr>
      </w:pPr>
      <w:r>
        <w:rPr>
          <w:rFonts w:ascii="Calibri" w:hAnsi="Calibri" w:cs="Calibri"/>
          <w:sz w:val="22"/>
          <w:szCs w:val="22"/>
        </w:rPr>
        <w:t>I.</w:t>
      </w:r>
      <w:r w:rsidR="00D432E8">
        <w:rPr>
          <w:rFonts w:ascii="Calibri" w:hAnsi="Calibri" w:cs="Calibri"/>
          <w:sz w:val="22"/>
          <w:szCs w:val="22"/>
        </w:rPr>
        <w:t xml:space="preserve"> </w:t>
      </w:r>
      <w:r>
        <w:rPr>
          <w:rFonts w:ascii="Calibri" w:hAnsi="Calibri" w:cs="Calibri"/>
          <w:sz w:val="22"/>
          <w:szCs w:val="22"/>
        </w:rPr>
        <w:t xml:space="preserve">etapa  - </w:t>
      </w:r>
      <w:r w:rsidRPr="00C8707B">
        <w:rPr>
          <w:rFonts w:ascii="Calibri" w:hAnsi="Calibri" w:cs="Calibri"/>
          <w:b/>
          <w:sz w:val="22"/>
          <w:szCs w:val="22"/>
        </w:rPr>
        <w:t>29 055,-Kč</w:t>
      </w:r>
      <w:r>
        <w:rPr>
          <w:rFonts w:ascii="Calibri" w:hAnsi="Calibri" w:cs="Calibri"/>
          <w:sz w:val="22"/>
          <w:szCs w:val="22"/>
        </w:rPr>
        <w:t xml:space="preserve"> </w:t>
      </w:r>
      <w:r w:rsidRPr="00C8707B">
        <w:rPr>
          <w:rFonts w:ascii="Calibri" w:hAnsi="Calibri" w:cs="Calibri"/>
          <w:sz w:val="22"/>
          <w:szCs w:val="22"/>
        </w:rPr>
        <w:t xml:space="preserve">včetně DPH, přičemž </w:t>
      </w:r>
    </w:p>
    <w:p w14:paraId="365B9D3D" w14:textId="709F69AC" w:rsidR="00C8707B" w:rsidRPr="00C8707B" w:rsidRDefault="00C8707B" w:rsidP="00C8707B">
      <w:pPr>
        <w:ind w:left="360"/>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cena bez DPH činí      </w:t>
      </w:r>
      <w:r>
        <w:rPr>
          <w:rFonts w:ascii="Calibri" w:hAnsi="Calibri" w:cs="Calibri"/>
          <w:sz w:val="22"/>
          <w:szCs w:val="22"/>
        </w:rPr>
        <w:t>24 012,-</w:t>
      </w:r>
      <w:r w:rsidRPr="00C8707B">
        <w:rPr>
          <w:rFonts w:ascii="Calibri" w:hAnsi="Calibri" w:cs="Calibri"/>
          <w:sz w:val="22"/>
          <w:szCs w:val="22"/>
        </w:rPr>
        <w:t xml:space="preserve">Kč, </w:t>
      </w:r>
    </w:p>
    <w:p w14:paraId="73AC01AD" w14:textId="11818B6A" w:rsidR="00C8707B" w:rsidRPr="00C8707B" w:rsidRDefault="00C8707B" w:rsidP="00C8707B">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výše DPH činí               </w:t>
      </w:r>
      <w:r>
        <w:rPr>
          <w:rFonts w:ascii="Calibri" w:hAnsi="Calibri" w:cs="Calibri"/>
          <w:sz w:val="22"/>
          <w:szCs w:val="22"/>
        </w:rPr>
        <w:t>5 043</w:t>
      </w:r>
      <w:r w:rsidRPr="00C8707B">
        <w:rPr>
          <w:rFonts w:ascii="Calibri" w:hAnsi="Calibri" w:cs="Calibri"/>
          <w:sz w:val="22"/>
          <w:szCs w:val="22"/>
        </w:rPr>
        <w:t>,-Kč,</w:t>
      </w:r>
    </w:p>
    <w:p w14:paraId="28C945DB" w14:textId="64E6407F" w:rsidR="00C8707B" w:rsidRPr="00C8707B" w:rsidRDefault="00C8707B" w:rsidP="00C8707B">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sazba DPH               21 %.</w:t>
      </w:r>
    </w:p>
    <w:p w14:paraId="116F6509" w14:textId="52F9A8DA" w:rsidR="00C8707B" w:rsidRPr="00C8707B" w:rsidRDefault="00C8707B" w:rsidP="00C8707B">
      <w:pPr>
        <w:spacing w:before="60"/>
        <w:ind w:left="360"/>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I</w:t>
      </w:r>
      <w:r>
        <w:rPr>
          <w:rFonts w:ascii="Calibri" w:hAnsi="Calibri" w:cs="Calibri"/>
          <w:sz w:val="22"/>
          <w:szCs w:val="22"/>
        </w:rPr>
        <w:t>I</w:t>
      </w:r>
      <w:r w:rsidRPr="00C8707B">
        <w:rPr>
          <w:rFonts w:ascii="Calibri" w:hAnsi="Calibri" w:cs="Calibri"/>
          <w:sz w:val="22"/>
          <w:szCs w:val="22"/>
        </w:rPr>
        <w:t>.</w:t>
      </w:r>
      <w:r w:rsidR="00B723AD">
        <w:rPr>
          <w:rFonts w:ascii="Calibri" w:hAnsi="Calibri" w:cs="Calibri"/>
          <w:sz w:val="22"/>
          <w:szCs w:val="22"/>
        </w:rPr>
        <w:t xml:space="preserve"> </w:t>
      </w:r>
      <w:r w:rsidRPr="00C8707B">
        <w:rPr>
          <w:rFonts w:ascii="Calibri" w:hAnsi="Calibri" w:cs="Calibri"/>
          <w:sz w:val="22"/>
          <w:szCs w:val="22"/>
        </w:rPr>
        <w:t xml:space="preserve">etapa  - </w:t>
      </w:r>
      <w:r>
        <w:rPr>
          <w:rFonts w:ascii="Calibri" w:hAnsi="Calibri" w:cs="Calibri"/>
          <w:b/>
          <w:sz w:val="22"/>
          <w:szCs w:val="22"/>
        </w:rPr>
        <w:t>44 194</w:t>
      </w:r>
      <w:r w:rsidRPr="00C8707B">
        <w:rPr>
          <w:rFonts w:ascii="Calibri" w:hAnsi="Calibri" w:cs="Calibri"/>
          <w:b/>
          <w:sz w:val="22"/>
          <w:szCs w:val="22"/>
        </w:rPr>
        <w:t>,-Kč</w:t>
      </w:r>
      <w:r>
        <w:rPr>
          <w:rFonts w:ascii="Calibri" w:hAnsi="Calibri" w:cs="Calibri"/>
          <w:sz w:val="22"/>
          <w:szCs w:val="22"/>
        </w:rPr>
        <w:t xml:space="preserve"> </w:t>
      </w:r>
      <w:r w:rsidRPr="00C8707B">
        <w:rPr>
          <w:rFonts w:ascii="Calibri" w:hAnsi="Calibri" w:cs="Calibri"/>
          <w:sz w:val="22"/>
          <w:szCs w:val="22"/>
        </w:rPr>
        <w:t xml:space="preserve">včetně DPH, přičemž </w:t>
      </w:r>
    </w:p>
    <w:p w14:paraId="7983B25A" w14:textId="285ECC4D" w:rsidR="00C8707B" w:rsidRPr="00C8707B" w:rsidRDefault="00C8707B" w:rsidP="00C8707B">
      <w:pPr>
        <w:ind w:left="360"/>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cena bez DPH činí      </w:t>
      </w:r>
      <w:r>
        <w:rPr>
          <w:rFonts w:ascii="Calibri" w:hAnsi="Calibri" w:cs="Calibri"/>
          <w:sz w:val="22"/>
          <w:szCs w:val="22"/>
        </w:rPr>
        <w:t>36 524,-</w:t>
      </w:r>
      <w:r w:rsidRPr="00C8707B">
        <w:rPr>
          <w:rFonts w:ascii="Calibri" w:hAnsi="Calibri" w:cs="Calibri"/>
          <w:sz w:val="22"/>
          <w:szCs w:val="22"/>
        </w:rPr>
        <w:t xml:space="preserve">Kč, </w:t>
      </w:r>
    </w:p>
    <w:p w14:paraId="4C5E2DB7" w14:textId="1541CF0F" w:rsidR="00C8707B" w:rsidRPr="00C8707B" w:rsidRDefault="00C8707B" w:rsidP="00C8707B">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výše DPH činí               </w:t>
      </w:r>
      <w:r>
        <w:rPr>
          <w:rFonts w:ascii="Calibri" w:hAnsi="Calibri" w:cs="Calibri"/>
          <w:sz w:val="22"/>
          <w:szCs w:val="22"/>
        </w:rPr>
        <w:t>7 670</w:t>
      </w:r>
      <w:r w:rsidRPr="00C8707B">
        <w:rPr>
          <w:rFonts w:ascii="Calibri" w:hAnsi="Calibri" w:cs="Calibri"/>
          <w:sz w:val="22"/>
          <w:szCs w:val="22"/>
        </w:rPr>
        <w:t>,-Kč,</w:t>
      </w:r>
    </w:p>
    <w:p w14:paraId="540CAB9B" w14:textId="77777777" w:rsidR="00C8707B" w:rsidRPr="00C8707B" w:rsidRDefault="00C8707B" w:rsidP="00C8707B">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sazba DPH               21 %.</w:t>
      </w:r>
    </w:p>
    <w:p w14:paraId="0487C275" w14:textId="5A9EF43C" w:rsidR="00C8707B" w:rsidRPr="00C8707B" w:rsidRDefault="00C8707B" w:rsidP="00C8707B">
      <w:pPr>
        <w:spacing w:before="60"/>
        <w:ind w:left="360"/>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I</w:t>
      </w:r>
      <w:r>
        <w:rPr>
          <w:rFonts w:ascii="Calibri" w:hAnsi="Calibri" w:cs="Calibri"/>
          <w:sz w:val="22"/>
          <w:szCs w:val="22"/>
        </w:rPr>
        <w:t>II</w:t>
      </w:r>
      <w:r w:rsidRPr="00C8707B">
        <w:rPr>
          <w:rFonts w:ascii="Calibri" w:hAnsi="Calibri" w:cs="Calibri"/>
          <w:sz w:val="22"/>
          <w:szCs w:val="22"/>
        </w:rPr>
        <w:t>.</w:t>
      </w:r>
      <w:r w:rsidR="00B723AD">
        <w:rPr>
          <w:rFonts w:ascii="Calibri" w:hAnsi="Calibri" w:cs="Calibri"/>
          <w:sz w:val="22"/>
          <w:szCs w:val="22"/>
        </w:rPr>
        <w:t xml:space="preserve"> </w:t>
      </w:r>
      <w:r w:rsidRPr="00C8707B">
        <w:rPr>
          <w:rFonts w:ascii="Calibri" w:hAnsi="Calibri" w:cs="Calibri"/>
          <w:sz w:val="22"/>
          <w:szCs w:val="22"/>
        </w:rPr>
        <w:t xml:space="preserve">etapa  - </w:t>
      </w:r>
      <w:r>
        <w:rPr>
          <w:rFonts w:ascii="Calibri" w:hAnsi="Calibri" w:cs="Calibri"/>
          <w:b/>
          <w:sz w:val="22"/>
          <w:szCs w:val="22"/>
        </w:rPr>
        <w:t>47 277</w:t>
      </w:r>
      <w:r w:rsidRPr="00C8707B">
        <w:rPr>
          <w:rFonts w:ascii="Calibri" w:hAnsi="Calibri" w:cs="Calibri"/>
          <w:b/>
          <w:sz w:val="22"/>
          <w:szCs w:val="22"/>
        </w:rPr>
        <w:t>,-Kč</w:t>
      </w:r>
      <w:r>
        <w:rPr>
          <w:rFonts w:ascii="Calibri" w:hAnsi="Calibri" w:cs="Calibri"/>
          <w:sz w:val="22"/>
          <w:szCs w:val="22"/>
        </w:rPr>
        <w:t xml:space="preserve"> </w:t>
      </w:r>
      <w:r w:rsidRPr="00C8707B">
        <w:rPr>
          <w:rFonts w:ascii="Calibri" w:hAnsi="Calibri" w:cs="Calibri"/>
          <w:sz w:val="22"/>
          <w:szCs w:val="22"/>
        </w:rPr>
        <w:t xml:space="preserve">včetně DPH, přičemž </w:t>
      </w:r>
    </w:p>
    <w:p w14:paraId="673BA2CC" w14:textId="69353CDF" w:rsidR="00C8707B" w:rsidRPr="00C8707B" w:rsidRDefault="00C8707B" w:rsidP="00C8707B">
      <w:pPr>
        <w:ind w:left="360"/>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cena bez DPH činí      </w:t>
      </w:r>
      <w:r>
        <w:rPr>
          <w:rFonts w:ascii="Calibri" w:hAnsi="Calibri" w:cs="Calibri"/>
          <w:sz w:val="22"/>
          <w:szCs w:val="22"/>
        </w:rPr>
        <w:t>39 072,-</w:t>
      </w:r>
      <w:r w:rsidRPr="00C8707B">
        <w:rPr>
          <w:rFonts w:ascii="Calibri" w:hAnsi="Calibri" w:cs="Calibri"/>
          <w:sz w:val="22"/>
          <w:szCs w:val="22"/>
        </w:rPr>
        <w:t xml:space="preserve">Kč, </w:t>
      </w:r>
    </w:p>
    <w:p w14:paraId="75E150F6" w14:textId="1F44A325" w:rsidR="00C8707B" w:rsidRPr="00C8707B" w:rsidRDefault="00C8707B" w:rsidP="00C8707B">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 xml:space="preserve">výše DPH činí               </w:t>
      </w:r>
      <w:r>
        <w:rPr>
          <w:rFonts w:ascii="Calibri" w:hAnsi="Calibri" w:cs="Calibri"/>
          <w:sz w:val="22"/>
          <w:szCs w:val="22"/>
        </w:rPr>
        <w:t>8 205</w:t>
      </w:r>
      <w:r w:rsidRPr="00C8707B">
        <w:rPr>
          <w:rFonts w:ascii="Calibri" w:hAnsi="Calibri" w:cs="Calibri"/>
          <w:sz w:val="22"/>
          <w:szCs w:val="22"/>
        </w:rPr>
        <w:t>,-Kč,</w:t>
      </w:r>
    </w:p>
    <w:p w14:paraId="4E90EC85" w14:textId="1EA1C178" w:rsidR="00C8707B" w:rsidRPr="00AB4420" w:rsidRDefault="00C8707B" w:rsidP="00B723AD">
      <w:pPr>
        <w:jc w:val="both"/>
        <w:rPr>
          <w:rFonts w:ascii="Calibri" w:hAnsi="Calibri" w:cs="Calibri"/>
          <w:sz w:val="22"/>
          <w:szCs w:val="22"/>
        </w:rPr>
      </w:pPr>
      <w:r>
        <w:rPr>
          <w:rFonts w:ascii="Calibri" w:hAnsi="Calibri" w:cs="Calibri"/>
          <w:sz w:val="22"/>
          <w:szCs w:val="22"/>
        </w:rPr>
        <w:t xml:space="preserve">           </w:t>
      </w:r>
      <w:r w:rsidRPr="00C8707B">
        <w:rPr>
          <w:rFonts w:ascii="Calibri" w:hAnsi="Calibri" w:cs="Calibri"/>
          <w:sz w:val="22"/>
          <w:szCs w:val="22"/>
        </w:rPr>
        <w:t>sazba DPH               21 %.</w:t>
      </w:r>
      <w:r>
        <w:rPr>
          <w:rFonts w:ascii="Calibri" w:hAnsi="Calibri" w:cs="Calibri"/>
          <w:sz w:val="22"/>
          <w:szCs w:val="22"/>
        </w:rPr>
        <w:t xml:space="preserve">          </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5D4A8AE9" w14:textId="34B5F6F3" w:rsidR="00C8707B" w:rsidRPr="00C8707B" w:rsidRDefault="00AB4420" w:rsidP="00807780">
      <w:pPr>
        <w:numPr>
          <w:ilvl w:val="0"/>
          <w:numId w:val="24"/>
        </w:numPr>
        <w:spacing w:before="60"/>
        <w:ind w:left="567" w:hanging="567"/>
        <w:jc w:val="both"/>
        <w:rPr>
          <w:rFonts w:ascii="Calibri" w:hAnsi="Calibri" w:cs="Calibri"/>
          <w:sz w:val="22"/>
          <w:szCs w:val="22"/>
        </w:rPr>
      </w:pPr>
      <w:r w:rsidRPr="00C8707B">
        <w:rPr>
          <w:rFonts w:ascii="Calibri" w:hAnsi="Calibri" w:cs="Calibri"/>
          <w:sz w:val="22"/>
          <w:szCs w:val="22"/>
        </w:rPr>
        <w:t xml:space="preserve">Specifikace sjednané ceny díla je obsažena v </w:t>
      </w:r>
      <w:r w:rsidR="00C8707B">
        <w:rPr>
          <w:rFonts w:asciiTheme="minorHAnsi" w:hAnsiTheme="minorHAnsi" w:cstheme="minorHAnsi"/>
          <w:sz w:val="22"/>
          <w:szCs w:val="22"/>
        </w:rPr>
        <w:t>cenové nabídce zhotovitele ze dne 17.12.2020, která je</w:t>
      </w:r>
      <w:r w:rsidR="00C46B10">
        <w:rPr>
          <w:rFonts w:asciiTheme="minorHAnsi" w:hAnsiTheme="minorHAnsi" w:cstheme="minorHAnsi"/>
          <w:sz w:val="22"/>
          <w:szCs w:val="22"/>
        </w:rPr>
        <w:t xml:space="preserve"> přílohou</w:t>
      </w:r>
      <w:r w:rsidR="00C8707B">
        <w:rPr>
          <w:rFonts w:asciiTheme="minorHAnsi" w:hAnsiTheme="minorHAnsi" w:cstheme="minorHAnsi"/>
          <w:sz w:val="22"/>
          <w:szCs w:val="22"/>
        </w:rPr>
        <w:t xml:space="preserve"> této sm</w:t>
      </w:r>
      <w:r w:rsidR="00B723AD">
        <w:rPr>
          <w:rFonts w:asciiTheme="minorHAnsi" w:hAnsiTheme="minorHAnsi" w:cstheme="minorHAnsi"/>
          <w:sz w:val="22"/>
          <w:szCs w:val="22"/>
        </w:rPr>
        <w:t>l</w:t>
      </w:r>
      <w:r w:rsidR="00C8707B">
        <w:rPr>
          <w:rFonts w:asciiTheme="minorHAnsi" w:hAnsiTheme="minorHAnsi" w:cstheme="minorHAnsi"/>
          <w:sz w:val="22"/>
          <w:szCs w:val="22"/>
        </w:rPr>
        <w:t>ouvy.</w:t>
      </w:r>
    </w:p>
    <w:p w14:paraId="3606B73B" w14:textId="25CCD7F1" w:rsidR="003631EF" w:rsidRPr="003631EF" w:rsidRDefault="00AB4420" w:rsidP="003631EF">
      <w:pPr>
        <w:numPr>
          <w:ilvl w:val="0"/>
          <w:numId w:val="24"/>
        </w:numPr>
        <w:spacing w:before="60"/>
        <w:ind w:left="567" w:hanging="567"/>
        <w:jc w:val="both"/>
        <w:rPr>
          <w:rFonts w:ascii="Calibri" w:hAnsi="Calibri" w:cs="Calibri"/>
          <w:sz w:val="22"/>
          <w:szCs w:val="22"/>
        </w:rPr>
      </w:pPr>
      <w:r w:rsidRPr="00C8707B">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C8707B">
        <w:rPr>
          <w:rFonts w:ascii="Calibri" w:hAnsi="Calibri" w:cs="Calibri"/>
          <w:sz w:val="22"/>
          <w:szCs w:val="22"/>
        </w:rPr>
        <w:t xml:space="preserve">Platba za provedení </w:t>
      </w:r>
      <w:r w:rsidR="00C46B10">
        <w:rPr>
          <w:rFonts w:ascii="Calibri" w:hAnsi="Calibri" w:cs="Calibri"/>
          <w:sz w:val="22"/>
          <w:szCs w:val="22"/>
        </w:rPr>
        <w:t xml:space="preserve">jednotlivých etap </w:t>
      </w:r>
      <w:r w:rsidR="003656E8" w:rsidRPr="00C8707B">
        <w:rPr>
          <w:rFonts w:ascii="Calibri" w:hAnsi="Calibri" w:cs="Calibri"/>
          <w:sz w:val="22"/>
          <w:szCs w:val="22"/>
        </w:rPr>
        <w:t>díla bude provedena objednatelem na základě řádně vystavené faktury obsahující alespoň tyto náležitosti: označení objednatele a zhotovitele, datum vystavení, datum splatnosti, předmět fakturace,</w:t>
      </w:r>
      <w:r w:rsidR="003656E8" w:rsidRPr="00C8707B">
        <w:rPr>
          <w:rFonts w:ascii="Calibri" w:hAnsi="Calibri" w:cs="Calibri"/>
          <w:b/>
          <w:sz w:val="22"/>
          <w:szCs w:val="22"/>
        </w:rPr>
        <w:t xml:space="preserve"> </w:t>
      </w:r>
      <w:r w:rsidR="003656E8" w:rsidRPr="00C8707B">
        <w:rPr>
          <w:rFonts w:ascii="Calibri" w:hAnsi="Calibri" w:cs="Calibri"/>
          <w:sz w:val="22"/>
          <w:szCs w:val="22"/>
        </w:rPr>
        <w:t>dohodnutou částku/plnění podle této smlouvy, způsob úhrady a pořadové číslo faktury, doručené objednateli</w:t>
      </w:r>
      <w:r w:rsidR="00872640" w:rsidRPr="00C8707B">
        <w:rPr>
          <w:rFonts w:ascii="Calibri" w:hAnsi="Calibri" w:cs="Calibri"/>
          <w:sz w:val="22"/>
          <w:szCs w:val="22"/>
        </w:rPr>
        <w:t>.</w:t>
      </w:r>
      <w:r w:rsidR="003656E8" w:rsidRPr="00C8707B">
        <w:rPr>
          <w:rFonts w:ascii="Calibri" w:hAnsi="Calibri" w:cs="Calibri"/>
          <w:sz w:val="22"/>
          <w:szCs w:val="22"/>
        </w:rPr>
        <w:t xml:space="preserve"> </w:t>
      </w:r>
      <w:r w:rsidR="00CE64CF" w:rsidRPr="00C8707B">
        <w:rPr>
          <w:rFonts w:ascii="Calibri" w:hAnsi="Calibri" w:cs="Calibri"/>
          <w:sz w:val="22"/>
          <w:szCs w:val="22"/>
        </w:rPr>
        <w:t>Podkladem pro vystavení faktury</w:t>
      </w:r>
      <w:r w:rsidR="003631EF">
        <w:rPr>
          <w:rFonts w:ascii="Calibri" w:hAnsi="Calibri" w:cs="Calibri"/>
          <w:sz w:val="22"/>
          <w:szCs w:val="22"/>
        </w:rPr>
        <w:t xml:space="preserve"> za jednotlivé etapy </w:t>
      </w:r>
      <w:r w:rsidR="00CE64CF" w:rsidRPr="00C8707B">
        <w:rPr>
          <w:rFonts w:ascii="Calibri" w:hAnsi="Calibri" w:cs="Calibri"/>
          <w:sz w:val="22"/>
          <w:szCs w:val="22"/>
        </w:rPr>
        <w:t>bude písemný protokol o</w:t>
      </w:r>
      <w:r w:rsidR="00B167AB" w:rsidRPr="00C8707B">
        <w:rPr>
          <w:rFonts w:ascii="Calibri" w:hAnsi="Calibri" w:cs="Calibri"/>
          <w:sz w:val="22"/>
          <w:szCs w:val="22"/>
        </w:rPr>
        <w:t> předání a převzetí</w:t>
      </w:r>
      <w:r w:rsidR="003631EF">
        <w:rPr>
          <w:rFonts w:ascii="Calibri" w:hAnsi="Calibri" w:cs="Calibri"/>
          <w:sz w:val="22"/>
          <w:szCs w:val="22"/>
        </w:rPr>
        <w:t xml:space="preserve"> etapy</w:t>
      </w:r>
      <w:r w:rsidR="00B167AB" w:rsidRPr="00C8707B">
        <w:rPr>
          <w:rFonts w:ascii="Calibri" w:hAnsi="Calibri" w:cs="Calibri"/>
          <w:sz w:val="22"/>
          <w:szCs w:val="22"/>
        </w:rPr>
        <w:t xml:space="preserve"> díla podepsaný oběma smluvními stranami</w:t>
      </w:r>
      <w:r w:rsidRPr="00C8707B">
        <w:rPr>
          <w:rFonts w:ascii="Calibri" w:hAnsi="Calibri" w:cs="Calibri"/>
          <w:sz w:val="22"/>
          <w:szCs w:val="22"/>
        </w:rPr>
        <w:t>.</w:t>
      </w:r>
      <w:r w:rsidR="003631EF" w:rsidRPr="003631EF">
        <w:rPr>
          <w:rFonts w:ascii="Calibri" w:hAnsi="Calibri" w:cs="Calibri"/>
          <w:sz w:val="22"/>
          <w:szCs w:val="22"/>
        </w:rPr>
        <w:t xml:space="preserve"> </w:t>
      </w:r>
    </w:p>
    <w:p w14:paraId="2F243FD4" w14:textId="77777777"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AB78CAB" w14:textId="7A27AE31" w:rsidR="0004587D" w:rsidRPr="00C46B10" w:rsidRDefault="00B97649" w:rsidP="0004587D">
      <w:pPr>
        <w:numPr>
          <w:ilvl w:val="0"/>
          <w:numId w:val="24"/>
        </w:numPr>
        <w:spacing w:before="60"/>
        <w:ind w:left="567" w:hanging="567"/>
        <w:jc w:val="both"/>
        <w:rPr>
          <w:rFonts w:ascii="Calibri" w:hAnsi="Calibri" w:cs="Calibri"/>
          <w:sz w:val="22"/>
          <w:szCs w:val="22"/>
        </w:rPr>
      </w:pPr>
      <w:r w:rsidRPr="00C46B10">
        <w:rPr>
          <w:rFonts w:ascii="Calibri" w:hAnsi="Calibri" w:cs="Calibri"/>
          <w:sz w:val="22"/>
          <w:szCs w:val="22"/>
        </w:rPr>
        <w:t>Zhotovitel není oprávněn po objednateli žádat poskytnutí záloh na cenu za dílo.</w:t>
      </w:r>
    </w:p>
    <w:p w14:paraId="2FDE52A2" w14:textId="7A07077F" w:rsidR="004E34DE" w:rsidRPr="0004587D"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2278A081"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v souladu </w:t>
      </w:r>
      <w:r w:rsidR="00C46B10">
        <w:rPr>
          <w:rFonts w:ascii="Calibri" w:hAnsi="Calibri"/>
          <w:snapToGrid w:val="0"/>
          <w:sz w:val="22"/>
          <w:szCs w:val="22"/>
        </w:rPr>
        <w:t>cenov</w:t>
      </w:r>
      <w:r w:rsidR="00B723AD">
        <w:rPr>
          <w:rFonts w:ascii="Calibri" w:hAnsi="Calibri"/>
          <w:snapToGrid w:val="0"/>
          <w:sz w:val="22"/>
          <w:szCs w:val="22"/>
        </w:rPr>
        <w:t>o</w:t>
      </w:r>
      <w:r w:rsidR="00C46B10">
        <w:rPr>
          <w:rFonts w:ascii="Calibri" w:hAnsi="Calibri"/>
          <w:snapToGrid w:val="0"/>
          <w:sz w:val="22"/>
          <w:szCs w:val="22"/>
        </w:rPr>
        <w:t>u nabídkou zhotovitele ze dne 17.12.2020, která je přílohou této smlouvy</w:t>
      </w:r>
      <w:r w:rsidR="00991923">
        <w:rPr>
          <w:rFonts w:ascii="Calibri" w:hAnsi="Calibri"/>
          <w:snapToGrid w:val="0"/>
          <w:sz w:val="22"/>
          <w:szCs w:val="22"/>
        </w:rPr>
        <w:t xml:space="preserve"> 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29C86B59" w14:textId="3DAB375D"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00C46B10">
        <w:rPr>
          <w:rFonts w:ascii="Calibri" w:hAnsi="Calibri"/>
          <w:snapToGrid w:val="0"/>
          <w:sz w:val="22"/>
          <w:szCs w:val="22"/>
        </w:rPr>
        <w:t>díla</w:t>
      </w:r>
      <w:r w:rsidRPr="00C76DDA">
        <w:rPr>
          <w:rFonts w:ascii="Calibri" w:hAnsi="Calibri"/>
          <w:snapToGrid w:val="0"/>
          <w:sz w:val="22"/>
          <w:szCs w:val="22"/>
        </w:rPr>
        <w:t xml:space="preserve"> </w:t>
      </w:r>
      <w:r w:rsidRPr="00C76DDA">
        <w:rPr>
          <w:rFonts w:ascii="Calibri" w:hAnsi="Calibri"/>
          <w:sz w:val="22"/>
          <w:szCs w:val="22"/>
        </w:rPr>
        <w:t>(sta</w:t>
      </w:r>
      <w:r w:rsidR="006B3FF6">
        <w:rPr>
          <w:rFonts w:ascii="Calibri" w:hAnsi="Calibri"/>
          <w:sz w:val="22"/>
          <w:szCs w:val="22"/>
        </w:rPr>
        <w:t>vební suť, použité obaly apod.).</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D68C6D0" w14:textId="59551992"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xml:space="preserve"> zabezpečí, aby osoby podílející se na zhotovení díla a pohybující se po místě provádění </w:t>
      </w:r>
      <w:r w:rsidR="00422A43">
        <w:rPr>
          <w:rFonts w:ascii="Calibri" w:hAnsi="Calibri"/>
          <w:snapToGrid w:val="0"/>
          <w:sz w:val="22"/>
          <w:szCs w:val="22"/>
        </w:rPr>
        <w:t>prací</w:t>
      </w:r>
      <w:r w:rsidRPr="001405C6">
        <w:rPr>
          <w:rFonts w:ascii="Calibri" w:hAnsi="Calibri"/>
          <w:snapToGrid w:val="0"/>
          <w:sz w:val="22"/>
          <w:szCs w:val="22"/>
        </w:rPr>
        <w:t xml:space="preserve"> byly vybaveny ochrannými pracovními pomůckami. Zhotovitel nesmí umožnit bez souhlasu objednatele přístup do místa provádění stavby osobám, které se bezprostředně nepodílejí na provádění díla.</w:t>
      </w:r>
    </w:p>
    <w:p w14:paraId="67A01A10" w14:textId="33141B35" w:rsidR="00257826" w:rsidRDefault="001918B2" w:rsidP="00E03546">
      <w:pPr>
        <w:ind w:left="567"/>
        <w:jc w:val="both"/>
        <w:rPr>
          <w:rFonts w:ascii="Calibri" w:hAnsi="Calibri"/>
          <w:snapToGrid w:val="0"/>
          <w:sz w:val="22"/>
          <w:szCs w:val="22"/>
        </w:rPr>
      </w:pPr>
      <w:r>
        <w:rPr>
          <w:rFonts w:ascii="Calibri" w:hAnsi="Calibri"/>
          <w:snapToGrid w:val="0"/>
          <w:sz w:val="22"/>
          <w:szCs w:val="22"/>
        </w:rPr>
        <w:t xml:space="preserve">                     </w:t>
      </w:r>
      <w:r w:rsidR="00E03546">
        <w:rPr>
          <w:rFonts w:ascii="Calibri" w:hAnsi="Calibri"/>
          <w:snapToGrid w:val="0"/>
          <w:sz w:val="22"/>
          <w:szCs w:val="22"/>
        </w:rPr>
        <w:t xml:space="preserve">                                            </w:t>
      </w:r>
      <w:r>
        <w:rPr>
          <w:rFonts w:ascii="Calibri" w:hAnsi="Calibri"/>
          <w:snapToGrid w:val="0"/>
          <w:sz w:val="22"/>
          <w:szCs w:val="22"/>
        </w:rPr>
        <w:t xml:space="preserve">       </w:t>
      </w: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77777777"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14:paraId="4EF1A274" w14:textId="69B7AB87"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14:paraId="26F20FEA" w14:textId="77777777"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2F593A55" w14:textId="4C82FFDD" w:rsidR="00483D4D" w:rsidRPr="00B723AD" w:rsidRDefault="00483D4D" w:rsidP="00834615">
      <w:pPr>
        <w:numPr>
          <w:ilvl w:val="0"/>
          <w:numId w:val="3"/>
        </w:numPr>
        <w:tabs>
          <w:tab w:val="num" w:pos="567"/>
        </w:tabs>
        <w:spacing w:before="60"/>
        <w:ind w:left="567" w:hanging="567"/>
        <w:jc w:val="both"/>
        <w:rPr>
          <w:rFonts w:ascii="Calibri" w:hAnsi="Calibri" w:cs="Calibri"/>
          <w:sz w:val="22"/>
          <w:szCs w:val="22"/>
        </w:rPr>
      </w:pPr>
      <w:r w:rsidRPr="00B723AD">
        <w:rPr>
          <w:rFonts w:ascii="Calibri" w:hAnsi="Calibri" w:cs="Calibri"/>
          <w:sz w:val="22"/>
          <w:szCs w:val="22"/>
        </w:rPr>
        <w:t>Zhotovitel poskytuje</w:t>
      </w:r>
      <w:r w:rsidR="008F1716" w:rsidRPr="00B723AD">
        <w:rPr>
          <w:rFonts w:ascii="Calibri" w:hAnsi="Calibri" w:cs="Calibri"/>
          <w:sz w:val="22"/>
          <w:szCs w:val="22"/>
        </w:rPr>
        <w:t xml:space="preserve"> objednateli</w:t>
      </w:r>
      <w:r w:rsidRPr="00B723AD">
        <w:rPr>
          <w:rFonts w:ascii="Calibri" w:hAnsi="Calibri" w:cs="Calibri"/>
          <w:sz w:val="22"/>
          <w:szCs w:val="22"/>
        </w:rPr>
        <w:t xml:space="preserve"> </w:t>
      </w:r>
      <w:r w:rsidR="0047222E" w:rsidRPr="00B723AD">
        <w:rPr>
          <w:rFonts w:ascii="Calibri" w:hAnsi="Calibri" w:cs="Calibri"/>
          <w:sz w:val="22"/>
          <w:szCs w:val="22"/>
        </w:rPr>
        <w:t xml:space="preserve">na provedené dílo dle předmětu </w:t>
      </w:r>
      <w:r w:rsidR="00195D6A" w:rsidRPr="00B723AD">
        <w:rPr>
          <w:rFonts w:ascii="Calibri" w:hAnsi="Calibri" w:cs="Calibri"/>
          <w:sz w:val="22"/>
          <w:szCs w:val="22"/>
        </w:rPr>
        <w:t>smlouvy</w:t>
      </w:r>
      <w:r w:rsidR="0047222E" w:rsidRPr="00B723AD">
        <w:rPr>
          <w:rFonts w:ascii="Calibri" w:hAnsi="Calibri" w:cs="Calibri"/>
          <w:sz w:val="22"/>
          <w:szCs w:val="22"/>
        </w:rPr>
        <w:t xml:space="preserve"> </w:t>
      </w:r>
      <w:r w:rsidRPr="00B723AD">
        <w:rPr>
          <w:rFonts w:ascii="Calibri" w:hAnsi="Calibri" w:cs="Calibri"/>
          <w:sz w:val="22"/>
          <w:szCs w:val="22"/>
        </w:rPr>
        <w:t>záruku</w:t>
      </w:r>
      <w:r w:rsidR="008F1716" w:rsidRPr="00B723AD">
        <w:rPr>
          <w:rFonts w:ascii="Calibri" w:hAnsi="Calibri" w:cs="Calibri"/>
          <w:sz w:val="22"/>
          <w:szCs w:val="22"/>
        </w:rPr>
        <w:t xml:space="preserve"> na jakost</w:t>
      </w:r>
      <w:r w:rsidRPr="00B723AD">
        <w:rPr>
          <w:rFonts w:ascii="Calibri" w:hAnsi="Calibri" w:cs="Calibri"/>
          <w:sz w:val="22"/>
          <w:szCs w:val="22"/>
        </w:rPr>
        <w:t xml:space="preserve"> v délce </w:t>
      </w:r>
      <w:r w:rsidR="008F1716" w:rsidRPr="00B723AD">
        <w:rPr>
          <w:rFonts w:ascii="Calibri" w:hAnsi="Calibri" w:cs="Calibri"/>
          <w:sz w:val="22"/>
          <w:szCs w:val="22"/>
        </w:rPr>
        <w:t>24</w:t>
      </w:r>
      <w:r w:rsidR="00D10F1F" w:rsidRPr="00B723AD">
        <w:rPr>
          <w:rFonts w:ascii="Calibri" w:hAnsi="Calibri" w:cs="Calibri"/>
          <w:sz w:val="22"/>
          <w:szCs w:val="22"/>
        </w:rPr>
        <w:t xml:space="preserve"> </w:t>
      </w:r>
      <w:r w:rsidR="00E65B75" w:rsidRPr="00B723AD">
        <w:rPr>
          <w:rFonts w:ascii="Calibri" w:hAnsi="Calibri" w:cs="Calibri"/>
          <w:sz w:val="22"/>
          <w:szCs w:val="22"/>
        </w:rPr>
        <w:t>měsíců</w:t>
      </w:r>
      <w:r w:rsidR="0047222E" w:rsidRPr="00B723AD">
        <w:rPr>
          <w:rFonts w:ascii="Calibri" w:hAnsi="Calibri" w:cs="Calibri"/>
          <w:sz w:val="22"/>
          <w:szCs w:val="22"/>
        </w:rPr>
        <w:t xml:space="preserve"> od dokončení a řádného předání</w:t>
      </w:r>
      <w:r w:rsidR="008F1716" w:rsidRPr="00B723AD">
        <w:rPr>
          <w:rFonts w:ascii="Calibri" w:hAnsi="Calibri" w:cs="Calibri"/>
          <w:sz w:val="22"/>
          <w:szCs w:val="22"/>
        </w:rPr>
        <w:t xml:space="preserve"> kompletního </w:t>
      </w:r>
      <w:r w:rsidR="0047222E" w:rsidRPr="00B723AD">
        <w:rPr>
          <w:rFonts w:ascii="Calibri" w:hAnsi="Calibri" w:cs="Calibri"/>
          <w:sz w:val="22"/>
          <w:szCs w:val="22"/>
        </w:rPr>
        <w:t>díla.</w:t>
      </w:r>
      <w:r w:rsidR="005E4F2E" w:rsidRPr="00B723AD">
        <w:rPr>
          <w:rFonts w:ascii="Calibri" w:hAnsi="Calibri" w:cs="Calibri"/>
          <w:sz w:val="22"/>
          <w:szCs w:val="22"/>
        </w:rPr>
        <w:t xml:space="preserve"> Záruční doba počíná plynout dnem podepsání protokolu o předání a převzetí díla bez vad a nedodělků oběma smluvními stranami.</w:t>
      </w:r>
    </w:p>
    <w:p w14:paraId="0D1F9CCF" w14:textId="2050B6C6" w:rsidR="00834615" w:rsidRPr="00B723AD" w:rsidRDefault="0007743E" w:rsidP="00834615">
      <w:pPr>
        <w:numPr>
          <w:ilvl w:val="0"/>
          <w:numId w:val="3"/>
        </w:numPr>
        <w:spacing w:before="60"/>
        <w:ind w:left="567" w:hanging="567"/>
        <w:jc w:val="both"/>
        <w:rPr>
          <w:rFonts w:ascii="Calibri" w:hAnsi="Calibri" w:cs="Calibri"/>
          <w:sz w:val="22"/>
          <w:szCs w:val="22"/>
        </w:rPr>
      </w:pPr>
      <w:r w:rsidRPr="00B723AD">
        <w:rPr>
          <w:rFonts w:ascii="Calibri" w:hAnsi="Calibri" w:cs="Calibri"/>
          <w:sz w:val="22"/>
          <w:szCs w:val="22"/>
        </w:rPr>
        <w:t>Zhotovitel se zavazuje odstranit bezplatně veškeré vady nebo nedodělky, které existovaly v době předání díla objednateli</w:t>
      </w:r>
      <w:r w:rsidR="001A7F71" w:rsidRPr="00B723AD">
        <w:rPr>
          <w:rFonts w:ascii="Calibri" w:hAnsi="Calibri" w:cs="Calibri"/>
          <w:sz w:val="22"/>
          <w:szCs w:val="22"/>
        </w:rPr>
        <w:t>,</w:t>
      </w:r>
      <w:r w:rsidRPr="00B723AD">
        <w:rPr>
          <w:rFonts w:ascii="Calibri" w:hAnsi="Calibri" w:cs="Calibri"/>
          <w:sz w:val="22"/>
          <w:szCs w:val="22"/>
        </w:rPr>
        <w:t xml:space="preserve"> a dále vady vzniklé na díle kdykoli během doby </w:t>
      </w:r>
      <w:r w:rsidR="008F1716" w:rsidRPr="00B723AD">
        <w:rPr>
          <w:rFonts w:ascii="Calibri" w:hAnsi="Calibri" w:cs="Calibri"/>
          <w:sz w:val="22"/>
          <w:szCs w:val="22"/>
        </w:rPr>
        <w:t>24</w:t>
      </w:r>
      <w:r w:rsidRPr="00B723AD">
        <w:rPr>
          <w:rFonts w:ascii="Calibri" w:hAnsi="Calibri" w:cs="Calibri"/>
          <w:sz w:val="22"/>
          <w:szCs w:val="22"/>
        </w:rPr>
        <w:t xml:space="preserve"> měsíců ode dne předání díla objednateli. V případě oprávněné reklamace se záruční doba na dílo prodlužuje o dobu počínající datem uplatnění reklamace a končící dnem odstranění reklamované vady zhotovitelem.</w:t>
      </w:r>
    </w:p>
    <w:p w14:paraId="10CF6115" w14:textId="77777777" w:rsidR="0007743E" w:rsidRPr="00B723AD" w:rsidRDefault="0007743E" w:rsidP="00834615">
      <w:pPr>
        <w:numPr>
          <w:ilvl w:val="0"/>
          <w:numId w:val="3"/>
        </w:numPr>
        <w:spacing w:before="60"/>
        <w:ind w:left="567" w:hanging="567"/>
        <w:jc w:val="both"/>
        <w:rPr>
          <w:rFonts w:ascii="Calibri" w:hAnsi="Calibri" w:cs="Calibri"/>
          <w:sz w:val="22"/>
          <w:szCs w:val="22"/>
        </w:rPr>
      </w:pPr>
      <w:r w:rsidRPr="00B723AD">
        <w:rPr>
          <w:rFonts w:ascii="Calibri" w:hAnsi="Calibri" w:cs="Calibri"/>
          <w:sz w:val="22"/>
          <w:szCs w:val="22"/>
        </w:rPr>
        <w:t>Zhotovitel je povinen během záruční doby na svou odpovědnost a náklady:</w:t>
      </w:r>
    </w:p>
    <w:p w14:paraId="7ECC18B9" w14:textId="77777777" w:rsidR="0007743E" w:rsidRPr="00B723AD" w:rsidRDefault="0007743E" w:rsidP="00834615">
      <w:pPr>
        <w:pStyle w:val="Odstavecseseznamem"/>
        <w:numPr>
          <w:ilvl w:val="0"/>
          <w:numId w:val="7"/>
        </w:numPr>
        <w:ind w:left="714" w:hanging="357"/>
        <w:jc w:val="both"/>
        <w:rPr>
          <w:rFonts w:ascii="Calibri" w:hAnsi="Calibri" w:cs="Calibri"/>
          <w:sz w:val="22"/>
          <w:szCs w:val="22"/>
        </w:rPr>
      </w:pPr>
      <w:r w:rsidRPr="00B723AD">
        <w:rPr>
          <w:rFonts w:ascii="Calibri" w:hAnsi="Calibri" w:cs="Calibri"/>
          <w:sz w:val="22"/>
          <w:szCs w:val="22"/>
        </w:rPr>
        <w:t>započít s odstraňováním oprávněné a ohlášené vady nejpozději do 7 dnů ode dne ohlášení, nebude-li v této době dohodnuto písemně jinak,</w:t>
      </w:r>
    </w:p>
    <w:p w14:paraId="76DD76F3" w14:textId="77777777" w:rsidR="0007743E" w:rsidRPr="00B723AD" w:rsidRDefault="0007743E" w:rsidP="00834615">
      <w:pPr>
        <w:pStyle w:val="Odstavecseseznamem"/>
        <w:numPr>
          <w:ilvl w:val="0"/>
          <w:numId w:val="7"/>
        </w:numPr>
        <w:spacing w:before="60"/>
        <w:jc w:val="both"/>
        <w:rPr>
          <w:rFonts w:ascii="Calibri" w:hAnsi="Calibri" w:cs="Calibri"/>
          <w:sz w:val="22"/>
          <w:szCs w:val="22"/>
        </w:rPr>
      </w:pPr>
      <w:r w:rsidRPr="00B723AD">
        <w:rPr>
          <w:rFonts w:ascii="Calibri" w:hAnsi="Calibri" w:cs="Calibri"/>
          <w:sz w:val="22"/>
          <w:szCs w:val="22"/>
        </w:rPr>
        <w:t>odstranit ve sjednané lhůtě reklamované vady, které vznikly z důvodu vadného plnění zhotovitele.</w:t>
      </w:r>
    </w:p>
    <w:p w14:paraId="29295153" w14:textId="77777777" w:rsidR="005E4F2E" w:rsidRPr="00B723AD" w:rsidRDefault="0007743E" w:rsidP="00834615">
      <w:pPr>
        <w:numPr>
          <w:ilvl w:val="0"/>
          <w:numId w:val="3"/>
        </w:numPr>
        <w:tabs>
          <w:tab w:val="num" w:pos="567"/>
        </w:tabs>
        <w:spacing w:before="60"/>
        <w:ind w:left="567" w:hanging="567"/>
        <w:jc w:val="both"/>
        <w:rPr>
          <w:rFonts w:ascii="Calibri" w:hAnsi="Calibri" w:cs="Calibri"/>
          <w:sz w:val="22"/>
          <w:szCs w:val="22"/>
        </w:rPr>
      </w:pPr>
      <w:r w:rsidRPr="00B723AD">
        <w:rPr>
          <w:rFonts w:ascii="Calibri" w:hAnsi="Calibri" w:cs="Calibri"/>
          <w:sz w:val="22"/>
          <w:szCs w:val="22"/>
        </w:rPr>
        <w:t>Ohlášením vady zhotoviteli se rozumí pro účely této smlouvy odeslání dopisu nebo e-mailu s uplatněnou reklamací objednatelem s tím, že kontakty určené pro reklamaci jsou uvedené v</w:t>
      </w:r>
      <w:r w:rsidR="001A7F71" w:rsidRPr="00B723AD">
        <w:rPr>
          <w:rFonts w:ascii="Calibri" w:hAnsi="Calibri" w:cs="Calibri"/>
          <w:sz w:val="22"/>
          <w:szCs w:val="22"/>
        </w:rPr>
        <w:t> čl. I.</w:t>
      </w:r>
      <w:r w:rsidRPr="00B723AD">
        <w:rPr>
          <w:rFonts w:ascii="Calibri" w:hAnsi="Calibri" w:cs="Calibri"/>
          <w:sz w:val="22"/>
          <w:szCs w:val="22"/>
        </w:rPr>
        <w:t xml:space="preserve"> této smlouvy.</w:t>
      </w:r>
    </w:p>
    <w:p w14:paraId="3121992C" w14:textId="77777777" w:rsidR="00834615" w:rsidRPr="00B723AD" w:rsidRDefault="00834615" w:rsidP="00834615">
      <w:pPr>
        <w:numPr>
          <w:ilvl w:val="0"/>
          <w:numId w:val="3"/>
        </w:numPr>
        <w:tabs>
          <w:tab w:val="num" w:pos="567"/>
        </w:tabs>
        <w:spacing w:before="60"/>
        <w:ind w:left="567" w:hanging="567"/>
        <w:jc w:val="both"/>
        <w:rPr>
          <w:rFonts w:ascii="Calibri" w:hAnsi="Calibri" w:cs="Calibri"/>
          <w:sz w:val="22"/>
          <w:szCs w:val="22"/>
        </w:rPr>
      </w:pPr>
      <w:r w:rsidRPr="00B723AD">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7EFE93DA" w:rsidR="00834615" w:rsidRPr="00B723AD" w:rsidRDefault="00834615" w:rsidP="00834615">
      <w:pPr>
        <w:numPr>
          <w:ilvl w:val="0"/>
          <w:numId w:val="3"/>
        </w:numPr>
        <w:tabs>
          <w:tab w:val="num" w:pos="567"/>
        </w:tabs>
        <w:spacing w:before="60"/>
        <w:ind w:left="567" w:hanging="567"/>
        <w:jc w:val="both"/>
        <w:rPr>
          <w:rFonts w:ascii="Calibri" w:hAnsi="Calibri" w:cs="Calibri"/>
          <w:sz w:val="22"/>
          <w:szCs w:val="22"/>
        </w:rPr>
      </w:pPr>
      <w:r w:rsidRPr="00B723AD">
        <w:rPr>
          <w:rFonts w:ascii="Calibri" w:hAnsi="Calibri"/>
          <w:snapToGrid w:val="0"/>
          <w:sz w:val="22"/>
          <w:szCs w:val="22"/>
        </w:rPr>
        <w:t>O odstranění oznámené vady sepíše objednatel protokol, ve kterém potvrdí odstranění vady nebo uvede důvody, pro které odmítá opravu převzít.</w:t>
      </w:r>
    </w:p>
    <w:p w14:paraId="077B1ADE" w14:textId="77777777" w:rsidR="00E03546" w:rsidRPr="00834615" w:rsidRDefault="00E03546" w:rsidP="00E03546">
      <w:pPr>
        <w:spacing w:before="60"/>
        <w:ind w:left="567"/>
        <w:jc w:val="both"/>
        <w:rPr>
          <w:rFonts w:ascii="Calibri" w:hAnsi="Calibri" w:cs="Calibri"/>
          <w:sz w:val="22"/>
          <w:szCs w:val="22"/>
        </w:rPr>
      </w:pPr>
    </w:p>
    <w:p w14:paraId="59701FD2" w14:textId="77777777"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6861DC59"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F5417B" w:rsidRPr="00B759B2">
        <w:rPr>
          <w:rFonts w:ascii="Calibri" w:hAnsi="Calibri" w:cs="Calibri"/>
          <w:sz w:val="22"/>
          <w:szCs w:val="22"/>
        </w:rPr>
        <w:t>5</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37E99126"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5E1927">
        <w:rPr>
          <w:rFonts w:ascii="Calibri" w:hAnsi="Calibri" w:cs="Calibri"/>
          <w:sz w:val="22"/>
          <w:szCs w:val="22"/>
        </w:rPr>
        <w:t>2</w:t>
      </w:r>
      <w:r w:rsidR="00F5611C">
        <w:rPr>
          <w:rFonts w:ascii="Calibri" w:hAnsi="Calibri" w:cs="Calibri"/>
          <w:sz w:val="22"/>
          <w:szCs w:val="22"/>
        </w:rPr>
        <w:t>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41BF061A"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5859DF92" w14:textId="77777777" w:rsidR="00E03546" w:rsidRPr="00027F53" w:rsidRDefault="00E03546" w:rsidP="00E03546">
      <w:pPr>
        <w:spacing w:before="60"/>
        <w:ind w:left="567"/>
        <w:jc w:val="both"/>
        <w:rPr>
          <w:rFonts w:asciiTheme="minorHAnsi" w:hAnsiTheme="minorHAnsi" w:cstheme="minorHAnsi"/>
          <w:sz w:val="22"/>
          <w:szCs w:val="22"/>
        </w:rPr>
      </w:pPr>
    </w:p>
    <w:p w14:paraId="047C2964" w14:textId="77777777"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4EE785"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404C7CD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0354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24C3E302"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14:paraId="09E89CF8" w14:textId="68A0C7E6" w:rsidR="00E03546" w:rsidRPr="00E03546" w:rsidRDefault="00E03546" w:rsidP="00E03546">
      <w:pPr>
        <w:spacing w:before="60"/>
        <w:ind w:left="567"/>
        <w:jc w:val="both"/>
        <w:rPr>
          <w:rFonts w:asciiTheme="minorHAnsi" w:hAnsiTheme="minorHAnsi" w:cstheme="minorHAnsi"/>
          <w:sz w:val="22"/>
          <w:szCs w:val="22"/>
        </w:rPr>
      </w:pPr>
      <w:r>
        <w:rPr>
          <w:rFonts w:asciiTheme="minorHAnsi" w:hAnsiTheme="minorHAnsi" w:cstheme="minorHAnsi"/>
          <w:sz w:val="22"/>
          <w:szCs w:val="22"/>
        </w:rPr>
        <w:t xml:space="preserve">                                                                      </w:t>
      </w:r>
    </w:p>
    <w:p w14:paraId="07C098CC" w14:textId="77777777"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38D57C6F"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D82B691" w14:textId="45B1923D" w:rsidR="000D62AE" w:rsidRDefault="000D62AE"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69A04096" w14:textId="77777777" w:rsidR="005E1927" w:rsidRDefault="005E1927" w:rsidP="00E50FFF">
      <w:pPr>
        <w:pStyle w:val="Zkladntext"/>
        <w:spacing w:before="120" w:after="0"/>
        <w:outlineLvl w:val="0"/>
        <w:rPr>
          <w:rFonts w:ascii="Calibri" w:hAnsi="Calibri"/>
          <w:snapToGrid w:val="0"/>
          <w:szCs w:val="22"/>
        </w:rPr>
      </w:pPr>
    </w:p>
    <w:p w14:paraId="48F9277A" w14:textId="5AE5FF52"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4480E520" w14:textId="26A4D479" w:rsidR="005E1927" w:rsidRDefault="005E1927" w:rsidP="00E50FFF">
      <w:pPr>
        <w:pStyle w:val="Zkladntext"/>
        <w:spacing w:before="120" w:after="0"/>
        <w:outlineLvl w:val="0"/>
        <w:rPr>
          <w:rFonts w:ascii="Calibri" w:hAnsi="Calibri"/>
          <w:snapToGrid w:val="0"/>
          <w:szCs w:val="22"/>
        </w:rPr>
      </w:pPr>
      <w:r>
        <w:rPr>
          <w:rFonts w:ascii="Calibri" w:hAnsi="Calibri"/>
          <w:snapToGrid w:val="0"/>
          <w:szCs w:val="22"/>
        </w:rPr>
        <w:t>Cenová nabídka ze dne 17. 12. 2020</w:t>
      </w:r>
    </w:p>
    <w:p w14:paraId="1C77F42F" w14:textId="77777777" w:rsidR="005E1927" w:rsidRDefault="005E1927" w:rsidP="00E50FFF">
      <w:pPr>
        <w:pStyle w:val="Zkladntext"/>
        <w:spacing w:before="120" w:after="0"/>
        <w:outlineLvl w:val="0"/>
        <w:rPr>
          <w:rFonts w:ascii="Calibri" w:hAnsi="Calibri"/>
          <w:snapToGrid w:val="0"/>
          <w:szCs w:val="22"/>
        </w:rPr>
      </w:pPr>
    </w:p>
    <w:p w14:paraId="55708205" w14:textId="77777777" w:rsidR="00E03546" w:rsidRPr="002E4055" w:rsidRDefault="00E03546"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14:paraId="44A9BEBC" w14:textId="77777777" w:rsidTr="00D25DC3">
        <w:trPr>
          <w:gridAfter w:val="1"/>
          <w:wAfter w:w="198" w:type="dxa"/>
        </w:trPr>
        <w:tc>
          <w:tcPr>
            <w:tcW w:w="3227" w:type="dxa"/>
          </w:tcPr>
          <w:p w14:paraId="1200B6EB" w14:textId="478A5A49"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1F3981">
              <w:rPr>
                <w:rFonts w:ascii="Calibri" w:hAnsi="Calibri" w:cs="Tahoma"/>
                <w:sz w:val="22"/>
                <w:szCs w:val="22"/>
              </w:rPr>
              <w:t>19. 1. 2021</w:t>
            </w:r>
            <w:bookmarkStart w:id="0" w:name="_GoBack"/>
            <w:bookmarkEnd w:id="0"/>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261" w:type="dxa"/>
          </w:tcPr>
          <w:p w14:paraId="0AC863CF" w14:textId="49093D93" w:rsidR="009767B6" w:rsidRPr="002E4055" w:rsidRDefault="00E50FFF" w:rsidP="005E1927">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w:t>
            </w:r>
            <w:r w:rsidR="005E1927">
              <w:rPr>
                <w:rFonts w:ascii="Calibri" w:hAnsi="Calibri" w:cs="Tahoma"/>
                <w:sz w:val="22"/>
                <w:szCs w:val="22"/>
              </w:rPr>
              <w:t>Brně</w:t>
            </w:r>
            <w:r w:rsidR="00732ADE">
              <w:rPr>
                <w:rFonts w:ascii="Calibri" w:hAnsi="Calibri" w:cs="Tahoma"/>
                <w:sz w:val="22"/>
                <w:szCs w:val="22"/>
              </w:rPr>
              <w:t xml:space="preserve">  </w:t>
            </w:r>
            <w:r w:rsidR="00C76DDA">
              <w:rPr>
                <w:rFonts w:ascii="Calibri" w:hAnsi="Calibri" w:cs="Tahoma"/>
                <w:sz w:val="22"/>
                <w:szCs w:val="22"/>
              </w:rPr>
              <w:t>dne</w:t>
            </w:r>
            <w:r w:rsidR="007000AA">
              <w:rPr>
                <w:rFonts w:ascii="Calibri" w:hAnsi="Calibri" w:cs="Tahoma"/>
                <w:sz w:val="22"/>
                <w:szCs w:val="22"/>
              </w:rPr>
              <w:t xml:space="preserve"> </w:t>
            </w:r>
            <w:r w:rsidR="00260831">
              <w:rPr>
                <w:rFonts w:ascii="Calibri" w:hAnsi="Calibri" w:cs="Tahoma"/>
                <w:sz w:val="22"/>
                <w:szCs w:val="22"/>
              </w:rPr>
              <w:t xml:space="preserve"> </w:t>
            </w:r>
            <w:r w:rsidR="00987B07">
              <w:rPr>
                <w:rFonts w:ascii="Calibri" w:hAnsi="Calibri" w:cs="Tahoma"/>
                <w:sz w:val="22"/>
                <w:szCs w:val="22"/>
              </w:rPr>
              <w:t>18. 1. 2021</w:t>
            </w:r>
          </w:p>
        </w:tc>
      </w:tr>
      <w:tr w:rsidR="009767B6"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3F071786" w14:textId="77777777"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77777777" w:rsidR="009767B6" w:rsidRPr="00B00ED7" w:rsidRDefault="009767B6" w:rsidP="00B00ED7">
            <w:pPr>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14:paraId="5BB43108" w14:textId="77777777" w:rsidR="005E1927" w:rsidRDefault="005E1927" w:rsidP="005E1927">
            <w:pPr>
              <w:jc w:val="center"/>
              <w:rPr>
                <w:rFonts w:ascii="Calibri" w:hAnsi="Calibri"/>
                <w:sz w:val="22"/>
                <w:szCs w:val="22"/>
              </w:rPr>
            </w:pPr>
            <w:r>
              <w:rPr>
                <w:rFonts w:ascii="Calibri" w:hAnsi="Calibri"/>
                <w:sz w:val="22"/>
                <w:szCs w:val="22"/>
              </w:rPr>
              <w:t>Ing. Petr Hekerle</w:t>
            </w:r>
          </w:p>
          <w:p w14:paraId="25C81361" w14:textId="2DD3C031" w:rsidR="007000AA" w:rsidRPr="00182EC4" w:rsidRDefault="007000AA" w:rsidP="005E1927">
            <w:pPr>
              <w:jc w:val="center"/>
              <w:rPr>
                <w:rFonts w:ascii="Calibri" w:hAnsi="Calibri" w:cs="Tahoma"/>
                <w:sz w:val="22"/>
                <w:szCs w:val="22"/>
              </w:rPr>
            </w:pPr>
          </w:p>
        </w:tc>
      </w:tr>
    </w:tbl>
    <w:p w14:paraId="0CA58E8F" w14:textId="77777777" w:rsidR="009767B6" w:rsidRPr="002E4055" w:rsidRDefault="009767B6" w:rsidP="000D62AE">
      <w:pPr>
        <w:rPr>
          <w:rFonts w:ascii="Calibri" w:hAnsi="Calibri" w:cs="Calibri"/>
          <w:sz w:val="22"/>
          <w:szCs w:val="22"/>
        </w:rPr>
      </w:pPr>
    </w:p>
    <w:sectPr w:rsidR="009767B6" w:rsidRPr="002E4055" w:rsidSect="008C0B7A">
      <w:footerReference w:type="default" r:id="rId8"/>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7663" w14:textId="77777777" w:rsidR="00892AEE" w:rsidRDefault="00892AEE" w:rsidP="001131D7">
      <w:r>
        <w:separator/>
      </w:r>
    </w:p>
  </w:endnote>
  <w:endnote w:type="continuationSeparator" w:id="0">
    <w:p w14:paraId="6A1DD928" w14:textId="77777777" w:rsidR="00892AEE" w:rsidRDefault="00892AEE"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6C1E17A5"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892AEE">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A7B9" w14:textId="77777777" w:rsidR="00892AEE" w:rsidRDefault="00892AEE" w:rsidP="001131D7">
      <w:r>
        <w:separator/>
      </w:r>
    </w:p>
  </w:footnote>
  <w:footnote w:type="continuationSeparator" w:id="0">
    <w:p w14:paraId="76041FD5" w14:textId="77777777" w:rsidR="00892AEE" w:rsidRDefault="00892AEE"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786"/>
        </w:tabs>
        <w:ind w:left="786"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8"/>
  </w:num>
  <w:num w:numId="7">
    <w:abstractNumId w:val="26"/>
  </w:num>
  <w:num w:numId="8">
    <w:abstractNumId w:val="8"/>
  </w:num>
  <w:num w:numId="9">
    <w:abstractNumId w:val="23"/>
  </w:num>
  <w:num w:numId="10">
    <w:abstractNumId w:val="27"/>
  </w:num>
  <w:num w:numId="11">
    <w:abstractNumId w:val="24"/>
  </w:num>
  <w:num w:numId="12">
    <w:abstractNumId w:val="14"/>
  </w:num>
  <w:num w:numId="13">
    <w:abstractNumId w:val="1"/>
  </w:num>
  <w:num w:numId="14">
    <w:abstractNumId w:val="19"/>
  </w:num>
  <w:num w:numId="15">
    <w:abstractNumId w:val="17"/>
  </w:num>
  <w:num w:numId="16">
    <w:abstractNumId w:val="18"/>
  </w:num>
  <w:num w:numId="17">
    <w:abstractNumId w:val="21"/>
  </w:num>
  <w:num w:numId="18">
    <w:abstractNumId w:val="16"/>
  </w:num>
  <w:num w:numId="19">
    <w:abstractNumId w:val="25"/>
  </w:num>
  <w:num w:numId="20">
    <w:abstractNumId w:val="4"/>
  </w:num>
  <w:num w:numId="21">
    <w:abstractNumId w:val="5"/>
  </w:num>
  <w:num w:numId="22">
    <w:abstractNumId w:val="3"/>
  </w:num>
  <w:num w:numId="23">
    <w:abstractNumId w:val="0"/>
  </w:num>
  <w:num w:numId="24">
    <w:abstractNumId w:val="7"/>
  </w:num>
  <w:num w:numId="25">
    <w:abstractNumId w:val="22"/>
  </w:num>
  <w:num w:numId="26">
    <w:abstractNumId w:val="13"/>
  </w:num>
  <w:num w:numId="27">
    <w:abstractNumId w:val="11"/>
  </w:num>
  <w:num w:numId="28">
    <w:abstractNumId w:val="20"/>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33B02"/>
    <w:rsid w:val="00042977"/>
    <w:rsid w:val="000431B5"/>
    <w:rsid w:val="00044854"/>
    <w:rsid w:val="0004587D"/>
    <w:rsid w:val="00050576"/>
    <w:rsid w:val="00054F8B"/>
    <w:rsid w:val="00055689"/>
    <w:rsid w:val="000677F2"/>
    <w:rsid w:val="0007743E"/>
    <w:rsid w:val="0009476F"/>
    <w:rsid w:val="000949A3"/>
    <w:rsid w:val="000B3E2C"/>
    <w:rsid w:val="000C695D"/>
    <w:rsid w:val="000D62AE"/>
    <w:rsid w:val="000E4965"/>
    <w:rsid w:val="000E7827"/>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D198C"/>
    <w:rsid w:val="001E5190"/>
    <w:rsid w:val="001E6755"/>
    <w:rsid w:val="001F3981"/>
    <w:rsid w:val="00201437"/>
    <w:rsid w:val="002037D8"/>
    <w:rsid w:val="002047D2"/>
    <w:rsid w:val="00206423"/>
    <w:rsid w:val="00206F78"/>
    <w:rsid w:val="00207068"/>
    <w:rsid w:val="00207BF2"/>
    <w:rsid w:val="00212728"/>
    <w:rsid w:val="00215E0F"/>
    <w:rsid w:val="0022396F"/>
    <w:rsid w:val="00225856"/>
    <w:rsid w:val="00246B29"/>
    <w:rsid w:val="0025000C"/>
    <w:rsid w:val="00253380"/>
    <w:rsid w:val="00257826"/>
    <w:rsid w:val="00260831"/>
    <w:rsid w:val="00264675"/>
    <w:rsid w:val="00265A2B"/>
    <w:rsid w:val="00267AB3"/>
    <w:rsid w:val="00272AB2"/>
    <w:rsid w:val="00275920"/>
    <w:rsid w:val="00280C88"/>
    <w:rsid w:val="00283541"/>
    <w:rsid w:val="00294B89"/>
    <w:rsid w:val="002A18B5"/>
    <w:rsid w:val="002A2632"/>
    <w:rsid w:val="002A6B50"/>
    <w:rsid w:val="002A7CD8"/>
    <w:rsid w:val="002B5733"/>
    <w:rsid w:val="002C01D0"/>
    <w:rsid w:val="002D62CC"/>
    <w:rsid w:val="002D66F3"/>
    <w:rsid w:val="002E4055"/>
    <w:rsid w:val="002F01A6"/>
    <w:rsid w:val="002F1C71"/>
    <w:rsid w:val="002F5846"/>
    <w:rsid w:val="002F5982"/>
    <w:rsid w:val="002F740E"/>
    <w:rsid w:val="003031F3"/>
    <w:rsid w:val="0031601C"/>
    <w:rsid w:val="00327F00"/>
    <w:rsid w:val="00330253"/>
    <w:rsid w:val="00334784"/>
    <w:rsid w:val="0034513C"/>
    <w:rsid w:val="003525ED"/>
    <w:rsid w:val="00352C48"/>
    <w:rsid w:val="003575CA"/>
    <w:rsid w:val="003631EF"/>
    <w:rsid w:val="003656E8"/>
    <w:rsid w:val="00370EE2"/>
    <w:rsid w:val="0039129F"/>
    <w:rsid w:val="00394523"/>
    <w:rsid w:val="003A6322"/>
    <w:rsid w:val="003B0DF9"/>
    <w:rsid w:val="003B26F3"/>
    <w:rsid w:val="003B5328"/>
    <w:rsid w:val="003B7FDB"/>
    <w:rsid w:val="003C347E"/>
    <w:rsid w:val="003D1C40"/>
    <w:rsid w:val="003E4F6D"/>
    <w:rsid w:val="00401120"/>
    <w:rsid w:val="00403270"/>
    <w:rsid w:val="00422A43"/>
    <w:rsid w:val="004335D2"/>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A9F"/>
    <w:rsid w:val="004B1FF1"/>
    <w:rsid w:val="004C2CAF"/>
    <w:rsid w:val="004E34DE"/>
    <w:rsid w:val="00507952"/>
    <w:rsid w:val="00515CB7"/>
    <w:rsid w:val="00516E50"/>
    <w:rsid w:val="00526CCB"/>
    <w:rsid w:val="0053312A"/>
    <w:rsid w:val="00540631"/>
    <w:rsid w:val="00540D2D"/>
    <w:rsid w:val="00542BBD"/>
    <w:rsid w:val="00567782"/>
    <w:rsid w:val="00570BE6"/>
    <w:rsid w:val="005731A4"/>
    <w:rsid w:val="0057386C"/>
    <w:rsid w:val="005806EA"/>
    <w:rsid w:val="005B1B62"/>
    <w:rsid w:val="005C51BC"/>
    <w:rsid w:val="005D029D"/>
    <w:rsid w:val="005D2669"/>
    <w:rsid w:val="005D33DB"/>
    <w:rsid w:val="005D454A"/>
    <w:rsid w:val="005D5D19"/>
    <w:rsid w:val="005E0AF9"/>
    <w:rsid w:val="005E1927"/>
    <w:rsid w:val="005E1D24"/>
    <w:rsid w:val="005E4F2E"/>
    <w:rsid w:val="00600DFC"/>
    <w:rsid w:val="00610BF3"/>
    <w:rsid w:val="00614D9D"/>
    <w:rsid w:val="006169E7"/>
    <w:rsid w:val="00621A1C"/>
    <w:rsid w:val="00623D0E"/>
    <w:rsid w:val="00624C78"/>
    <w:rsid w:val="00626A7E"/>
    <w:rsid w:val="0063087E"/>
    <w:rsid w:val="006332C0"/>
    <w:rsid w:val="00635AD1"/>
    <w:rsid w:val="006852E0"/>
    <w:rsid w:val="0068604E"/>
    <w:rsid w:val="00693708"/>
    <w:rsid w:val="0069731D"/>
    <w:rsid w:val="006A4216"/>
    <w:rsid w:val="006A6035"/>
    <w:rsid w:val="006B3FF6"/>
    <w:rsid w:val="006B450E"/>
    <w:rsid w:val="006C0198"/>
    <w:rsid w:val="006C0787"/>
    <w:rsid w:val="006C1539"/>
    <w:rsid w:val="006D1126"/>
    <w:rsid w:val="006D357C"/>
    <w:rsid w:val="006E3EFD"/>
    <w:rsid w:val="006E68EB"/>
    <w:rsid w:val="006E7698"/>
    <w:rsid w:val="007000AA"/>
    <w:rsid w:val="00711A38"/>
    <w:rsid w:val="007124EC"/>
    <w:rsid w:val="0071446C"/>
    <w:rsid w:val="0071595B"/>
    <w:rsid w:val="00715C0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779C"/>
    <w:rsid w:val="007F4E49"/>
    <w:rsid w:val="007F7D97"/>
    <w:rsid w:val="00807759"/>
    <w:rsid w:val="008143CB"/>
    <w:rsid w:val="00814BFE"/>
    <w:rsid w:val="00820AD2"/>
    <w:rsid w:val="008211DB"/>
    <w:rsid w:val="00822851"/>
    <w:rsid w:val="00832A9F"/>
    <w:rsid w:val="00832BEC"/>
    <w:rsid w:val="00834615"/>
    <w:rsid w:val="0083681A"/>
    <w:rsid w:val="0085273D"/>
    <w:rsid w:val="008536E6"/>
    <w:rsid w:val="00856DDA"/>
    <w:rsid w:val="00867D0F"/>
    <w:rsid w:val="00872640"/>
    <w:rsid w:val="00873392"/>
    <w:rsid w:val="008806FE"/>
    <w:rsid w:val="00881F40"/>
    <w:rsid w:val="008821E1"/>
    <w:rsid w:val="00885E7A"/>
    <w:rsid w:val="008911EC"/>
    <w:rsid w:val="00892AEE"/>
    <w:rsid w:val="008931C3"/>
    <w:rsid w:val="00895115"/>
    <w:rsid w:val="00897730"/>
    <w:rsid w:val="008A3DE8"/>
    <w:rsid w:val="008B4567"/>
    <w:rsid w:val="008C0B7A"/>
    <w:rsid w:val="008C62A6"/>
    <w:rsid w:val="008D2A4D"/>
    <w:rsid w:val="008D4BCB"/>
    <w:rsid w:val="008E7C1F"/>
    <w:rsid w:val="008F1716"/>
    <w:rsid w:val="00906858"/>
    <w:rsid w:val="00911D5F"/>
    <w:rsid w:val="0092349F"/>
    <w:rsid w:val="00924607"/>
    <w:rsid w:val="00927797"/>
    <w:rsid w:val="009318D8"/>
    <w:rsid w:val="009468C7"/>
    <w:rsid w:val="00953B4C"/>
    <w:rsid w:val="00954789"/>
    <w:rsid w:val="00964DD1"/>
    <w:rsid w:val="00967C08"/>
    <w:rsid w:val="0097019B"/>
    <w:rsid w:val="00972A8B"/>
    <w:rsid w:val="009767B6"/>
    <w:rsid w:val="009802FC"/>
    <w:rsid w:val="00987A58"/>
    <w:rsid w:val="00987B07"/>
    <w:rsid w:val="00991923"/>
    <w:rsid w:val="009B269D"/>
    <w:rsid w:val="009B5191"/>
    <w:rsid w:val="009D634D"/>
    <w:rsid w:val="009E165C"/>
    <w:rsid w:val="009E547D"/>
    <w:rsid w:val="009F041D"/>
    <w:rsid w:val="009F0752"/>
    <w:rsid w:val="009F5CB5"/>
    <w:rsid w:val="00A00F11"/>
    <w:rsid w:val="00A21FD0"/>
    <w:rsid w:val="00A263DC"/>
    <w:rsid w:val="00A31458"/>
    <w:rsid w:val="00A319BB"/>
    <w:rsid w:val="00A425A7"/>
    <w:rsid w:val="00A470AE"/>
    <w:rsid w:val="00A648FC"/>
    <w:rsid w:val="00A767A5"/>
    <w:rsid w:val="00A85411"/>
    <w:rsid w:val="00A914DE"/>
    <w:rsid w:val="00AA24BA"/>
    <w:rsid w:val="00AA4D29"/>
    <w:rsid w:val="00AA713B"/>
    <w:rsid w:val="00AB0D9F"/>
    <w:rsid w:val="00AB3C05"/>
    <w:rsid w:val="00AB4420"/>
    <w:rsid w:val="00AB518F"/>
    <w:rsid w:val="00AC3E7C"/>
    <w:rsid w:val="00AC4712"/>
    <w:rsid w:val="00AF46D6"/>
    <w:rsid w:val="00B00ED7"/>
    <w:rsid w:val="00B01BA7"/>
    <w:rsid w:val="00B07EA6"/>
    <w:rsid w:val="00B138DE"/>
    <w:rsid w:val="00B167AB"/>
    <w:rsid w:val="00B2249A"/>
    <w:rsid w:val="00B26B3A"/>
    <w:rsid w:val="00B304FE"/>
    <w:rsid w:val="00B36748"/>
    <w:rsid w:val="00B37C81"/>
    <w:rsid w:val="00B42270"/>
    <w:rsid w:val="00B62FDD"/>
    <w:rsid w:val="00B6535C"/>
    <w:rsid w:val="00B723AD"/>
    <w:rsid w:val="00B759B2"/>
    <w:rsid w:val="00B8651B"/>
    <w:rsid w:val="00B9034B"/>
    <w:rsid w:val="00B97649"/>
    <w:rsid w:val="00BB2E2B"/>
    <w:rsid w:val="00BB5006"/>
    <w:rsid w:val="00BC00D5"/>
    <w:rsid w:val="00BC4136"/>
    <w:rsid w:val="00BC7457"/>
    <w:rsid w:val="00BD0B2C"/>
    <w:rsid w:val="00BD0FC7"/>
    <w:rsid w:val="00BD10FB"/>
    <w:rsid w:val="00BD5F5E"/>
    <w:rsid w:val="00BD6F62"/>
    <w:rsid w:val="00C02350"/>
    <w:rsid w:val="00C04312"/>
    <w:rsid w:val="00C04403"/>
    <w:rsid w:val="00C13819"/>
    <w:rsid w:val="00C1709D"/>
    <w:rsid w:val="00C334E4"/>
    <w:rsid w:val="00C36C02"/>
    <w:rsid w:val="00C46B10"/>
    <w:rsid w:val="00C6759E"/>
    <w:rsid w:val="00C76DDA"/>
    <w:rsid w:val="00C8143B"/>
    <w:rsid w:val="00C8707B"/>
    <w:rsid w:val="00C87296"/>
    <w:rsid w:val="00C9180A"/>
    <w:rsid w:val="00C93D19"/>
    <w:rsid w:val="00CA5C83"/>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32E8"/>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D75E0"/>
    <w:rsid w:val="00DE1FFA"/>
    <w:rsid w:val="00DE57BD"/>
    <w:rsid w:val="00DF28C5"/>
    <w:rsid w:val="00E03546"/>
    <w:rsid w:val="00E05C7E"/>
    <w:rsid w:val="00E07704"/>
    <w:rsid w:val="00E11AC5"/>
    <w:rsid w:val="00E12787"/>
    <w:rsid w:val="00E130A2"/>
    <w:rsid w:val="00E14B35"/>
    <w:rsid w:val="00E2369C"/>
    <w:rsid w:val="00E32751"/>
    <w:rsid w:val="00E330DD"/>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58E5"/>
    <w:rsid w:val="00F27DC3"/>
    <w:rsid w:val="00F401E8"/>
    <w:rsid w:val="00F43684"/>
    <w:rsid w:val="00F47B1F"/>
    <w:rsid w:val="00F47E91"/>
    <w:rsid w:val="00F47F5F"/>
    <w:rsid w:val="00F52E23"/>
    <w:rsid w:val="00F5417B"/>
    <w:rsid w:val="00F5611C"/>
    <w:rsid w:val="00F73E66"/>
    <w:rsid w:val="00F8011F"/>
    <w:rsid w:val="00F81F0F"/>
    <w:rsid w:val="00F8634D"/>
    <w:rsid w:val="00F9625A"/>
    <w:rsid w:val="00FB32F4"/>
    <w:rsid w:val="00FE01B1"/>
    <w:rsid w:val="00FF0564"/>
    <w:rsid w:val="00FF1E5B"/>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5330064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626">
          <w:marLeft w:val="0"/>
          <w:marRight w:val="0"/>
          <w:marTop w:val="0"/>
          <w:marBottom w:val="0"/>
          <w:divBdr>
            <w:top w:val="none" w:sz="0" w:space="0" w:color="auto"/>
            <w:left w:val="none" w:sz="0" w:space="0" w:color="auto"/>
            <w:bottom w:val="none" w:sz="0" w:space="0" w:color="auto"/>
            <w:right w:val="none" w:sz="0" w:space="0" w:color="auto"/>
          </w:divBdr>
          <w:divsChild>
            <w:div w:id="1910573663">
              <w:marLeft w:val="0"/>
              <w:marRight w:val="0"/>
              <w:marTop w:val="30"/>
              <w:marBottom w:val="0"/>
              <w:divBdr>
                <w:top w:val="none" w:sz="0" w:space="0" w:color="auto"/>
                <w:left w:val="none" w:sz="0" w:space="0" w:color="auto"/>
                <w:bottom w:val="none" w:sz="0" w:space="0" w:color="auto"/>
                <w:right w:val="none" w:sz="0" w:space="0" w:color="auto"/>
              </w:divBdr>
              <w:divsChild>
                <w:div w:id="36901141">
                  <w:marLeft w:val="0"/>
                  <w:marRight w:val="0"/>
                  <w:marTop w:val="0"/>
                  <w:marBottom w:val="0"/>
                  <w:divBdr>
                    <w:top w:val="none" w:sz="0" w:space="0" w:color="auto"/>
                    <w:left w:val="none" w:sz="0" w:space="0" w:color="auto"/>
                    <w:bottom w:val="none" w:sz="0" w:space="0" w:color="auto"/>
                    <w:right w:val="none" w:sz="0" w:space="0" w:color="auto"/>
                  </w:divBdr>
                  <w:divsChild>
                    <w:div w:id="678432786">
                      <w:marLeft w:val="0"/>
                      <w:marRight w:val="0"/>
                      <w:marTop w:val="0"/>
                      <w:marBottom w:val="0"/>
                      <w:divBdr>
                        <w:top w:val="none" w:sz="0" w:space="0" w:color="auto"/>
                        <w:left w:val="none" w:sz="0" w:space="0" w:color="auto"/>
                        <w:bottom w:val="none" w:sz="0" w:space="0" w:color="auto"/>
                        <w:right w:val="none" w:sz="0" w:space="0" w:color="auto"/>
                      </w:divBdr>
                      <w:divsChild>
                        <w:div w:id="826020669">
                          <w:marLeft w:val="0"/>
                          <w:marRight w:val="0"/>
                          <w:marTop w:val="0"/>
                          <w:marBottom w:val="0"/>
                          <w:divBdr>
                            <w:top w:val="none" w:sz="0" w:space="0" w:color="auto"/>
                            <w:left w:val="none" w:sz="0" w:space="0" w:color="auto"/>
                            <w:bottom w:val="none" w:sz="0" w:space="0" w:color="auto"/>
                            <w:right w:val="none" w:sz="0" w:space="0" w:color="auto"/>
                          </w:divBdr>
                          <w:divsChild>
                            <w:div w:id="328682012">
                              <w:marLeft w:val="0"/>
                              <w:marRight w:val="0"/>
                              <w:marTop w:val="0"/>
                              <w:marBottom w:val="0"/>
                              <w:divBdr>
                                <w:top w:val="none" w:sz="0" w:space="0" w:color="auto"/>
                                <w:left w:val="none" w:sz="0" w:space="0" w:color="auto"/>
                                <w:bottom w:val="none" w:sz="0" w:space="0" w:color="auto"/>
                                <w:right w:val="none" w:sz="0" w:space="0" w:color="auto"/>
                              </w:divBdr>
                              <w:divsChild>
                                <w:div w:id="1706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7730">
      <w:bodyDiv w:val="1"/>
      <w:marLeft w:val="0"/>
      <w:marRight w:val="0"/>
      <w:marTop w:val="0"/>
      <w:marBottom w:val="0"/>
      <w:divBdr>
        <w:top w:val="none" w:sz="0" w:space="0" w:color="auto"/>
        <w:left w:val="none" w:sz="0" w:space="0" w:color="auto"/>
        <w:bottom w:val="none" w:sz="0" w:space="0" w:color="auto"/>
        <w:right w:val="none" w:sz="0" w:space="0" w:color="auto"/>
      </w:divBdr>
      <w:divsChild>
        <w:div w:id="156265479">
          <w:marLeft w:val="0"/>
          <w:marRight w:val="0"/>
          <w:marTop w:val="0"/>
          <w:marBottom w:val="0"/>
          <w:divBdr>
            <w:top w:val="none" w:sz="0" w:space="0" w:color="auto"/>
            <w:left w:val="none" w:sz="0" w:space="0" w:color="auto"/>
            <w:bottom w:val="none" w:sz="0" w:space="0" w:color="auto"/>
            <w:right w:val="none" w:sz="0" w:space="0" w:color="auto"/>
          </w:divBdr>
          <w:divsChild>
            <w:div w:id="1871213550">
              <w:marLeft w:val="0"/>
              <w:marRight w:val="0"/>
              <w:marTop w:val="30"/>
              <w:marBottom w:val="0"/>
              <w:divBdr>
                <w:top w:val="none" w:sz="0" w:space="0" w:color="auto"/>
                <w:left w:val="none" w:sz="0" w:space="0" w:color="auto"/>
                <w:bottom w:val="none" w:sz="0" w:space="0" w:color="auto"/>
                <w:right w:val="none" w:sz="0" w:space="0" w:color="auto"/>
              </w:divBdr>
              <w:divsChild>
                <w:div w:id="898174256">
                  <w:marLeft w:val="0"/>
                  <w:marRight w:val="0"/>
                  <w:marTop w:val="0"/>
                  <w:marBottom w:val="0"/>
                  <w:divBdr>
                    <w:top w:val="none" w:sz="0" w:space="0" w:color="auto"/>
                    <w:left w:val="none" w:sz="0" w:space="0" w:color="auto"/>
                    <w:bottom w:val="none" w:sz="0" w:space="0" w:color="auto"/>
                    <w:right w:val="none" w:sz="0" w:space="0" w:color="auto"/>
                  </w:divBdr>
                  <w:divsChild>
                    <w:div w:id="28117407">
                      <w:marLeft w:val="0"/>
                      <w:marRight w:val="0"/>
                      <w:marTop w:val="0"/>
                      <w:marBottom w:val="0"/>
                      <w:divBdr>
                        <w:top w:val="none" w:sz="0" w:space="0" w:color="auto"/>
                        <w:left w:val="none" w:sz="0" w:space="0" w:color="auto"/>
                        <w:bottom w:val="none" w:sz="0" w:space="0" w:color="auto"/>
                        <w:right w:val="none" w:sz="0" w:space="0" w:color="auto"/>
                      </w:divBdr>
                      <w:divsChild>
                        <w:div w:id="1128090235">
                          <w:marLeft w:val="0"/>
                          <w:marRight w:val="0"/>
                          <w:marTop w:val="0"/>
                          <w:marBottom w:val="0"/>
                          <w:divBdr>
                            <w:top w:val="none" w:sz="0" w:space="0" w:color="auto"/>
                            <w:left w:val="none" w:sz="0" w:space="0" w:color="auto"/>
                            <w:bottom w:val="none" w:sz="0" w:space="0" w:color="auto"/>
                            <w:right w:val="none" w:sz="0" w:space="0" w:color="auto"/>
                          </w:divBdr>
                          <w:divsChild>
                            <w:div w:id="953751912">
                              <w:marLeft w:val="0"/>
                              <w:marRight w:val="0"/>
                              <w:marTop w:val="0"/>
                              <w:marBottom w:val="0"/>
                              <w:divBdr>
                                <w:top w:val="none" w:sz="0" w:space="0" w:color="auto"/>
                                <w:left w:val="none" w:sz="0" w:space="0" w:color="auto"/>
                                <w:bottom w:val="none" w:sz="0" w:space="0" w:color="auto"/>
                                <w:right w:val="none" w:sz="0" w:space="0" w:color="auto"/>
                              </w:divBdr>
                              <w:divsChild>
                                <w:div w:id="14569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0B4C67-B127-46F9-A060-7B5DB0AE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14257</Characters>
  <Application>Microsoft Office Word</Application>
  <DocSecurity>0</DocSecurity>
  <Lines>594</Lines>
  <Paragraphs>373</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16060</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2</cp:revision>
  <cp:lastPrinted>2017-03-07T09:15:00Z</cp:lastPrinted>
  <dcterms:created xsi:type="dcterms:W3CDTF">2021-01-19T07:56:00Z</dcterms:created>
  <dcterms:modified xsi:type="dcterms:W3CDTF">2021-01-19T07:56:00Z</dcterms:modified>
</cp:coreProperties>
</file>