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9B" w:rsidRDefault="005A79BB">
      <w:pPr>
        <w:pStyle w:val="Nzev"/>
        <w:rPr>
          <w:b/>
        </w:rPr>
      </w:pPr>
      <w:r>
        <w:rPr>
          <w:b/>
        </w:rPr>
        <w:t>DODATEK č. 11</w:t>
      </w:r>
    </w:p>
    <w:p w:rsidR="0006529B" w:rsidRDefault="005A79BB">
      <w:pPr>
        <w:pStyle w:val="Podnzev"/>
        <w:rPr>
          <w:b/>
        </w:rPr>
      </w:pPr>
      <w:r>
        <w:rPr>
          <w:b/>
        </w:rPr>
        <w:t>ke smlouvě o dodávce tepelné energie - Číslo smlouvy: 02/0008</w:t>
      </w:r>
    </w:p>
    <w:p w:rsidR="0006529B" w:rsidRDefault="0006529B"/>
    <w:p w:rsidR="0006529B" w:rsidRDefault="005A79BB">
      <w:pPr>
        <w:jc w:val="center"/>
      </w:pPr>
      <w:r>
        <w:t>dle § 2586 a násl. zákona č. 89/2012 Sb., občanský zákoník, ve znění pozdějších předpisů</w:t>
      </w:r>
    </w:p>
    <w:p w:rsidR="0006529B" w:rsidRDefault="0006529B"/>
    <w:p w:rsidR="0006529B" w:rsidRDefault="0006529B"/>
    <w:p w:rsidR="0006529B" w:rsidRDefault="005A79BB">
      <w:pPr>
        <w:jc w:val="center"/>
        <w:rPr>
          <w:b/>
        </w:rPr>
      </w:pPr>
      <w:r>
        <w:rPr>
          <w:b/>
        </w:rPr>
        <w:t>Článek 1</w:t>
      </w:r>
    </w:p>
    <w:p w:rsidR="0006529B" w:rsidRDefault="005A79BB">
      <w:pPr>
        <w:jc w:val="center"/>
        <w:rPr>
          <w:b/>
        </w:rPr>
      </w:pPr>
      <w:r>
        <w:rPr>
          <w:b/>
        </w:rPr>
        <w:t>Smluvní strany</w:t>
      </w:r>
    </w:p>
    <w:p w:rsidR="0006529B" w:rsidRDefault="0006529B"/>
    <w:p w:rsidR="0006529B" w:rsidRDefault="005A79BB">
      <w:pPr>
        <w:rPr>
          <w:b/>
        </w:rPr>
      </w:pPr>
      <w:r>
        <w:t xml:space="preserve">1. Obchodní firma: </w:t>
      </w:r>
      <w:r>
        <w:rPr>
          <w:b/>
        </w:rPr>
        <w:t xml:space="preserve">FPS s.r.o. </w:t>
      </w:r>
    </w:p>
    <w:p w:rsidR="0006529B" w:rsidRDefault="005A79BB">
      <w:pPr>
        <w:spacing w:after="0" w:line="276" w:lineRule="auto"/>
      </w:pPr>
      <w:r>
        <w:t xml:space="preserve">se sídlem: </w:t>
      </w:r>
      <w:r>
        <w:tab/>
      </w:r>
      <w:r>
        <w:tab/>
        <w:t xml:space="preserve">Pod Harfou 938/40, Praha 9, 190 00 </w:t>
      </w:r>
    </w:p>
    <w:p w:rsidR="0006529B" w:rsidRDefault="005A79BB">
      <w:pPr>
        <w:spacing w:after="0" w:line="276" w:lineRule="auto"/>
      </w:pPr>
      <w:r>
        <w:t xml:space="preserve">zastoupená: </w:t>
      </w:r>
      <w:r>
        <w:tab/>
      </w:r>
      <w:r>
        <w:tab/>
        <w:t xml:space="preserve">Petrem </w:t>
      </w:r>
      <w:r w:rsidR="000A5D41">
        <w:t>Hrubým</w:t>
      </w:r>
      <w:r>
        <w:t xml:space="preserve"> - jednatelem</w:t>
      </w:r>
    </w:p>
    <w:p w:rsidR="0006529B" w:rsidRDefault="005A79BB">
      <w:pPr>
        <w:spacing w:after="0" w:line="276" w:lineRule="auto"/>
      </w:pPr>
      <w:r>
        <w:t xml:space="preserve">registrovaná v obchodním rejstříku soudu pro Prahu, oddíl C, číslo vložky 98394, </w:t>
      </w:r>
    </w:p>
    <w:p w:rsidR="0006529B" w:rsidRDefault="005A79BB">
      <w:pPr>
        <w:spacing w:after="0" w:line="276" w:lineRule="auto"/>
      </w:pPr>
      <w:r>
        <w:t xml:space="preserve">držitel licence k podnikání, ve smyslu zákona č. 458/2000 Sb., energetický zákon, v platném znění.  </w:t>
      </w:r>
      <w:proofErr w:type="spellStart"/>
      <w:r>
        <w:t>sk</w:t>
      </w:r>
      <w:proofErr w:type="spellEnd"/>
      <w:r>
        <w:t>. 32</w:t>
      </w:r>
    </w:p>
    <w:p w:rsidR="0006529B" w:rsidRDefault="005A79BB">
      <w:pPr>
        <w:spacing w:after="0" w:line="276" w:lineRule="auto"/>
      </w:pPr>
      <w:r>
        <w:t xml:space="preserve">IČ: </w:t>
      </w:r>
      <w:r>
        <w:tab/>
      </w:r>
      <w:r>
        <w:tab/>
      </w:r>
      <w:r>
        <w:tab/>
        <w:t>27128326</w:t>
      </w:r>
    </w:p>
    <w:p w:rsidR="0006529B" w:rsidRDefault="005A79BB">
      <w:pPr>
        <w:spacing w:after="0" w:line="276" w:lineRule="auto"/>
      </w:pPr>
      <w:r>
        <w:t xml:space="preserve">DIČ: </w:t>
      </w:r>
      <w:r>
        <w:tab/>
      </w:r>
      <w:r>
        <w:tab/>
      </w:r>
      <w:r>
        <w:tab/>
        <w:t>CZ27128326</w:t>
      </w:r>
    </w:p>
    <w:p w:rsidR="0006529B" w:rsidRDefault="005A79BB">
      <w:pPr>
        <w:spacing w:after="0" w:line="276" w:lineRule="auto"/>
      </w:pPr>
      <w:r>
        <w:t xml:space="preserve">bankovní spojení: </w:t>
      </w:r>
      <w:r>
        <w:tab/>
      </w:r>
      <w:proofErr w:type="spellStart"/>
      <w:r w:rsidR="0004409D">
        <w:t>xxxxxxxxxxxxxx</w:t>
      </w:r>
      <w:proofErr w:type="spellEnd"/>
      <w:r>
        <w:t xml:space="preserve"> </w:t>
      </w:r>
      <w:r>
        <w:tab/>
        <w:t xml:space="preserve">č. účtu: </w:t>
      </w:r>
      <w:proofErr w:type="spellStart"/>
      <w:r w:rsidR="0004409D">
        <w:t>xxxxxxxxxxxxxxxx</w:t>
      </w:r>
      <w:proofErr w:type="spellEnd"/>
      <w:r>
        <w:t xml:space="preserve"> </w:t>
      </w:r>
    </w:p>
    <w:p w:rsidR="0006529B" w:rsidRDefault="005A79BB">
      <w:pPr>
        <w:spacing w:after="0" w:line="276" w:lineRule="auto"/>
      </w:pPr>
      <w:r>
        <w:t xml:space="preserve">telefonní spojení: </w:t>
      </w:r>
      <w:r>
        <w:tab/>
      </w:r>
      <w:proofErr w:type="spellStart"/>
      <w:r w:rsidR="0004409D">
        <w:t>xxxxxxxxxxxxxxxxxx</w:t>
      </w:r>
      <w:proofErr w:type="spellEnd"/>
    </w:p>
    <w:p w:rsidR="0006529B" w:rsidRDefault="005A79BB">
      <w:pPr>
        <w:spacing w:after="0" w:line="276" w:lineRule="auto"/>
      </w:pPr>
      <w:r>
        <w:t xml:space="preserve">E-mail: </w:t>
      </w:r>
      <w:r>
        <w:tab/>
      </w:r>
      <w:r>
        <w:tab/>
      </w:r>
      <w:r>
        <w:tab/>
      </w:r>
      <w:proofErr w:type="spellStart"/>
      <w:r w:rsidR="0004409D">
        <w:t>xxxxxxxxxxxxxxx</w:t>
      </w:r>
      <w:proofErr w:type="spellEnd"/>
    </w:p>
    <w:p w:rsidR="0006529B" w:rsidRDefault="005A79BB">
      <w:pPr>
        <w:spacing w:after="0" w:line="276" w:lineRule="auto"/>
      </w:pPr>
      <w:r>
        <w:t xml:space="preserve">zaměstnanci pověřeni činností: </w:t>
      </w:r>
    </w:p>
    <w:p w:rsidR="0006529B" w:rsidRDefault="005A79BB">
      <w:pPr>
        <w:spacing w:after="0" w:line="276" w:lineRule="auto"/>
      </w:pPr>
      <w:r>
        <w:t xml:space="preserve">ve věcech obchodních: </w:t>
      </w:r>
      <w:r>
        <w:tab/>
      </w:r>
      <w:proofErr w:type="spellStart"/>
      <w:r w:rsidR="0004409D">
        <w:t>xxxxxxxxxxxxxxxxxx</w:t>
      </w:r>
      <w:proofErr w:type="spellEnd"/>
    </w:p>
    <w:p w:rsidR="0006529B" w:rsidRDefault="005A79BB">
      <w:pPr>
        <w:spacing w:after="0" w:line="276" w:lineRule="auto"/>
      </w:pPr>
      <w:r>
        <w:t xml:space="preserve">ve věcech finančních: </w:t>
      </w:r>
      <w:r>
        <w:tab/>
      </w:r>
      <w:proofErr w:type="spellStart"/>
      <w:r w:rsidR="0004409D">
        <w:t>xxxxxxxxxxxxxxxxxx</w:t>
      </w:r>
      <w:proofErr w:type="spellEnd"/>
    </w:p>
    <w:p w:rsidR="0006529B" w:rsidRDefault="005A79BB">
      <w:pPr>
        <w:spacing w:after="0" w:line="276" w:lineRule="auto"/>
      </w:pPr>
      <w:r>
        <w:t xml:space="preserve">ve věcech technických: </w:t>
      </w:r>
      <w:r>
        <w:tab/>
      </w:r>
    </w:p>
    <w:p w:rsidR="0006529B" w:rsidRDefault="0006529B"/>
    <w:p w:rsidR="0006529B" w:rsidRDefault="005A79BB">
      <w:r>
        <w:t xml:space="preserve">(dále jen „dodavatel“) </w:t>
      </w:r>
    </w:p>
    <w:p w:rsidR="0006529B" w:rsidRDefault="0006529B"/>
    <w:p w:rsidR="0006529B" w:rsidRDefault="005A79BB">
      <w:r>
        <w:t>a</w:t>
      </w:r>
    </w:p>
    <w:p w:rsidR="0006529B" w:rsidRDefault="0006529B"/>
    <w:p w:rsidR="0006529B" w:rsidRDefault="005A79BB">
      <w:r>
        <w:t>2.</w:t>
      </w:r>
    </w:p>
    <w:p w:rsidR="0006529B" w:rsidRDefault="005A79BB">
      <w:pPr>
        <w:rPr>
          <w:b/>
        </w:rPr>
      </w:pPr>
      <w:r>
        <w:rPr>
          <w:b/>
        </w:rPr>
        <w:t>Městská knihovna v Praze</w:t>
      </w:r>
    </w:p>
    <w:p w:rsidR="0006529B" w:rsidRDefault="005A79BB">
      <w:pPr>
        <w:spacing w:after="0" w:line="276" w:lineRule="auto"/>
      </w:pPr>
      <w:r>
        <w:t xml:space="preserve">Statutární zástupce: RNDr. Tomáš Řehák, ředitel ve </w:t>
      </w:r>
      <w:proofErr w:type="spellStart"/>
      <w:r>
        <w:t>Ve</w:t>
      </w:r>
      <w:proofErr w:type="spellEnd"/>
      <w:r>
        <w:t xml:space="preserve"> věcech smluvních</w:t>
      </w:r>
    </w:p>
    <w:p w:rsidR="0006529B" w:rsidRDefault="005A79BB">
      <w:pPr>
        <w:spacing w:after="0" w:line="276" w:lineRule="auto"/>
      </w:pPr>
      <w:r>
        <w:t xml:space="preserve">Zastoupená: </w:t>
      </w:r>
      <w:proofErr w:type="spellStart"/>
      <w:r w:rsidR="0004409D">
        <w:t>xxxxxxxxxxxxxxx</w:t>
      </w:r>
      <w:proofErr w:type="spellEnd"/>
      <w:r>
        <w:t xml:space="preserve"> – vedoucí ekonomicko-správního odboru, náměstkyní ředitele</w:t>
      </w:r>
    </w:p>
    <w:p w:rsidR="0006529B" w:rsidRDefault="005A79BB">
      <w:pPr>
        <w:spacing w:after="0" w:line="276" w:lineRule="auto"/>
      </w:pPr>
      <w:r>
        <w:t xml:space="preserve">Ve věcech technických </w:t>
      </w:r>
      <w:proofErr w:type="gramStart"/>
      <w:r>
        <w:t>zastoupená : paní</w:t>
      </w:r>
      <w:proofErr w:type="gramEnd"/>
      <w:r>
        <w:t xml:space="preserve"> Jarmilou Hrubou, referentkou pro </w:t>
      </w:r>
      <w:proofErr w:type="spellStart"/>
      <w:r>
        <w:t>NaS</w:t>
      </w:r>
      <w:proofErr w:type="spellEnd"/>
    </w:p>
    <w:p w:rsidR="0006529B" w:rsidRDefault="005A79BB">
      <w:pPr>
        <w:spacing w:after="0" w:line="276" w:lineRule="auto"/>
      </w:pPr>
      <w:r>
        <w:t xml:space="preserve">Bankovní spojení: </w:t>
      </w:r>
      <w:proofErr w:type="spellStart"/>
      <w:proofErr w:type="gramStart"/>
      <w:r w:rsidR="0004409D">
        <w:t>xxxxxxxxxxxxxxxxxxxx</w:t>
      </w:r>
      <w:proofErr w:type="spellEnd"/>
      <w:r>
        <w:t xml:space="preserve">     č.</w:t>
      </w:r>
      <w:proofErr w:type="gramEnd"/>
      <w:r>
        <w:t xml:space="preserve"> účtu: </w:t>
      </w:r>
      <w:proofErr w:type="spellStart"/>
      <w:r w:rsidR="0004409D">
        <w:t>xxxxxxxxxxxxxxxxxxxx</w:t>
      </w:r>
      <w:proofErr w:type="spellEnd"/>
    </w:p>
    <w:p w:rsidR="0006529B" w:rsidRDefault="005A79BB">
      <w:pPr>
        <w:spacing w:after="0" w:line="276" w:lineRule="auto"/>
      </w:pPr>
      <w:r>
        <w:t>IČ: 00064467</w:t>
      </w:r>
    </w:p>
    <w:p w:rsidR="0006529B" w:rsidRDefault="005A79BB">
      <w:pPr>
        <w:spacing w:after="0" w:line="276" w:lineRule="auto"/>
      </w:pPr>
      <w:r>
        <w:t>DIČ: CZ00064467</w:t>
      </w:r>
    </w:p>
    <w:p w:rsidR="0006529B" w:rsidRDefault="0006529B"/>
    <w:p w:rsidR="0006529B" w:rsidRDefault="005A79BB">
      <w:r>
        <w:t xml:space="preserve"> (dále jen „odběratel“) </w:t>
      </w:r>
    </w:p>
    <w:p w:rsidR="0006529B" w:rsidRDefault="0006529B"/>
    <w:p w:rsidR="0006529B" w:rsidRDefault="005A79BB">
      <w:r>
        <w:t xml:space="preserve">smluvní strany se dohodly na změnách smlouvy č.02/0008 v následujícím rozsahu: </w:t>
      </w:r>
    </w:p>
    <w:p w:rsidR="0006529B" w:rsidRDefault="0006529B"/>
    <w:p w:rsidR="0006529B" w:rsidRDefault="0006529B"/>
    <w:p w:rsidR="0006529B" w:rsidRDefault="0006529B"/>
    <w:p w:rsidR="0006529B" w:rsidRDefault="005A79BB">
      <w:pPr>
        <w:jc w:val="center"/>
        <w:rPr>
          <w:b/>
        </w:rPr>
      </w:pPr>
      <w:r>
        <w:rPr>
          <w:b/>
        </w:rPr>
        <w:t>1. Změna Přílohy č. 2</w:t>
      </w:r>
    </w:p>
    <w:p w:rsidR="0006529B" w:rsidRDefault="005A79BB">
      <w:r>
        <w:t>Příloha č. 2 se plně nahrazuje Přílohou č. 1 tohoto dodatku.</w:t>
      </w:r>
    </w:p>
    <w:p w:rsidR="0006529B" w:rsidRDefault="0006529B"/>
    <w:p w:rsidR="0006529B" w:rsidRDefault="005A79BB">
      <w:pPr>
        <w:jc w:val="center"/>
        <w:rPr>
          <w:b/>
        </w:rPr>
      </w:pPr>
      <w:r>
        <w:rPr>
          <w:b/>
        </w:rPr>
        <w:t>2. Ostatní ujednání</w:t>
      </w:r>
    </w:p>
    <w:p w:rsidR="0006529B" w:rsidRDefault="005A79BB">
      <w:pPr>
        <w:jc w:val="both"/>
      </w:pPr>
      <w:r>
        <w:t>2.1 Ustanovení smlouvy včetně jejich příloh a dodatků, která odporují tomuto dodatku a jsou dnem jeho účinnosti neplatná.</w:t>
      </w:r>
    </w:p>
    <w:p w:rsidR="0006529B" w:rsidRDefault="005A79BB">
      <w:pPr>
        <w:jc w:val="both"/>
      </w:pPr>
      <w:r>
        <w:t>2.2 Smluvní strany prohlašují, že tento dodatek je sepsán s plným vědomím jejich pravé a svobodné vůle, nebyl uzavřen v tísni, ani za nevýhodných podmínek, dodatku rozumí, a že s jeho obsahem souhlasí.</w:t>
      </w:r>
    </w:p>
    <w:p w:rsidR="0006529B" w:rsidRDefault="005A79BB">
      <w:pPr>
        <w:jc w:val="both"/>
      </w:pPr>
      <w:r>
        <w:t>2.3 Tento dodatek je sepsán ve dvou vyhotoveních, přičemž každá smluvní strana obdrží po jednom vyhotovení.</w:t>
      </w:r>
    </w:p>
    <w:p w:rsidR="0006529B" w:rsidRDefault="005A79BB">
      <w:pPr>
        <w:jc w:val="both"/>
      </w:pPr>
      <w:r>
        <w:t>2.4 Tento dodatek nabývá platnosti a</w:t>
      </w:r>
      <w:r w:rsidR="0004409D">
        <w:t xml:space="preserve"> účinnosti dnem od 1. ledna 2021</w:t>
      </w:r>
      <w:r>
        <w:t>.</w:t>
      </w:r>
    </w:p>
    <w:p w:rsidR="0006529B" w:rsidRDefault="005A79BB">
      <w:pPr>
        <w:jc w:val="both"/>
      </w:pPr>
      <w:r>
        <w:t>2</w:t>
      </w:r>
      <w:r w:rsidR="0004409D">
        <w:t>.5 Odběratel tento Dodatek č. 11</w:t>
      </w:r>
      <w:r>
        <w:t xml:space="preserve"> včetně Smlouvy o dodávce tepelné energie č. 02/0008 a všech jejích dodatků, uveřejní v registru smluv dle zákona č.340/2015 Sb. bez zbytečného odkladu. </w:t>
      </w:r>
    </w:p>
    <w:p w:rsidR="0006529B" w:rsidRDefault="0006529B"/>
    <w:p w:rsidR="0006529B" w:rsidRDefault="0006529B"/>
    <w:p w:rsidR="0006529B" w:rsidRDefault="0006529B"/>
    <w:p w:rsidR="0006529B" w:rsidRDefault="0006529B"/>
    <w:p w:rsidR="0006529B" w:rsidRDefault="005A79BB">
      <w:r>
        <w:t xml:space="preserve">Nedílnou součástí tohoto dodatku jsou přílohy: </w:t>
      </w:r>
    </w:p>
    <w:p w:rsidR="0006529B" w:rsidRDefault="0006529B"/>
    <w:p w:rsidR="0006529B" w:rsidRDefault="005A79BB">
      <w:r>
        <w:t xml:space="preserve">Příloha č. 1: Cenové ujednání  </w:t>
      </w:r>
    </w:p>
    <w:p w:rsidR="0006529B" w:rsidRDefault="0006529B"/>
    <w:p w:rsidR="0006529B" w:rsidRDefault="0006529B"/>
    <w:p w:rsidR="0006529B" w:rsidRDefault="0006529B"/>
    <w:p w:rsidR="0006529B" w:rsidRDefault="005A79BB">
      <w:r>
        <w:t>V Praze dne 22. 11. 2020</w:t>
      </w:r>
    </w:p>
    <w:p w:rsidR="0006529B" w:rsidRDefault="0006529B"/>
    <w:p w:rsidR="0006529B" w:rsidRDefault="0006529B"/>
    <w:p w:rsidR="0006529B" w:rsidRDefault="0006529B"/>
    <w:p w:rsidR="0006529B" w:rsidRDefault="0006529B"/>
    <w:p w:rsidR="0006529B" w:rsidRDefault="005A79BB">
      <w:r>
        <w:t xml:space="preserve">Dodavatel: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Odběratel: </w:t>
      </w:r>
    </w:p>
    <w:p w:rsidR="0006529B" w:rsidRDefault="005A79BB">
      <w:r>
        <w:t xml:space="preserve">       FPS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529B" w:rsidRDefault="0006529B"/>
    <w:p w:rsidR="0006529B" w:rsidRDefault="0006529B"/>
    <w:p w:rsidR="0006529B" w:rsidRDefault="0006529B"/>
    <w:p w:rsidR="0006529B" w:rsidRDefault="0006529B"/>
    <w:p w:rsidR="0006529B" w:rsidRDefault="005A79BB">
      <w:r>
        <w:t>............. podpis (razítko)...................</w:t>
      </w:r>
      <w:r>
        <w:tab/>
      </w:r>
      <w:r>
        <w:tab/>
      </w:r>
      <w:r>
        <w:tab/>
      </w:r>
      <w:r>
        <w:tab/>
        <w:t xml:space="preserve"> .............. podpis (razítko)...............</w:t>
      </w:r>
    </w:p>
    <w:p w:rsidR="0006529B" w:rsidRDefault="005A79BB">
      <w:r>
        <w:t xml:space="preserve"> </w:t>
      </w:r>
    </w:p>
    <w:p w:rsidR="0006529B" w:rsidRDefault="0006529B"/>
    <w:p w:rsidR="0006529B" w:rsidRDefault="0006529B"/>
    <w:p w:rsidR="0006529B" w:rsidRDefault="005A79BB">
      <w:pPr>
        <w:rPr>
          <w:b/>
        </w:rPr>
      </w:pPr>
      <w:r>
        <w:rPr>
          <w:b/>
        </w:rPr>
        <w:t xml:space="preserve">Příloha č. 1 Dodatku č. 11 </w:t>
      </w:r>
    </w:p>
    <w:p w:rsidR="0006529B" w:rsidRDefault="005A79BB">
      <w:pPr>
        <w:rPr>
          <w:b/>
        </w:rPr>
      </w:pPr>
      <w:r>
        <w:rPr>
          <w:b/>
        </w:rPr>
        <w:t>Cenové ujednání</w:t>
      </w:r>
    </w:p>
    <w:p w:rsidR="0006529B" w:rsidRDefault="0006529B"/>
    <w:p w:rsidR="0006529B" w:rsidRDefault="005A79BB">
      <w:pPr>
        <w:jc w:val="center"/>
        <w:rPr>
          <w:b/>
        </w:rPr>
      </w:pPr>
      <w:r>
        <w:rPr>
          <w:b/>
        </w:rPr>
        <w:t>I.</w:t>
      </w:r>
    </w:p>
    <w:p w:rsidR="0006529B" w:rsidRDefault="005A79BB">
      <w:pPr>
        <w:jc w:val="center"/>
        <w:rPr>
          <w:b/>
        </w:rPr>
      </w:pPr>
      <w:r>
        <w:rPr>
          <w:b/>
        </w:rPr>
        <w:t>Cena tepelné energie</w:t>
      </w:r>
    </w:p>
    <w:p w:rsidR="0006529B" w:rsidRDefault="005A79BB">
      <w:pPr>
        <w:jc w:val="both"/>
      </w:pPr>
      <w:r>
        <w:t xml:space="preserve">I.1. 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úřadu. </w:t>
      </w:r>
    </w:p>
    <w:p w:rsidR="0006529B" w:rsidRDefault="0006529B"/>
    <w:p w:rsidR="0006529B" w:rsidRDefault="005A79BB">
      <w:r>
        <w:t>I.2. Cenová kalkulace 1. 1. – 31. 12. 2021</w:t>
      </w:r>
    </w:p>
    <w:p w:rsidR="0006529B" w:rsidRDefault="0006529B"/>
    <w:p w:rsidR="0006529B" w:rsidRDefault="005A79BB">
      <w:r>
        <w:t>Odběrné místo: Ruská 192, Praha 10</w:t>
      </w:r>
    </w:p>
    <w:p w:rsidR="0006529B" w:rsidRDefault="005A79BB">
      <w:r>
        <w:t>Vytápěná plocha celkem: 1098 m2</w:t>
      </w: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800"/>
        <w:gridCol w:w="1480"/>
        <w:gridCol w:w="520"/>
        <w:gridCol w:w="2500"/>
      </w:tblGrid>
      <w:tr w:rsidR="0006529B">
        <w:trPr>
          <w:trHeight w:val="315"/>
        </w:trPr>
        <w:tc>
          <w:tcPr>
            <w:tcW w:w="43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Cena tepelné energie 2021</w:t>
            </w:r>
          </w:p>
        </w:tc>
        <w:tc>
          <w:tcPr>
            <w:tcW w:w="1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6529B" w:rsidRDefault="00065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6529B" w:rsidRDefault="00065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2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6529B" w:rsidRDefault="00065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06529B">
        <w:trPr>
          <w:trHeight w:val="6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Jednotková cena 1GJ</w:t>
            </w:r>
          </w:p>
        </w:tc>
        <w:tc>
          <w:tcPr>
            <w:tcW w:w="180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počet GJ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celkové náklady bez DPH </w:t>
            </w:r>
          </w:p>
        </w:tc>
        <w:tc>
          <w:tcPr>
            <w:tcW w:w="250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celkové náklady s DPH 10%</w:t>
            </w:r>
          </w:p>
        </w:tc>
      </w:tr>
      <w:tr w:rsidR="0006529B">
        <w:trPr>
          <w:trHeight w:val="315"/>
        </w:trPr>
        <w:tc>
          <w:tcPr>
            <w:tcW w:w="252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687,09 Kč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426,19</w:t>
            </w:r>
          </w:p>
        </w:tc>
        <w:tc>
          <w:tcPr>
            <w:tcW w:w="200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292 830,89 Kč</w:t>
            </w:r>
          </w:p>
        </w:tc>
        <w:tc>
          <w:tcPr>
            <w:tcW w:w="25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322 113,98 Kč</w:t>
            </w:r>
          </w:p>
        </w:tc>
      </w:tr>
    </w:tbl>
    <w:p w:rsidR="0006529B" w:rsidRDefault="0006529B"/>
    <w:p w:rsidR="0006529B" w:rsidRDefault="005A79BB">
      <w:r>
        <w:tab/>
      </w:r>
      <w:r>
        <w:tab/>
      </w:r>
      <w:r>
        <w:tab/>
      </w:r>
    </w:p>
    <w:p w:rsidR="0006529B" w:rsidRDefault="005A79BB">
      <w:r>
        <w:t xml:space="preserve">Adresa pro zaslání faktury: </w:t>
      </w:r>
      <w:r>
        <w:tab/>
      </w:r>
      <w:r>
        <w:rPr>
          <w:b/>
        </w:rPr>
        <w:t>Městská knihovna v Praze</w:t>
      </w:r>
      <w:r>
        <w:t xml:space="preserve">, Odbor správy majetku, </w:t>
      </w:r>
    </w:p>
    <w:p w:rsidR="0006529B" w:rsidRDefault="005A79BB">
      <w:pPr>
        <w:ind w:left="2127" w:firstLine="709"/>
      </w:pPr>
      <w:r>
        <w:t>Mariánské nám. 1, Praha 1, 110 00</w:t>
      </w:r>
    </w:p>
    <w:p w:rsidR="0006529B" w:rsidRDefault="005A79BB">
      <w:r>
        <w:t xml:space="preserve">Způsob platby záloh: </w:t>
      </w:r>
      <w:r>
        <w:tab/>
        <w:t>převodem</w:t>
      </w:r>
      <w:r>
        <w:tab/>
      </w:r>
      <w:r>
        <w:tab/>
      </w:r>
      <w:r>
        <w:tab/>
        <w:t>Splatnost: k 20. dni příslušného měsíce</w:t>
      </w:r>
    </w:p>
    <w:p w:rsidR="0006529B" w:rsidRDefault="0006529B"/>
    <w:p w:rsidR="0006529B" w:rsidRDefault="005A79BB">
      <w:pPr>
        <w:jc w:val="both"/>
      </w:pPr>
      <w:r>
        <w:t xml:space="preserve">I.3. Případnou změnu cenových ujednání na další kalendářní rok oznámí dodavatel odběrateli nejpozději </w:t>
      </w:r>
      <w:proofErr w:type="gramStart"/>
      <w:r>
        <w:t>30.11..</w:t>
      </w:r>
      <w:proofErr w:type="gramEnd"/>
      <w:r>
        <w:t xml:space="preserve"> </w:t>
      </w:r>
    </w:p>
    <w:p w:rsidR="0006529B" w:rsidRDefault="0006529B">
      <w:pPr>
        <w:jc w:val="both"/>
      </w:pPr>
    </w:p>
    <w:p w:rsidR="0006529B" w:rsidRDefault="005A79BB">
      <w:pPr>
        <w:jc w:val="both"/>
      </w:pPr>
      <w:r>
        <w:t>1.4. Dodavatel je oprávněn změnit výši ceny tepelné energie při změně regulovaných cen paliv a energií a dalších vstupů ovlivňujících kalkulaci ceny. Tato změna bude sjednána dodatkem k této smlouvě.</w:t>
      </w:r>
    </w:p>
    <w:p w:rsidR="0006529B" w:rsidRDefault="0006529B">
      <w:pPr>
        <w:jc w:val="both"/>
      </w:pPr>
    </w:p>
    <w:p w:rsidR="0006529B" w:rsidRDefault="005A79BB">
      <w:pPr>
        <w:jc w:val="both"/>
      </w:pPr>
      <w:r>
        <w:t>I.5. Dodávka tepelné energie je během účtovacího období, tj. kalendářní rok, hrazena formou záloh s tím, že splátkový kalendář, a tím i výše záloh, je uveden v části II. tohoto „Cenového ujednání“.</w:t>
      </w:r>
    </w:p>
    <w:p w:rsidR="0006529B" w:rsidRDefault="0006529B"/>
    <w:p w:rsidR="0006529B" w:rsidRDefault="0006529B"/>
    <w:p w:rsidR="0006529B" w:rsidRDefault="005A79BB">
      <w:pPr>
        <w:jc w:val="center"/>
        <w:rPr>
          <w:b/>
        </w:rPr>
      </w:pPr>
      <w:r>
        <w:rPr>
          <w:b/>
        </w:rPr>
        <w:t>II.</w:t>
      </w:r>
      <w:bookmarkStart w:id="0" w:name="_GoBack"/>
      <w:bookmarkEnd w:id="0"/>
    </w:p>
    <w:p w:rsidR="0006529B" w:rsidRDefault="005A79BB">
      <w:pPr>
        <w:jc w:val="center"/>
        <w:rPr>
          <w:b/>
        </w:rPr>
      </w:pPr>
      <w:r>
        <w:rPr>
          <w:b/>
        </w:rPr>
        <w:t>Dohoda o zálohách</w:t>
      </w:r>
    </w:p>
    <w:p w:rsidR="0006529B" w:rsidRDefault="0006529B"/>
    <w:p w:rsidR="0006529B" w:rsidRDefault="005A79BB">
      <w:pPr>
        <w:jc w:val="both"/>
      </w:pPr>
      <w:r>
        <w:lastRenderedPageBreak/>
        <w:t xml:space="preserve">II.1. Smluvní strany se dohodly, že odběratel dodavateli bude poskytovat dílčí platby ročního plnění za dodávku tepelné energie ve formě měsíčních záloh. </w:t>
      </w:r>
    </w:p>
    <w:p w:rsidR="0006529B" w:rsidRDefault="0006529B"/>
    <w:p w:rsidR="0006529B" w:rsidRDefault="005A79BB">
      <w:pPr>
        <w:jc w:val="both"/>
      </w:pPr>
      <w:r>
        <w:t xml:space="preserve">II.2. Celková roční zálohová částka na </w:t>
      </w:r>
      <w:r>
        <w:rPr>
          <w:b/>
        </w:rPr>
        <w:t>rok 2021</w:t>
      </w:r>
      <w:r>
        <w:t xml:space="preserve"> činí </w:t>
      </w:r>
      <w:r>
        <w:rPr>
          <w:rFonts w:ascii="Calibri" w:eastAsia="Times New Roman" w:hAnsi="Calibri" w:cs="Times New Roman"/>
          <w:b/>
          <w:bCs/>
          <w:color w:val="000000"/>
          <w:sz w:val="22"/>
          <w:lang w:eastAsia="cs-CZ"/>
        </w:rPr>
        <w:t>322 113,98 Kč</w:t>
      </w:r>
      <w:r>
        <w:t xml:space="preserve"> (včetně DPH). Jednotlivé měsíční zálohy jsou splatné vždy k 20. dni příslušného měsíce na výše uvedený účet dodavatele č. 224467291/0300, VS: 020008. </w:t>
      </w:r>
    </w:p>
    <w:p w:rsidR="0006529B" w:rsidRDefault="0006529B">
      <w:pPr>
        <w:jc w:val="both"/>
      </w:pPr>
    </w:p>
    <w:p w:rsidR="0006529B" w:rsidRDefault="005A79BB">
      <w:pPr>
        <w:jc w:val="both"/>
      </w:pPr>
      <w:r>
        <w:t>II.3. Odběratel se zavazuje hradit zálohy za dodávku tepelné energie podle splátkového kalendáře:</w:t>
      </w: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364"/>
        <w:gridCol w:w="1800"/>
        <w:gridCol w:w="1480"/>
        <w:gridCol w:w="520"/>
        <w:gridCol w:w="2500"/>
      </w:tblGrid>
      <w:tr w:rsidR="0006529B">
        <w:trPr>
          <w:trHeight w:val="315"/>
        </w:trPr>
        <w:tc>
          <w:tcPr>
            <w:tcW w:w="2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Rozpis záloh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6529B" w:rsidRDefault="00065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6529B" w:rsidRDefault="00065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6529B" w:rsidRDefault="00065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6529B" w:rsidRDefault="00065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2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6529B" w:rsidRDefault="00065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06529B">
        <w:trPr>
          <w:trHeight w:val="31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Měsíc</w:t>
            </w:r>
          </w:p>
        </w:tc>
        <w:tc>
          <w:tcPr>
            <w:tcW w:w="34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%</w:t>
            </w:r>
          </w:p>
        </w:tc>
        <w:tc>
          <w:tcPr>
            <w:tcW w:w="180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vypočtená záloha</w:t>
            </w:r>
          </w:p>
        </w:tc>
        <w:tc>
          <w:tcPr>
            <w:tcW w:w="148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Měsíc</w:t>
            </w:r>
          </w:p>
        </w:tc>
        <w:tc>
          <w:tcPr>
            <w:tcW w:w="52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%</w:t>
            </w:r>
          </w:p>
        </w:tc>
        <w:tc>
          <w:tcPr>
            <w:tcW w:w="250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vypočtená záloha</w:t>
            </w:r>
          </w:p>
        </w:tc>
      </w:tr>
      <w:tr w:rsidR="0006529B">
        <w:trPr>
          <w:trHeight w:val="300"/>
        </w:trPr>
        <w:tc>
          <w:tcPr>
            <w:tcW w:w="21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leden 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57 980,52 Kč</w:t>
            </w:r>
          </w:p>
        </w:tc>
        <w:tc>
          <w:tcPr>
            <w:tcW w:w="1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červenec</w:t>
            </w:r>
          </w:p>
        </w:tc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25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9 663,42 Kč</w:t>
            </w:r>
          </w:p>
        </w:tc>
      </w:tr>
      <w:tr w:rsidR="0006529B">
        <w:trPr>
          <w:trHeight w:val="300"/>
        </w:trPr>
        <w:tc>
          <w:tcPr>
            <w:tcW w:w="21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únor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41 874,82 Kč</w:t>
            </w:r>
          </w:p>
        </w:tc>
        <w:tc>
          <w:tcPr>
            <w:tcW w:w="1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srpen</w:t>
            </w:r>
          </w:p>
        </w:tc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25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6 442,28 Kč</w:t>
            </w:r>
          </w:p>
        </w:tc>
      </w:tr>
      <w:tr w:rsidR="0006529B">
        <w:trPr>
          <w:trHeight w:val="300"/>
        </w:trPr>
        <w:tc>
          <w:tcPr>
            <w:tcW w:w="21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březen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38 653,68 Kč</w:t>
            </w:r>
          </w:p>
        </w:tc>
        <w:tc>
          <w:tcPr>
            <w:tcW w:w="1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září</w:t>
            </w:r>
          </w:p>
        </w:tc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25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6 442,28 Kč</w:t>
            </w:r>
          </w:p>
        </w:tc>
      </w:tr>
      <w:tr w:rsidR="0006529B">
        <w:trPr>
          <w:trHeight w:val="300"/>
        </w:trPr>
        <w:tc>
          <w:tcPr>
            <w:tcW w:w="21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duben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28 990,26 Kč</w:t>
            </w:r>
          </w:p>
        </w:tc>
        <w:tc>
          <w:tcPr>
            <w:tcW w:w="1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říjen</w:t>
            </w:r>
          </w:p>
        </w:tc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25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25 769,12 Kč</w:t>
            </w:r>
          </w:p>
        </w:tc>
      </w:tr>
      <w:tr w:rsidR="0006529B">
        <w:trPr>
          <w:trHeight w:val="300"/>
        </w:trPr>
        <w:tc>
          <w:tcPr>
            <w:tcW w:w="21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květen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6 442,28 Kč</w:t>
            </w:r>
          </w:p>
        </w:tc>
        <w:tc>
          <w:tcPr>
            <w:tcW w:w="1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listopad</w:t>
            </w:r>
          </w:p>
        </w:tc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</w:t>
            </w:r>
          </w:p>
        </w:tc>
        <w:tc>
          <w:tcPr>
            <w:tcW w:w="25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41 874,82 Kč</w:t>
            </w:r>
          </w:p>
        </w:tc>
      </w:tr>
      <w:tr w:rsidR="0006529B">
        <w:trPr>
          <w:trHeight w:val="300"/>
        </w:trPr>
        <w:tc>
          <w:tcPr>
            <w:tcW w:w="21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červen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6 442,28 Kč</w:t>
            </w:r>
          </w:p>
        </w:tc>
        <w:tc>
          <w:tcPr>
            <w:tcW w:w="1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prosinec</w:t>
            </w:r>
          </w:p>
        </w:tc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9B" w:rsidRDefault="005A79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25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51 538,24 Kč</w:t>
            </w:r>
          </w:p>
        </w:tc>
      </w:tr>
      <w:tr w:rsidR="0006529B">
        <w:trPr>
          <w:trHeight w:val="315"/>
        </w:trPr>
        <w:tc>
          <w:tcPr>
            <w:tcW w:w="218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529B" w:rsidRDefault="005A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</w:tr>
    </w:tbl>
    <w:p w:rsidR="0006529B" w:rsidRDefault="0006529B">
      <w:pPr>
        <w:jc w:val="center"/>
      </w:pPr>
    </w:p>
    <w:p w:rsidR="0006529B" w:rsidRDefault="0006529B">
      <w:pPr>
        <w:jc w:val="center"/>
      </w:pPr>
    </w:p>
    <w:p w:rsidR="0006529B" w:rsidRDefault="0006529B"/>
    <w:p w:rsidR="0006529B" w:rsidRDefault="005A79BB">
      <w:r>
        <w:t>Dodavatel je povinen vystavit doklad o úhradě zálohy do 14 dnů od jejího přijetí.</w:t>
      </w:r>
    </w:p>
    <w:p w:rsidR="0006529B" w:rsidRDefault="0006529B"/>
    <w:p w:rsidR="0006529B" w:rsidRDefault="005A79BB">
      <w:pPr>
        <w:jc w:val="both"/>
      </w:pPr>
      <w:r>
        <w:t xml:space="preserve">II.4. Dodavatel se zavazuje provést konečné vyúčtování zálohových faktur </w:t>
      </w:r>
      <w:r>
        <w:rPr>
          <w:b/>
        </w:rPr>
        <w:t>do konce února následujícího roku</w:t>
      </w:r>
      <w:r>
        <w:t xml:space="preserve">. </w:t>
      </w:r>
    </w:p>
    <w:p w:rsidR="0006529B" w:rsidRDefault="0006529B"/>
    <w:p w:rsidR="0006529B" w:rsidRDefault="0006529B"/>
    <w:p w:rsidR="0006529B" w:rsidRDefault="0006529B"/>
    <w:p w:rsidR="0006529B" w:rsidRDefault="0006529B"/>
    <w:p w:rsidR="0006529B" w:rsidRDefault="005A79BB">
      <w:pPr>
        <w:jc w:val="center"/>
        <w:rPr>
          <w:b/>
        </w:rPr>
      </w:pPr>
      <w:r>
        <w:rPr>
          <w:b/>
        </w:rPr>
        <w:t>III.</w:t>
      </w:r>
    </w:p>
    <w:p w:rsidR="0006529B" w:rsidRDefault="005A79BB">
      <w:pPr>
        <w:jc w:val="center"/>
        <w:rPr>
          <w:b/>
        </w:rPr>
      </w:pPr>
      <w:r>
        <w:rPr>
          <w:b/>
        </w:rPr>
        <w:t>Odběrový diagram</w:t>
      </w:r>
    </w:p>
    <w:p w:rsidR="0006529B" w:rsidRDefault="0006529B"/>
    <w:p w:rsidR="0006529B" w:rsidRDefault="005A79BB">
      <w:pPr>
        <w:jc w:val="both"/>
      </w:pPr>
      <w:r>
        <w:t xml:space="preserve">III.1. Celkový plánovaný odběr tepelné energie za kalendářní rok, včetně časového rozlišení odběru, je uveden v odběrovém diagramu: </w:t>
      </w:r>
    </w:p>
    <w:p w:rsidR="0006529B" w:rsidRDefault="0006529B"/>
    <w:p w:rsidR="0006529B" w:rsidRDefault="0006529B"/>
    <w:p w:rsidR="0006529B" w:rsidRDefault="005A79BB">
      <w:pPr>
        <w:rPr>
          <w:b/>
        </w:rPr>
      </w:pPr>
      <w:r>
        <w:rPr>
          <w:b/>
        </w:rPr>
        <w:t xml:space="preserve">odběrový diagram – V Předpolí 1452/30: </w:t>
      </w:r>
      <w:r>
        <w:rPr>
          <w:b/>
        </w:rPr>
        <w:tab/>
      </w:r>
      <w:r>
        <w:rPr>
          <w:b/>
        </w:rPr>
        <w:tab/>
        <w:t>2021</w:t>
      </w:r>
    </w:p>
    <w:p w:rsidR="0006529B" w:rsidRDefault="0006529B"/>
    <w:p w:rsidR="0006529B" w:rsidRDefault="005A79BB">
      <w:r>
        <w:rPr>
          <w:noProof/>
          <w:lang w:eastAsia="cs-CZ"/>
        </w:rPr>
        <w:lastRenderedPageBreak/>
        <mc:AlternateContent>
          <mc:Choice Requires="wpg">
            <w:drawing>
              <wp:inline distT="0" distB="0" distL="0" distR="0">
                <wp:extent cx="4086225" cy="1524000"/>
                <wp:effectExtent l="0" t="0" r="9525" b="0"/>
                <wp:docPr id="3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862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321.8pt;height:120.0pt;">
                <v:path textboxrect="0,0,0,0"/>
                <v:imagedata r:id="rId10" o:title=""/>
              </v:shape>
            </w:pict>
          </mc:Fallback>
        </mc:AlternateContent>
      </w:r>
    </w:p>
    <w:p w:rsidR="0006529B" w:rsidRDefault="005A79BB">
      <w:r>
        <w:t xml:space="preserve">Z tohoto množství náleží odběrateli podíl dle měření a výpočtů. </w:t>
      </w:r>
    </w:p>
    <w:p w:rsidR="0006529B" w:rsidRDefault="0006529B"/>
    <w:p w:rsidR="0006529B" w:rsidRDefault="005A79BB">
      <w:pPr>
        <w:jc w:val="both"/>
      </w:pPr>
      <w:r>
        <w:t xml:space="preserve">III.2. Případné změny odběrového diagramu na následující rok sjednává odběratel s dodavatelem vždy do </w:t>
      </w:r>
      <w:proofErr w:type="gramStart"/>
      <w:r>
        <w:t>30.11</w:t>
      </w:r>
      <w:proofErr w:type="gramEnd"/>
      <w:r>
        <w:t>.  příslušného kalendářního roku. Nepodá-li odběratel návrh na nový odběrový diagram, prodlužuje se platnost diagramu na další kalendářní rok.</w:t>
      </w:r>
    </w:p>
    <w:sectPr w:rsidR="0006529B">
      <w:headerReference w:type="default" r:id="rId11"/>
      <w:footerReference w:type="default" r:id="rId12"/>
      <w:pgSz w:w="11906" w:h="16838"/>
      <w:pgMar w:top="1985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BB" w:rsidRDefault="005A79BB">
      <w:pPr>
        <w:spacing w:after="0" w:line="240" w:lineRule="auto"/>
      </w:pPr>
      <w:r>
        <w:separator/>
      </w:r>
    </w:p>
  </w:endnote>
  <w:endnote w:type="continuationSeparator" w:id="0">
    <w:p w:rsidR="005A79BB" w:rsidRDefault="005A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Rg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41" w:rsidRDefault="000A5D41">
    <w:pPr>
      <w:pStyle w:val="Zpat"/>
    </w:pPr>
  </w:p>
  <w:p w:rsidR="0006529B" w:rsidRDefault="005A79BB">
    <w:pPr>
      <w:pStyle w:val="Zpat"/>
    </w:pPr>
    <w:r>
      <w:rPr>
        <w:rFonts w:ascii="Proxima Nova Rg" w:hAnsi="Proxima Nova Rg"/>
        <w:noProof/>
        <w:lang w:eastAsia="cs-CZ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-5080</wp:posOffset>
              </wp:positionH>
              <wp:positionV relativeFrom="bottomMargin">
                <wp:posOffset>0</wp:posOffset>
              </wp:positionV>
              <wp:extent cx="6087110" cy="35560"/>
              <wp:effectExtent l="0" t="0" r="8890" b="2540"/>
              <wp:wrapNone/>
              <wp:docPr id="2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6087110" cy="35560"/>
                      </a:xfrm>
                      <a:prstGeom prst="rect">
                        <a:avLst/>
                      </a:prstGeom>
                      <a:solidFill>
                        <a:srgbClr val="00B5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shape 1" o:spid="_x0000_s1" o:spt="1" style="position:absolute;mso-wrap-distance-left:9.0pt;mso-wrap-distance-top:0.0pt;mso-wrap-distance-right:9.0pt;mso-wrap-distance-bottom:0.0pt;z-index:251677696;o:allowoverlap:true;o:allowincell:true;mso-position-horizontal-relative:text;margin-left:-0.4pt;mso-position-horizontal:absolute;mso-position-vertical-relative:bottom-margin-area;margin-top:0.0pt;mso-position-vertical:absolute;width:479.3pt;height:2.8pt;flip:y;" coordsize="100000,100000" path="" fillcolor="#00B5E2" strokeweight="1.00pt">
              <v:path textboxrect="0,0,0,0"/>
            </v:shape>
          </w:pict>
        </mc:Fallback>
      </mc:AlternateContent>
    </w:r>
    <w:r>
      <w:t xml:space="preserve">07_SD_10_Hlavičkový papír dodatek č. </w:t>
    </w:r>
    <w:r w:rsidR="0004409D">
      <w:t xml:space="preserve">11 teplo </w:t>
    </w:r>
    <w:proofErr w:type="spellStart"/>
    <w:r w:rsidR="0004409D">
      <w:t>tv</w:t>
    </w:r>
    <w:proofErr w:type="spellEnd"/>
    <w:r w:rsidR="0004409D">
      <w:t xml:space="preserve"> 1445 192 2020</w:t>
    </w:r>
    <w:r>
      <w:t>.doc</w:t>
    </w:r>
    <w:r>
      <w:tab/>
    </w:r>
    <w:r>
      <w:tab/>
    </w:r>
    <w:r>
      <w:tab/>
      <w:t xml:space="preserve">        </w:t>
    </w:r>
    <w:r>
      <w:fldChar w:fldCharType="begin"/>
    </w:r>
    <w:r>
      <w:instrText>PAGE   \* MERGEFORMAT</w:instrText>
    </w:r>
    <w:r>
      <w:fldChar w:fldCharType="separate"/>
    </w:r>
    <w:r w:rsidR="0004409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BB" w:rsidRDefault="005A79BB">
      <w:pPr>
        <w:spacing w:after="0" w:line="240" w:lineRule="auto"/>
      </w:pPr>
      <w:r>
        <w:separator/>
      </w:r>
    </w:p>
  </w:footnote>
  <w:footnote w:type="continuationSeparator" w:id="0">
    <w:p w:rsidR="005A79BB" w:rsidRDefault="005A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B" w:rsidRDefault="005A79B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717550</wp:posOffset>
              </wp:positionV>
              <wp:extent cx="1044000" cy="360000"/>
              <wp:effectExtent l="0" t="0" r="3810" b="2540"/>
              <wp:wrapNone/>
              <wp:docPr id="1" name="Obrázek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44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86912;o:allowoverlap:true;o:allowincell:true;mso-position-horizontal-relative:page;margin-left:56.5pt;mso-position-horizontal:absolute;mso-position-vertical-relative:page;margin-top:56.5pt;mso-position-vertical:absolute;width:82.2pt;height:28.3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628"/>
    <w:multiLevelType w:val="hybridMultilevel"/>
    <w:tmpl w:val="C81C8CE0"/>
    <w:lvl w:ilvl="0" w:tplc="E632D06C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 w:tplc="6B785D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5AA0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22D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369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02B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A297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D05C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5ED7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233BF1"/>
    <w:multiLevelType w:val="hybridMultilevel"/>
    <w:tmpl w:val="93EAE6EE"/>
    <w:lvl w:ilvl="0" w:tplc="CB10A71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BC2A28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C253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626C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60C7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F84E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82F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6464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3007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24182C"/>
    <w:multiLevelType w:val="hybridMultilevel"/>
    <w:tmpl w:val="0FA6AD66"/>
    <w:lvl w:ilvl="0" w:tplc="ABFA1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CE7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20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46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0E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A6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E2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8B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B28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6229"/>
    <w:multiLevelType w:val="hybridMultilevel"/>
    <w:tmpl w:val="2AB6115A"/>
    <w:lvl w:ilvl="0" w:tplc="F91A0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A0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41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0C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C8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08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F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E9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6C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032C"/>
    <w:multiLevelType w:val="hybridMultilevel"/>
    <w:tmpl w:val="98684006"/>
    <w:lvl w:ilvl="0" w:tplc="B8EA64A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F72AAD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3091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E69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8EA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729D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B099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866F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841D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EEA0B38"/>
    <w:multiLevelType w:val="hybridMultilevel"/>
    <w:tmpl w:val="4F32A646"/>
    <w:lvl w:ilvl="0" w:tplc="6CB005D4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 w:tplc="EE54BC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744C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3E55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60BF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9AAD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26F3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3A19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966C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9F6566F"/>
    <w:multiLevelType w:val="hybridMultilevel"/>
    <w:tmpl w:val="6B3A1618"/>
    <w:lvl w:ilvl="0" w:tplc="F8FC7FE6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  <w:lvl w:ilvl="1" w:tplc="405EA7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A210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942B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BE6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24BE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7605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92EF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A618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B985A82"/>
    <w:multiLevelType w:val="hybridMultilevel"/>
    <w:tmpl w:val="F79E0114"/>
    <w:lvl w:ilvl="0" w:tplc="C74C5CA8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  <w:lvl w:ilvl="1" w:tplc="F90A94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F8D2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0A31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C274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283E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8829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EA36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A04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6084218"/>
    <w:multiLevelType w:val="hybridMultilevel"/>
    <w:tmpl w:val="892617C0"/>
    <w:lvl w:ilvl="0" w:tplc="71987794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 w:tplc="045ECC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426D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C5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96C7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404C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EC8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06D2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5C36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657099F"/>
    <w:multiLevelType w:val="hybridMultilevel"/>
    <w:tmpl w:val="9F62F010"/>
    <w:lvl w:ilvl="0" w:tplc="1EB0ACB8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  <w:lvl w:ilvl="1" w:tplc="85F80F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C88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3CA0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06B6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6F2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64FD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F86C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0625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7BC6433"/>
    <w:multiLevelType w:val="hybridMultilevel"/>
    <w:tmpl w:val="A55C29CC"/>
    <w:lvl w:ilvl="0" w:tplc="EE1C6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C1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6E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03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F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AC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A9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A6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22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745ED"/>
    <w:multiLevelType w:val="hybridMultilevel"/>
    <w:tmpl w:val="97C4DDCC"/>
    <w:lvl w:ilvl="0" w:tplc="8AA66CB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83B0A08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plc="0F5C9808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plc="FA2894D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plc="C846BFD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plc="FD56683C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plc="5E90570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plc="7AA8F89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plc="812E391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820415"/>
    <w:multiLevelType w:val="hybridMultilevel"/>
    <w:tmpl w:val="7B6EA4D4"/>
    <w:lvl w:ilvl="0" w:tplc="F78AF408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  <w:lvl w:ilvl="1" w:tplc="70E0DA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18DB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C22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16D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22D9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480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8C55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745D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BBB1A0C"/>
    <w:multiLevelType w:val="hybridMultilevel"/>
    <w:tmpl w:val="FAF87E6A"/>
    <w:lvl w:ilvl="0" w:tplc="44C00692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 w:tplc="6B7043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EC5C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727A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9A20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EEB7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7461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CAAB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B27C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9B"/>
    <w:rsid w:val="0004409D"/>
    <w:rsid w:val="0006529B"/>
    <w:rsid w:val="000A5D41"/>
    <w:rsid w:val="005A79BB"/>
    <w:rsid w:val="0084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290F"/>
  <w15:docId w15:val="{43401313-6487-42DD-AF71-7C2D1DD8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after="0"/>
      <w:outlineLvl w:val="0"/>
    </w:pPr>
    <w:rPr>
      <w:rFonts w:eastAsia="Calibri Light" w:cs="Arial"/>
      <w:color w:val="00B5E2"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after="0"/>
      <w:outlineLvl w:val="1"/>
    </w:pPr>
    <w:rPr>
      <w:rFonts w:eastAsia="Calibri Light" w:cs="Arial"/>
      <w:color w:val="FF9A21"/>
      <w:sz w:val="2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keepLines/>
      <w:spacing w:after="0"/>
      <w:outlineLvl w:val="2"/>
    </w:pPr>
    <w:rPr>
      <w:rFonts w:eastAsia="Calibri Light" w:cs="Calibri Light"/>
      <w:color w:val="007896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spacing w:after="0"/>
      <w:outlineLvl w:val="3"/>
    </w:pPr>
    <w:rPr>
      <w:rFonts w:eastAsia="Calibri Light" w:cs="Arial"/>
      <w:sz w:val="22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Calibri Light" w:hAnsi="Arial" w:cs="Arial"/>
      <w:color w:val="FF9A21"/>
      <w:szCs w:val="32"/>
    </w:rPr>
  </w:style>
  <w:style w:type="character" w:styleId="Hypertextovodkaz">
    <w:name w:val="Hyperlink"/>
    <w:basedOn w:val="Standardnpsmoodstavce"/>
    <w:uiPriority w:val="99"/>
    <w:semiHidden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qFormat/>
    <w:pPr>
      <w:tabs>
        <w:tab w:val="left" w:pos="4203"/>
        <w:tab w:val="left" w:pos="8556"/>
      </w:tabs>
      <w:spacing w:after="0" w:line="480" w:lineRule="auto"/>
    </w:pPr>
    <w:rPr>
      <w:rFonts w:cs="Arial"/>
      <w:color w:val="5A5A5A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 w:cs="Arial"/>
      <w:color w:val="5A5A5A"/>
      <w:sz w:val="14"/>
      <w:szCs w:val="14"/>
    </w:rPr>
  </w:style>
  <w:style w:type="paragraph" w:styleId="Bezmezer">
    <w:name w:val="No Spacing"/>
    <w:uiPriority w:val="1"/>
    <w:semiHidden/>
    <w:qFormat/>
    <w:pPr>
      <w:spacing w:after="0" w:line="240" w:lineRule="auto"/>
    </w:pPr>
    <w:rPr>
      <w:rFonts w:ascii="Arial" w:hAnsi="Arial"/>
      <w:sz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Calibri Light" w:hAnsi="Arial" w:cs="Arial"/>
      <w:color w:val="00B5E2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Calibri Light" w:hAnsi="Arial" w:cs="Calibri Light"/>
      <w:color w:val="007896"/>
      <w:szCs w:val="24"/>
    </w:rPr>
  </w:style>
  <w:style w:type="paragraph" w:styleId="Nzev">
    <w:name w:val="Title"/>
    <w:basedOn w:val="Normln"/>
    <w:next w:val="Normln"/>
    <w:link w:val="NzevChar"/>
    <w:uiPriority w:val="8"/>
    <w:qFormat/>
    <w:pPr>
      <w:spacing w:before="120" w:after="120" w:line="240" w:lineRule="auto"/>
      <w:contextualSpacing/>
      <w:jc w:val="center"/>
    </w:pPr>
    <w:rPr>
      <w:rFonts w:eastAsia="Calibri Light" w:cs="Arial"/>
      <w:caps/>
      <w:spacing w:val="-10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8"/>
    <w:rPr>
      <w:rFonts w:ascii="Arial" w:eastAsia="Calibri Light" w:hAnsi="Arial" w:cs="Arial"/>
      <w:caps/>
      <w:spacing w:val="-10"/>
      <w:sz w:val="36"/>
      <w:szCs w:val="56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SFG-tabulka1">
    <w:name w:val="HSFG - tabulka 1"/>
    <w:basedOn w:val="Normlntabulka"/>
    <w:uiPriority w:val="99"/>
    <w:pPr>
      <w:spacing w:after="0" w:line="240" w:lineRule="auto"/>
    </w:pPr>
    <w:rPr>
      <w:rFonts w:ascii="Arial" w:hAnsi="Arial"/>
      <w:sz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sz w:val="18"/>
      </w:rPr>
      <w:tblPr/>
      <w:tcPr>
        <w:shd w:val="clear" w:color="auto" w:fill="E1E1E1"/>
      </w:tcPr>
    </w:tblStylePr>
    <w:tblStylePr w:type="firstCol">
      <w:rPr>
        <w:rFonts w:ascii="Arial" w:hAnsi="Arial"/>
        <w:b/>
        <w:sz w:val="18"/>
      </w:rPr>
      <w:tblPr/>
      <w:tcPr>
        <w:shd w:val="clear" w:color="auto" w:fill="E1E1E1"/>
      </w:tcPr>
    </w:tblStylePr>
  </w:style>
  <w:style w:type="table" w:customStyle="1" w:styleId="HSFG-tabulka2">
    <w:name w:val="HSFG - tabulka 2"/>
    <w:basedOn w:val="Normlntabulka"/>
    <w:uiPriority w:val="99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band1Horz">
      <w:pPr>
        <w:jc w:val="left"/>
      </w:pPr>
      <w:rPr>
        <w:rFonts w:ascii="Arial" w:hAnsi="Arial"/>
        <w:sz w:val="18"/>
      </w:rPr>
      <w:tblPr/>
      <w:tcPr>
        <w:shd w:val="clear" w:color="auto" w:fill="E1E1E1"/>
      </w:tcPr>
    </w:tblStylePr>
  </w:style>
  <w:style w:type="table" w:customStyle="1" w:styleId="Styl1">
    <w:name w:val="Styl1"/>
    <w:basedOn w:val="Normlntabulka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b/>
      </w:rPr>
      <w:tblPr/>
      <w:tcPr>
        <w:shd w:val="clear" w:color="auto" w:fill="00B5E2"/>
        <w:vAlign w:val="center"/>
      </w:tcPr>
    </w:tblStylePr>
    <w:tblStylePr w:type="firstCol">
      <w:rPr>
        <w:b/>
      </w:rPr>
      <w:tblPr/>
      <w:tcPr>
        <w:shd w:val="clear" w:color="auto" w:fill="00B5E2"/>
      </w:tcPr>
    </w:tblStylePr>
  </w:style>
  <w:style w:type="table" w:customStyle="1" w:styleId="HSFG-tabulka4">
    <w:name w:val="HSFG - tabulka 4"/>
    <w:basedOn w:val="Normlntabulka"/>
    <w:uiPriority w:val="99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band1Horz">
      <w:tblPr/>
      <w:tcPr>
        <w:shd w:val="clear" w:color="auto" w:fill="00B5E2"/>
      </w:tcPr>
    </w:tblStylePr>
  </w:style>
  <w:style w:type="table" w:customStyle="1" w:styleId="Svtltabulkasmkou11">
    <w:name w:val="Světlá tabulka s mřížkou 1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Webovtabulka3">
    <w:name w:val="Table Web 3"/>
    <w:basedOn w:val="Normlntabulka"/>
    <w:uiPriority w:val="99"/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ulkastlumenmibarvami2">
    <w:name w:val="Table Subtle 2"/>
    <w:basedOn w:val="Normlntabulka"/>
    <w:uiPriority w:val="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auto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auto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styleId="Odstavecseseznamem">
    <w:name w:val="List Paragraph"/>
    <w:basedOn w:val="Normln"/>
    <w:uiPriority w:val="34"/>
    <w:semiHidden/>
    <w:pPr>
      <w:ind w:left="720"/>
      <w:contextualSpacing/>
    </w:pPr>
  </w:style>
  <w:style w:type="paragraph" w:customStyle="1" w:styleId="Podnzev">
    <w:name w:val="Podnázev"/>
    <w:basedOn w:val="Normln"/>
    <w:next w:val="Normln"/>
    <w:link w:val="PodnzevChar"/>
    <w:uiPriority w:val="8"/>
    <w:qFormat/>
    <w:pPr>
      <w:spacing w:before="120" w:after="120" w:line="240" w:lineRule="auto"/>
      <w:jc w:val="center"/>
    </w:pPr>
    <w:rPr>
      <w:sz w:val="30"/>
      <w:szCs w:val="4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Calibri Light" w:hAnsi="Arial" w:cs="Arial"/>
      <w:szCs w:val="24"/>
    </w:rPr>
  </w:style>
  <w:style w:type="character" w:customStyle="1" w:styleId="PodnzevChar">
    <w:name w:val="Podnázev Char"/>
    <w:basedOn w:val="Standardnpsmoodstavce"/>
    <w:link w:val="Podnzev"/>
    <w:uiPriority w:val="8"/>
    <w:rPr>
      <w:rFonts w:ascii="Arial" w:hAnsi="Arial"/>
      <w:sz w:val="30"/>
      <w:szCs w:val="4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sz w:val="20"/>
      <w:szCs w:val="20"/>
    </w:rPr>
  </w:style>
  <w:style w:type="character" w:styleId="Odkaznakoment">
    <w:name w:val="annotation referen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Sýkorová</dc:creator>
  <cp:lastModifiedBy>Eva Štěpánová</cp:lastModifiedBy>
  <cp:revision>5</cp:revision>
  <dcterms:created xsi:type="dcterms:W3CDTF">2021-01-15T06:53:00Z</dcterms:created>
  <dcterms:modified xsi:type="dcterms:W3CDTF">2021-01-18T17:17:00Z</dcterms:modified>
</cp:coreProperties>
</file>